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5D8CE">
      <w:pPr>
        <w:keepNext w:val="0"/>
        <w:keepLines w:val="0"/>
        <w:pageBreakBefore w:val="0"/>
        <w:widowControl/>
        <w:kinsoku/>
        <w:wordWrap/>
        <w:overflowPunct/>
        <w:topLinePunct w:val="0"/>
        <w:autoSpaceDE/>
        <w:autoSpaceDN/>
        <w:bidi w:val="0"/>
        <w:spacing w:line="600" w:lineRule="exact"/>
        <w:ind w:left="0" w:leftChars="0" w:right="150" w:rightChars="50"/>
        <w:jc w:val="right"/>
        <w:textAlignment w:val="auto"/>
        <w:rPr>
          <w:rFonts w:hint="eastAsia" w:ascii="仿宋_GB2312" w:hAnsi="仿宋_GB2312" w:eastAsia="仿宋_GB2312" w:cs="仿宋_GB2312"/>
          <w:color w:val="auto"/>
          <w:sz w:val="32"/>
          <w:szCs w:val="32"/>
          <w:highlight w:val="none"/>
        </w:rPr>
      </w:pPr>
    </w:p>
    <w:p w14:paraId="10D7CE3F">
      <w:pPr>
        <w:pStyle w:val="45"/>
        <w:keepNext w:val="0"/>
        <w:keepLines w:val="0"/>
        <w:pageBreakBefore w:val="0"/>
        <w:kinsoku/>
        <w:wordWrap/>
        <w:overflowPunct/>
        <w:topLinePunct w:val="0"/>
        <w:autoSpaceDE/>
        <w:autoSpaceDN/>
        <w:bidi w:val="0"/>
        <w:spacing w:line="600" w:lineRule="exact"/>
        <w:ind w:left="0" w:leftChars="0" w:right="150" w:rightChars="50"/>
        <w:jc w:val="right"/>
        <w:textAlignment w:val="auto"/>
        <w:rPr>
          <w:rFonts w:hint="eastAsia" w:ascii="仿宋_GB2312" w:hAnsi="仿宋_GB2312" w:eastAsia="仿宋_GB2312" w:cs="仿宋_GB2312"/>
          <w:color w:val="auto"/>
          <w:sz w:val="32"/>
          <w:szCs w:val="32"/>
          <w:highlight w:val="none"/>
          <w:shd w:val="pct10" w:color="auto" w:fill="FFFFFF"/>
        </w:rPr>
      </w:pPr>
    </w:p>
    <w:p w14:paraId="0ECCBB4C">
      <w:pPr>
        <w:pStyle w:val="45"/>
        <w:keepNext w:val="0"/>
        <w:keepLines w:val="0"/>
        <w:pageBreakBefore w:val="0"/>
        <w:kinsoku/>
        <w:wordWrap/>
        <w:overflowPunct/>
        <w:topLinePunct w:val="0"/>
        <w:autoSpaceDE/>
        <w:autoSpaceDN/>
        <w:bidi w:val="0"/>
        <w:spacing w:line="600" w:lineRule="exact"/>
        <w:ind w:left="0" w:leftChars="0" w:right="150" w:rightChars="50"/>
        <w:jc w:val="both"/>
        <w:textAlignment w:val="auto"/>
        <w:rPr>
          <w:rFonts w:hint="eastAsia" w:ascii="仿宋_GB2312" w:hAnsi="仿宋_GB2312" w:eastAsia="仿宋_GB2312" w:cs="仿宋_GB2312"/>
          <w:color w:val="auto"/>
          <w:sz w:val="32"/>
          <w:szCs w:val="32"/>
          <w:highlight w:val="none"/>
          <w:shd w:val="pct10" w:color="auto" w:fill="FFFFFF"/>
        </w:rPr>
      </w:pPr>
    </w:p>
    <w:p w14:paraId="58E8A497">
      <w:pPr>
        <w:pStyle w:val="45"/>
        <w:keepNext w:val="0"/>
        <w:keepLines w:val="0"/>
        <w:pageBreakBefore w:val="0"/>
        <w:kinsoku/>
        <w:wordWrap/>
        <w:overflowPunct/>
        <w:topLinePunct w:val="0"/>
        <w:autoSpaceDE/>
        <w:autoSpaceDN/>
        <w:bidi w:val="0"/>
        <w:spacing w:line="600" w:lineRule="exact"/>
        <w:ind w:left="0" w:leftChars="0" w:right="150" w:rightChars="50"/>
        <w:jc w:val="right"/>
        <w:textAlignment w:val="auto"/>
        <w:rPr>
          <w:rFonts w:hint="eastAsia" w:ascii="仿宋_GB2312" w:hAnsi="仿宋_GB2312" w:eastAsia="仿宋_GB2312" w:cs="仿宋_GB2312"/>
          <w:color w:val="auto"/>
          <w:sz w:val="32"/>
          <w:szCs w:val="32"/>
          <w:highlight w:val="none"/>
          <w:shd w:val="clear" w:color="auto" w:fill="auto"/>
        </w:rPr>
      </w:pPr>
    </w:p>
    <w:p w14:paraId="51A4D5E7">
      <w:pPr>
        <w:pStyle w:val="45"/>
        <w:keepNext w:val="0"/>
        <w:keepLines w:val="0"/>
        <w:pageBreakBefore w:val="0"/>
        <w:kinsoku/>
        <w:wordWrap/>
        <w:overflowPunct/>
        <w:topLinePunct w:val="0"/>
        <w:autoSpaceDE/>
        <w:autoSpaceDN/>
        <w:bidi w:val="0"/>
        <w:spacing w:line="600" w:lineRule="exact"/>
        <w:ind w:left="0" w:leftChars="0" w:right="150" w:rightChars="50"/>
        <w:jc w:val="right"/>
        <w:textAlignment w:val="auto"/>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rPr>
        <w:t>本环建字</w:t>
      </w:r>
      <w:r>
        <w:rPr>
          <w:rFonts w:hint="eastAsia" w:ascii="仿宋_GB2312" w:hAnsi="仿宋_GB2312" w:eastAsia="仿宋_GB2312" w:cs="仿宋_GB2312"/>
          <w:color w:val="auto"/>
          <w:sz w:val="32"/>
          <w:szCs w:val="32"/>
          <w:highlight w:val="none"/>
          <w:shd w:val="clear" w:color="auto" w:fill="auto"/>
          <w:lang w:eastAsia="zh-CN"/>
        </w:rPr>
        <w:t>〔202</w:t>
      </w: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lang w:val="en-US" w:eastAsia="zh-CN"/>
        </w:rPr>
        <w:t>16</w:t>
      </w:r>
      <w:r>
        <w:rPr>
          <w:rFonts w:hint="eastAsia" w:ascii="仿宋_GB2312" w:hAnsi="仿宋_GB2312" w:eastAsia="仿宋_GB2312" w:cs="仿宋_GB2312"/>
          <w:color w:val="auto"/>
          <w:sz w:val="32"/>
          <w:szCs w:val="32"/>
          <w:highlight w:val="none"/>
          <w:shd w:val="clear" w:color="auto" w:fill="auto"/>
          <w:lang w:eastAsia="zh-CN"/>
        </w:rPr>
        <w:t>号</w:t>
      </w:r>
    </w:p>
    <w:p w14:paraId="302EDF33">
      <w:pPr>
        <w:keepNext w:val="0"/>
        <w:keepLines w:val="0"/>
        <w:pageBreakBefore w:val="0"/>
        <w:kinsoku/>
        <w:wordWrap/>
        <w:overflowPunct/>
        <w:autoSpaceDE/>
        <w:autoSpaceDN/>
        <w:bidi w:val="0"/>
        <w:spacing w:line="600" w:lineRule="exact"/>
        <w:ind w:left="920" w:right="150" w:rightChars="50" w:hanging="920" w:hangingChars="200"/>
        <w:jc w:val="center"/>
        <w:textAlignment w:val="auto"/>
        <w:rPr>
          <w:rFonts w:hint="eastAsia" w:ascii="方正小标宋简体" w:hAnsi="方正小标宋简体" w:eastAsia="方正小标宋简体" w:cs="方正小标宋简体"/>
          <w:b w:val="0"/>
          <w:bCs/>
          <w:color w:val="auto"/>
          <w:sz w:val="44"/>
          <w:szCs w:val="44"/>
          <w:highlight w:val="none"/>
        </w:rPr>
      </w:pPr>
      <w:r>
        <w:rPr>
          <w:rFonts w:hint="eastAsia" w:ascii="方正小标宋简体" w:hAnsi="方正小标宋简体" w:eastAsia="方正小标宋简体" w:cs="方正小标宋简体"/>
          <w:b w:val="0"/>
          <w:bCs/>
          <w:color w:val="auto"/>
          <w:sz w:val="44"/>
          <w:szCs w:val="44"/>
          <w:highlight w:val="none"/>
        </w:rPr>
        <w:t>关于《</w:t>
      </w:r>
      <w:r>
        <w:rPr>
          <w:rFonts w:hint="eastAsia" w:ascii="方正小标宋简体" w:hAnsi="方正小标宋简体" w:eastAsia="方正小标宋简体" w:cs="方正小标宋简体"/>
          <w:b w:val="0"/>
          <w:bCs/>
          <w:color w:val="auto"/>
          <w:sz w:val="44"/>
          <w:szCs w:val="44"/>
          <w:highlight w:val="none"/>
          <w:lang w:val="en-US" w:eastAsia="zh-CN"/>
        </w:rPr>
        <w:t>本溪满族自治县集中热源建设工程生态</w:t>
      </w:r>
      <w:r>
        <w:rPr>
          <w:rFonts w:hint="eastAsia" w:ascii="方正小标宋简体" w:hAnsi="方正小标宋简体" w:eastAsia="方正小标宋简体" w:cs="方正小标宋简体"/>
          <w:b w:val="0"/>
          <w:bCs/>
          <w:color w:val="auto"/>
          <w:sz w:val="44"/>
          <w:szCs w:val="44"/>
          <w:highlight w:val="none"/>
          <w:lang w:eastAsia="zh-CN"/>
        </w:rPr>
        <w:t>环境影响报告书</w:t>
      </w:r>
      <w:r>
        <w:rPr>
          <w:rFonts w:hint="eastAsia" w:ascii="方正小标宋简体" w:hAnsi="方正小标宋简体" w:eastAsia="方正小标宋简体" w:cs="方正小标宋简体"/>
          <w:b w:val="0"/>
          <w:bCs/>
          <w:color w:val="auto"/>
          <w:sz w:val="44"/>
          <w:szCs w:val="44"/>
          <w:highlight w:val="none"/>
        </w:rPr>
        <w:t>》的批复</w:t>
      </w:r>
    </w:p>
    <w:p w14:paraId="1B831BFD">
      <w:pPr>
        <w:keepNext w:val="0"/>
        <w:keepLines w:val="0"/>
        <w:pageBreakBefore w:val="0"/>
        <w:kinsoku/>
        <w:wordWrap/>
        <w:overflowPunct/>
        <w:autoSpaceDE/>
        <w:autoSpaceDN/>
        <w:bidi w:val="0"/>
        <w:spacing w:line="600" w:lineRule="exact"/>
        <w:ind w:right="150" w:rightChars="50"/>
        <w:textAlignment w:val="auto"/>
        <w:rPr>
          <w:rFonts w:hint="eastAsia" w:ascii="仿宋_GB2312" w:hAnsi="仿宋_GB2312" w:eastAsia="仿宋_GB2312" w:cs="仿宋_GB2312"/>
          <w:color w:val="auto"/>
          <w:sz w:val="32"/>
          <w:szCs w:val="32"/>
          <w:highlight w:val="none"/>
          <w:lang w:eastAsia="zh-CN"/>
        </w:rPr>
      </w:pPr>
    </w:p>
    <w:p w14:paraId="4321D0F0">
      <w:pPr>
        <w:keepNext w:val="0"/>
        <w:keepLines w:val="0"/>
        <w:pageBreakBefore w:val="0"/>
        <w:kinsoku/>
        <w:wordWrap/>
        <w:overflowPunct/>
        <w:autoSpaceDE/>
        <w:autoSpaceDN/>
        <w:bidi w:val="0"/>
        <w:spacing w:line="600" w:lineRule="exact"/>
        <w:ind w:right="150" w:rightChars="5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本溪满族自治县小市供热有限责任公司：</w:t>
      </w:r>
    </w:p>
    <w:p w14:paraId="78EE301A">
      <w:pPr>
        <w:keepNext w:val="0"/>
        <w:keepLines w:val="0"/>
        <w:pageBreakBefore w:val="0"/>
        <w:kinsoku/>
        <w:wordWrap/>
        <w:overflowPunct/>
        <w:autoSpaceDE/>
        <w:autoSpaceDN/>
        <w:bidi w:val="0"/>
        <w:spacing w:line="600" w:lineRule="exact"/>
        <w:ind w:right="150" w:rightChars="50" w:firstLine="68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你公司报送的《本溪满族自治县集中热源建设工程生态环境影响报告书》（以下简称“报告书”）已收悉。根据环评专家评审意见及技术评估报告结论，经我局2026年建设项目审查委员会第七次会议审议同意，现批复如下：</w:t>
      </w:r>
    </w:p>
    <w:p w14:paraId="026B30A0">
      <w:pPr>
        <w:keepNext w:val="0"/>
        <w:keepLines w:val="0"/>
        <w:pageBreakBefore w:val="0"/>
        <w:widowControl w:val="0"/>
        <w:kinsoku/>
        <w:wordWrap/>
        <w:overflowPunct/>
        <w:topLinePunct w:val="0"/>
        <w:autoSpaceDE/>
        <w:autoSpaceDN/>
        <w:bidi w:val="0"/>
        <w:adjustRightInd/>
        <w:snapToGrid/>
        <w:spacing w:line="600" w:lineRule="exact"/>
        <w:ind w:left="0" w:leftChars="0" w:right="150" w:rightChars="5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Cs w:val="0"/>
          <w:snapToGrid/>
          <w:color w:val="auto"/>
          <w:spacing w:val="0"/>
          <w:kern w:val="2"/>
          <w:sz w:val="32"/>
          <w:szCs w:val="32"/>
          <w:highlight w:val="none"/>
        </w:rPr>
        <w:t>一、</w:t>
      </w:r>
      <w:r>
        <w:rPr>
          <w:rFonts w:hint="eastAsia" w:ascii="仿宋_GB2312" w:hAnsi="仿宋_GB2312" w:eastAsia="仿宋_GB2312" w:cs="仿宋_GB2312"/>
          <w:color w:val="auto"/>
          <w:kern w:val="2"/>
          <w:sz w:val="32"/>
          <w:szCs w:val="32"/>
          <w:highlight w:val="none"/>
          <w:lang w:val="en-US" w:eastAsia="zh-CN" w:bidi="ar-SA"/>
        </w:rPr>
        <w:t>项目位于本溪满族自治县观音阁街道长江路706号，占地面积62231m</w:t>
      </w:r>
      <w:r>
        <w:rPr>
          <w:rFonts w:hint="eastAsia" w:ascii="仿宋_GB2312" w:hAnsi="仿宋_GB2312" w:eastAsia="仿宋_GB2312" w:cs="仿宋_GB2312"/>
          <w:color w:val="auto"/>
          <w:kern w:val="2"/>
          <w:sz w:val="32"/>
          <w:szCs w:val="32"/>
          <w:highlight w:val="none"/>
          <w:vertAlign w:val="superscript"/>
          <w:lang w:val="en-US" w:eastAsia="zh-CN" w:bidi="ar-SA"/>
        </w:rPr>
        <w:t>2</w:t>
      </w:r>
      <w:r>
        <w:rPr>
          <w:rFonts w:hint="eastAsia" w:ascii="仿宋_GB2312" w:hAnsi="仿宋_GB2312" w:eastAsia="仿宋_GB2312" w:cs="仿宋_GB2312"/>
          <w:color w:val="auto"/>
          <w:kern w:val="2"/>
          <w:sz w:val="32"/>
          <w:szCs w:val="32"/>
          <w:highlight w:val="none"/>
          <w:lang w:val="en-US" w:eastAsia="zh-CN" w:bidi="ar-SA"/>
        </w:rPr>
        <w:t>。主要建设内容为新建1座锅炉房，内设4台91MW循环流化床</w:t>
      </w:r>
      <w:r>
        <w:rPr>
          <w:rFonts w:hint="eastAsia" w:ascii="仿宋_GB2312" w:hAnsi="仿宋_GB2312" w:eastAsia="仿宋_GB2312" w:cs="仿宋_GB2312"/>
          <w:color w:val="auto"/>
          <w:kern w:val="2"/>
          <w:sz w:val="32"/>
          <w:szCs w:val="32"/>
          <w:highlight w:val="none"/>
          <w:lang w:val="en-US" w:eastAsia="zh-CN"/>
        </w:rPr>
        <w:t>热水</w:t>
      </w:r>
      <w:r>
        <w:rPr>
          <w:rFonts w:hint="eastAsia" w:ascii="仿宋_GB2312" w:hAnsi="仿宋_GB2312" w:eastAsia="仿宋_GB2312" w:cs="仿宋_GB2312"/>
          <w:color w:val="auto"/>
          <w:kern w:val="2"/>
          <w:sz w:val="32"/>
          <w:szCs w:val="32"/>
          <w:highlight w:val="none"/>
          <w:lang w:val="en-US" w:eastAsia="zh-CN" w:bidi="ar-SA"/>
        </w:rPr>
        <w:t>锅炉；配套1座100米高烟囱，建设除尘、脱硫、脱硝及在线监测系统与附属设施；新增敷设热源出口配套供热管网2855米（沟长），最大管径为DN1000，采用直埋敷设方式。</w:t>
      </w:r>
      <w:r>
        <w:rPr>
          <w:rFonts w:hint="eastAsia" w:ascii="仿宋_GB2312" w:hAnsi="仿宋_GB2312" w:eastAsia="仿宋_GB2312" w:cs="仿宋_GB2312"/>
          <w:i w:val="0"/>
          <w:iCs w:val="0"/>
          <w:caps w:val="0"/>
          <w:color w:val="auto"/>
          <w:spacing w:val="0"/>
          <w:sz w:val="32"/>
          <w:szCs w:val="32"/>
          <w:highlight w:val="none"/>
          <w:shd w:val="clear" w:fill="FFFFFF"/>
        </w:rPr>
        <w:t>项目建成后的总供暖面积可达740万平方米</w:t>
      </w:r>
      <w:r>
        <w:rPr>
          <w:rFonts w:hint="eastAsia" w:ascii="仿宋_GB2312" w:hAnsi="仿宋_GB2312" w:eastAsia="仿宋_GB2312" w:cs="仿宋_GB2312"/>
          <w:i w:val="0"/>
          <w:iCs w:val="0"/>
          <w:caps w:val="0"/>
          <w:color w:val="auto"/>
          <w:spacing w:val="0"/>
          <w:sz w:val="32"/>
          <w:szCs w:val="32"/>
          <w:highlight w:val="none"/>
          <w:shd w:val="clear" w:fill="FFFFFF"/>
          <w:lang w:eastAsia="zh-CN"/>
        </w:rPr>
        <w:t>，项目</w:t>
      </w:r>
      <w:r>
        <w:rPr>
          <w:rFonts w:hint="eastAsia" w:ascii="仿宋_GB2312" w:hAnsi="仿宋_GB2312" w:eastAsia="仿宋_GB2312" w:cs="仿宋_GB2312"/>
          <w:color w:val="auto"/>
          <w:kern w:val="2"/>
          <w:sz w:val="32"/>
          <w:szCs w:val="32"/>
          <w:highlight w:val="none"/>
          <w:lang w:val="en-US" w:eastAsia="zh-CN" w:bidi="ar-SA"/>
        </w:rPr>
        <w:t>总投资44947.34万元，环保投资945万元，环保投资占比2.1%。</w:t>
      </w:r>
      <w:bookmarkStart w:id="0" w:name="_GoBack"/>
      <w:r>
        <w:rPr>
          <w:rFonts w:hint="eastAsia" w:ascii="仿宋_GB2312" w:hAnsi="仿宋_GB2312" w:eastAsia="仿宋_GB2312" w:cs="仿宋_GB2312"/>
          <w:color w:val="auto"/>
          <w:kern w:val="2"/>
          <w:sz w:val="32"/>
          <w:szCs w:val="32"/>
          <w:highlight w:val="none"/>
          <w:lang w:val="en-US" w:eastAsia="zh-CN" w:bidi="ar-SA"/>
        </w:rPr>
        <w:t>本项目旨在替代本溪满族自治县供热公司城南热源厂（该厂现有5台锅炉，包括4台70MW热水锅炉和1台100t/h蒸汽锅炉，2025年末实际供暖面积为540万m²），项目建成投运后，原城南热源厂停止运营。</w:t>
      </w:r>
    </w:p>
    <w:bookmarkEnd w:id="0"/>
    <w:p w14:paraId="1B28682A">
      <w:pPr>
        <w:keepNext w:val="0"/>
        <w:keepLines w:val="0"/>
        <w:pageBreakBefore w:val="0"/>
        <w:widowControl w:val="0"/>
        <w:kinsoku/>
        <w:wordWrap/>
        <w:overflowPunct/>
        <w:topLinePunct w:val="0"/>
        <w:autoSpaceDE/>
        <w:autoSpaceDN/>
        <w:bidi w:val="0"/>
        <w:adjustRightInd w:val="0"/>
        <w:snapToGrid w:val="0"/>
        <w:spacing w:line="600" w:lineRule="exact"/>
        <w:ind w:left="0" w:leftChars="0" w:right="150" w:rightChars="50" w:firstLine="68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根据</w:t>
      </w:r>
      <w:r>
        <w:rPr>
          <w:rFonts w:hint="eastAsia" w:ascii="仿宋_GB2312" w:hAnsi="仿宋_GB2312" w:eastAsia="仿宋_GB2312" w:cs="仿宋_GB2312"/>
          <w:color w:val="auto"/>
          <w:sz w:val="32"/>
          <w:szCs w:val="32"/>
          <w:highlight w:val="none"/>
          <w:lang w:eastAsia="zh-CN"/>
        </w:rPr>
        <w:t>《产业结构调整指导目录（2024年本）》</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本项目属于“鼓励类”，符合国家产业政策。在实施区域削减方案，项目建设后区域环境质量得到整体改善前提下，严格落实报告书和本批复提出的各项生态环境保护措施和环境风险防控措施后，从生态环境角度，同意环境影响报告书中所列建设项目</w:t>
      </w:r>
      <w:r>
        <w:rPr>
          <w:rFonts w:hint="eastAsia" w:ascii="仿宋_GB2312" w:hAnsi="仿宋_GB2312" w:eastAsia="仿宋_GB2312" w:cs="仿宋_GB2312"/>
          <w:color w:val="auto"/>
          <w:sz w:val="32"/>
          <w:szCs w:val="32"/>
          <w:highlight w:val="none"/>
          <w:lang w:val="zh-TW" w:eastAsia="zh-CN"/>
        </w:rPr>
        <w:t>地点、生产规模和环境保护措施进行建设。</w:t>
      </w:r>
    </w:p>
    <w:p w14:paraId="610CB45D">
      <w:pPr>
        <w:keepNext w:val="0"/>
        <w:keepLines w:val="0"/>
        <w:pageBreakBefore w:val="0"/>
        <w:widowControl w:val="0"/>
        <w:kinsoku/>
        <w:wordWrap/>
        <w:overflowPunct/>
        <w:topLinePunct w:val="0"/>
        <w:autoSpaceDE/>
        <w:autoSpaceDN/>
        <w:bidi w:val="0"/>
        <w:adjustRightInd/>
        <w:snapToGrid/>
        <w:spacing w:line="600" w:lineRule="exact"/>
        <w:ind w:left="0" w:leftChars="0" w:right="150" w:rightChars="50" w:firstLine="640" w:firstLineChars="200"/>
        <w:textAlignment w:val="auto"/>
        <w:rPr>
          <w:rFonts w:hint="eastAsia" w:ascii="仿宋_GB2312" w:hAnsi="仿宋_GB2312" w:eastAsia="仿宋_GB2312" w:cs="仿宋_GB2312"/>
          <w:bCs w:val="0"/>
          <w:snapToGrid/>
          <w:color w:val="auto"/>
          <w:spacing w:val="0"/>
          <w:kern w:val="2"/>
          <w:sz w:val="32"/>
          <w:szCs w:val="32"/>
          <w:highlight w:val="none"/>
        </w:rPr>
      </w:pPr>
      <w:r>
        <w:rPr>
          <w:rFonts w:hint="eastAsia" w:ascii="仿宋_GB2312" w:hAnsi="仿宋_GB2312" w:eastAsia="仿宋_GB2312" w:cs="仿宋_GB2312"/>
          <w:bCs w:val="0"/>
          <w:snapToGrid/>
          <w:color w:val="auto"/>
          <w:spacing w:val="0"/>
          <w:kern w:val="2"/>
          <w:sz w:val="32"/>
          <w:szCs w:val="32"/>
          <w:highlight w:val="none"/>
        </w:rPr>
        <w:t>二、项目建设应严格落实《</w:t>
      </w:r>
      <w:r>
        <w:rPr>
          <w:rFonts w:hint="eastAsia" w:ascii="仿宋_GB2312" w:hAnsi="仿宋_GB2312" w:eastAsia="仿宋_GB2312" w:cs="仿宋_GB2312"/>
          <w:bCs w:val="0"/>
          <w:snapToGrid/>
          <w:color w:val="auto"/>
          <w:spacing w:val="0"/>
          <w:kern w:val="2"/>
          <w:sz w:val="32"/>
          <w:szCs w:val="32"/>
          <w:highlight w:val="none"/>
          <w:lang w:eastAsia="zh-CN"/>
        </w:rPr>
        <w:t>报告书</w:t>
      </w:r>
      <w:r>
        <w:rPr>
          <w:rFonts w:hint="eastAsia" w:ascii="仿宋_GB2312" w:hAnsi="仿宋_GB2312" w:eastAsia="仿宋_GB2312" w:cs="仿宋_GB2312"/>
          <w:bCs w:val="0"/>
          <w:snapToGrid/>
          <w:color w:val="auto"/>
          <w:spacing w:val="0"/>
          <w:kern w:val="2"/>
          <w:sz w:val="32"/>
          <w:szCs w:val="32"/>
          <w:highlight w:val="none"/>
        </w:rPr>
        <w:t>》提出的各项环境保护措施和风险防控措施，重点做好以下工作：</w:t>
      </w:r>
    </w:p>
    <w:p w14:paraId="29A31105">
      <w:pPr>
        <w:keepNext w:val="0"/>
        <w:keepLines w:val="0"/>
        <w:pageBreakBefore w:val="0"/>
        <w:widowControl w:val="0"/>
        <w:kinsoku/>
        <w:wordWrap/>
        <w:overflowPunct/>
        <w:topLinePunct w:val="0"/>
        <w:autoSpaceDE/>
        <w:autoSpaceDN/>
        <w:bidi w:val="0"/>
        <w:adjustRightInd w:val="0"/>
        <w:snapToGrid w:val="0"/>
        <w:spacing w:line="600" w:lineRule="exact"/>
        <w:ind w:right="150" w:rightChars="50" w:firstLine="680" w:firstLineChars="200"/>
        <w:textAlignment w:val="auto"/>
        <w:rPr>
          <w:rFonts w:hint="eastAsia" w:ascii="仿宋_GB2312" w:hAnsi="仿宋_GB2312" w:eastAsia="仿宋_GB2312" w:cs="仿宋_GB2312"/>
          <w:bCs/>
          <w:snapToGrid w:val="0"/>
          <w:color w:val="auto"/>
          <w:spacing w:val="10"/>
          <w:sz w:val="32"/>
          <w:szCs w:val="32"/>
          <w:highlight w:val="none"/>
          <w:lang w:val="en-US" w:eastAsia="zh-CN" w:bidi="ar-SA"/>
        </w:rPr>
      </w:pP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lang w:val="en-US" w:eastAsia="zh-CN"/>
        </w:rPr>
        <w:t>一</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lang w:val="en-US" w:eastAsia="zh-CN"/>
        </w:rPr>
        <w:t>严格落实施</w:t>
      </w:r>
      <w:r>
        <w:rPr>
          <w:rFonts w:hint="eastAsia" w:ascii="仿宋_GB2312" w:hAnsi="仿宋_GB2312" w:eastAsia="仿宋_GB2312" w:cs="仿宋_GB2312"/>
          <w:bCs/>
          <w:snapToGrid w:val="0"/>
          <w:color w:val="auto"/>
          <w:spacing w:val="10"/>
          <w:sz w:val="32"/>
          <w:szCs w:val="32"/>
          <w:highlight w:val="none"/>
          <w:lang w:val="en-US" w:eastAsia="zh-CN" w:bidi="ar-SA"/>
        </w:rPr>
        <w:t>工期污染防治措施。</w:t>
      </w:r>
      <w:r>
        <w:rPr>
          <w:rFonts w:hint="eastAsia" w:ascii="仿宋_GB2312" w:hAnsi="仿宋_GB2312" w:eastAsia="仿宋_GB2312" w:cs="仿宋_GB2312"/>
          <w:bCs w:val="0"/>
          <w:snapToGrid/>
          <w:color w:val="auto"/>
          <w:spacing w:val="0"/>
          <w:kern w:val="2"/>
          <w:sz w:val="32"/>
          <w:szCs w:val="32"/>
          <w:highlight w:val="none"/>
          <w:lang w:val="en-US" w:eastAsia="zh-CN" w:bidi="ar-SA"/>
        </w:rPr>
        <w:t>施工期通过强化管理、施工现场设置围栏，采取洒水抑尘、车辆密闭运输等措施后，施工期扬尘排放浓度应满足《辽宁省施工及堆料场地扬尘排放标准》(DB21/2642-2016)中城镇建成区扬尘排放浓度限值要求；施工废水通过沉淀池处理后，回用于施工过程；生活污水排入化粪池定期清掏不外排；施工期选用先进的低噪声设备，合理安排施工时间，设置隔声屏障，对车辆出入现场限速、禁鸣等措施后，施工期场界噪声应满足《建筑施工噪声排放标准》(GB12523-2025)的排放限值要求；施工期产生的建筑垃圾应尽可能的回收利用，无法回收利用的应统一运至城建指定地点处理；</w:t>
      </w:r>
      <w:r>
        <w:rPr>
          <w:rFonts w:hint="eastAsia" w:ascii="仿宋_GB2312" w:hAnsi="仿宋_GB2312" w:eastAsia="仿宋_GB2312" w:cs="仿宋_GB2312"/>
          <w:bCs/>
          <w:snapToGrid w:val="0"/>
          <w:color w:val="auto"/>
          <w:spacing w:val="10"/>
          <w:sz w:val="32"/>
          <w:szCs w:val="32"/>
          <w:highlight w:val="none"/>
          <w:lang w:val="en-US" w:eastAsia="zh-CN" w:bidi="ar-SA"/>
        </w:rPr>
        <w:t>生活垃圾集中收集后定期交由环卫部门统一清运处理。</w:t>
      </w:r>
    </w:p>
    <w:p w14:paraId="0C0735FF">
      <w:pPr>
        <w:keepNext w:val="0"/>
        <w:keepLines w:val="0"/>
        <w:pageBreakBefore w:val="0"/>
        <w:kinsoku/>
        <w:wordWrap/>
        <w:overflowPunct/>
        <w:topLinePunct w:val="0"/>
        <w:autoSpaceDE/>
        <w:autoSpaceDN/>
        <w:bidi w:val="0"/>
        <w:spacing w:line="600" w:lineRule="exact"/>
        <w:ind w:right="150" w:rightChars="50" w:firstLine="640" w:firstLineChars="200"/>
        <w:jc w:val="both"/>
        <w:textAlignment w:val="auto"/>
        <w:rPr>
          <w:rFonts w:hint="eastAsia" w:ascii="仿宋_GB2312" w:hAnsi="仿宋_GB2312" w:eastAsia="仿宋_GB2312" w:cs="仿宋_GB2312"/>
          <w:bCs w:val="0"/>
          <w:snapToGrid/>
          <w:color w:val="auto"/>
          <w:spacing w:val="0"/>
          <w:kern w:val="2"/>
          <w:sz w:val="32"/>
          <w:szCs w:val="32"/>
          <w:highlight w:val="none"/>
          <w:lang w:val="en-US" w:eastAsia="zh-CN" w:bidi="ar-SA"/>
        </w:rPr>
      </w:pPr>
      <w:r>
        <w:rPr>
          <w:rFonts w:hint="eastAsia" w:ascii="仿宋_GB2312" w:hAnsi="仿宋_GB2312" w:eastAsia="仿宋_GB2312" w:cs="仿宋_GB2312"/>
          <w:bCs w:val="0"/>
          <w:snapToGrid/>
          <w:color w:val="auto"/>
          <w:spacing w:val="0"/>
          <w:kern w:val="2"/>
          <w:sz w:val="32"/>
          <w:szCs w:val="32"/>
          <w:highlight w:val="none"/>
          <w:lang w:val="en-US" w:eastAsia="zh-CN" w:bidi="ar-SA"/>
        </w:rPr>
        <w:t>（二）</w:t>
      </w:r>
      <w:r>
        <w:rPr>
          <w:rFonts w:hint="eastAsia" w:ascii="仿宋_GB2312" w:hAnsi="仿宋_GB2312" w:eastAsia="仿宋_GB2312" w:cs="仿宋_GB2312"/>
          <w:b w:val="0"/>
          <w:bCs/>
          <w:color w:val="auto"/>
          <w:sz w:val="32"/>
          <w:szCs w:val="32"/>
          <w:highlight w:val="none"/>
          <w:lang w:eastAsia="zh-CN"/>
        </w:rPr>
        <w:t>严格落实大气污染防治措施。</w:t>
      </w:r>
      <w:r>
        <w:rPr>
          <w:rFonts w:hint="eastAsia" w:ascii="仿宋_GB2312" w:hAnsi="仿宋_GB2312" w:eastAsia="仿宋_GB2312" w:cs="仿宋_GB2312"/>
          <w:i w:val="0"/>
          <w:iCs w:val="0"/>
          <w:caps w:val="0"/>
          <w:color w:val="auto"/>
          <w:spacing w:val="0"/>
          <w:sz w:val="32"/>
          <w:szCs w:val="32"/>
          <w:highlight w:val="none"/>
          <w:shd w:val="clear" w:fill="FFFFFF"/>
        </w:rPr>
        <w:t>运营期4台燃煤循环流化床热水锅炉产生的烟气，分别经各自配套的“SCR+SNCR联合脱硝+炉内脱硫+半干法脱硫+布袋除尘+半干法脱硫协同除尘”工艺处理后，</w:t>
      </w:r>
      <w:r>
        <w:rPr>
          <w:rFonts w:hint="eastAsia" w:ascii="仿宋_GB2312" w:hAnsi="仿宋_GB2312" w:eastAsia="仿宋_GB2312" w:cs="仿宋_GB2312"/>
          <w:i w:val="0"/>
          <w:iCs w:val="0"/>
          <w:caps w:val="0"/>
          <w:color w:val="auto"/>
          <w:spacing w:val="0"/>
          <w:sz w:val="32"/>
          <w:szCs w:val="32"/>
          <w:highlight w:val="none"/>
          <w:shd w:val="clear" w:fill="FFFFFF"/>
          <w:lang w:eastAsia="zh-CN"/>
        </w:rPr>
        <w:t>通过</w:t>
      </w:r>
      <w:r>
        <w:rPr>
          <w:rFonts w:hint="eastAsia" w:ascii="仿宋_GB2312" w:hAnsi="仿宋_GB2312" w:eastAsia="仿宋_GB2312" w:cs="仿宋_GB2312"/>
          <w:i w:val="0"/>
          <w:iCs w:val="0"/>
          <w:caps w:val="0"/>
          <w:color w:val="auto"/>
          <w:spacing w:val="0"/>
          <w:sz w:val="32"/>
          <w:szCs w:val="32"/>
          <w:highlight w:val="none"/>
          <w:shd w:val="clear" w:fill="FFFFFF"/>
        </w:rPr>
        <w:t>1根100m高</w:t>
      </w:r>
      <w:r>
        <w:rPr>
          <w:rFonts w:hint="eastAsia" w:ascii="仿宋_GB2312" w:hAnsi="仿宋_GB2312" w:eastAsia="仿宋_GB2312" w:cs="仿宋_GB2312"/>
          <w:color w:val="auto"/>
          <w:kern w:val="2"/>
          <w:sz w:val="32"/>
          <w:szCs w:val="32"/>
          <w:highlight w:val="none"/>
          <w:lang w:val="en-US" w:eastAsia="zh-CN" w:bidi="ar-SA"/>
        </w:rPr>
        <w:t>烟囱</w:t>
      </w:r>
      <w:r>
        <w:rPr>
          <w:rFonts w:hint="eastAsia" w:ascii="仿宋_GB2312" w:hAnsi="仿宋_GB2312" w:eastAsia="仿宋_GB2312" w:cs="仿宋_GB2312"/>
          <w:i w:val="0"/>
          <w:iCs w:val="0"/>
          <w:caps w:val="0"/>
          <w:color w:val="auto"/>
          <w:spacing w:val="0"/>
          <w:sz w:val="32"/>
          <w:szCs w:val="32"/>
          <w:highlight w:val="none"/>
          <w:shd w:val="clear" w:fill="FFFFFF"/>
        </w:rPr>
        <w:t>（DA001）排放。</w:t>
      </w:r>
      <w:r>
        <w:rPr>
          <w:rFonts w:hint="eastAsia" w:ascii="仿宋_GB2312" w:hAnsi="仿宋_GB2312" w:eastAsia="仿宋_GB2312" w:cs="仿宋_GB2312"/>
          <w:i w:val="0"/>
          <w:iCs w:val="0"/>
          <w:caps w:val="0"/>
          <w:color w:val="auto"/>
          <w:spacing w:val="0"/>
          <w:sz w:val="32"/>
          <w:szCs w:val="32"/>
          <w:highlight w:val="none"/>
          <w:shd w:val="clear" w:fill="FFFFFF"/>
          <w:lang w:eastAsia="zh-CN"/>
        </w:rPr>
        <w:t>废气中</w:t>
      </w:r>
      <w:r>
        <w:rPr>
          <w:rFonts w:hint="eastAsia" w:ascii="仿宋_GB2312" w:hAnsi="仿宋_GB2312" w:eastAsia="仿宋_GB2312" w:cs="仿宋_GB2312"/>
          <w:i w:val="0"/>
          <w:iCs w:val="0"/>
          <w:caps w:val="0"/>
          <w:color w:val="auto"/>
          <w:spacing w:val="0"/>
          <w:sz w:val="32"/>
          <w:szCs w:val="32"/>
          <w:highlight w:val="none"/>
          <w:shd w:val="clear" w:fill="FFFFFF"/>
        </w:rPr>
        <w:t>烟尘、二氧化硫、氮氧化物的有组织排放浓度</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应</w:t>
      </w:r>
      <w:r>
        <w:rPr>
          <w:rFonts w:hint="eastAsia" w:ascii="仿宋_GB2312" w:hAnsi="仿宋_GB2312" w:eastAsia="仿宋_GB2312" w:cs="仿宋_GB2312"/>
          <w:i w:val="0"/>
          <w:iCs w:val="0"/>
          <w:caps w:val="0"/>
          <w:color w:val="auto"/>
          <w:spacing w:val="0"/>
          <w:sz w:val="32"/>
          <w:szCs w:val="32"/>
          <w:highlight w:val="none"/>
          <w:shd w:val="clear" w:fill="FFFFFF"/>
        </w:rPr>
        <w:t>同时满足《火电厂大气污染物排放标准》（GB 13223-2011）表2特别排放限值</w:t>
      </w:r>
      <w:r>
        <w:rPr>
          <w:rFonts w:hint="eastAsia" w:ascii="仿宋_GB2312" w:hAnsi="仿宋_GB2312" w:eastAsia="仿宋_GB2312" w:cs="仿宋_GB2312"/>
          <w:i w:val="0"/>
          <w:iCs w:val="0"/>
          <w:caps w:val="0"/>
          <w:color w:val="auto"/>
          <w:spacing w:val="0"/>
          <w:sz w:val="32"/>
          <w:szCs w:val="32"/>
          <w:highlight w:val="none"/>
          <w:shd w:val="clear" w:fill="FFFFFF"/>
          <w:lang w:eastAsia="zh-CN"/>
        </w:rPr>
        <w:t>要求</w:t>
      </w:r>
      <w:r>
        <w:rPr>
          <w:rFonts w:hint="eastAsia" w:ascii="仿宋_GB2312" w:hAnsi="仿宋_GB2312" w:eastAsia="仿宋_GB2312" w:cs="仿宋_GB2312"/>
          <w:i w:val="0"/>
          <w:iCs w:val="0"/>
          <w:caps w:val="0"/>
          <w:color w:val="auto"/>
          <w:spacing w:val="0"/>
          <w:sz w:val="32"/>
          <w:szCs w:val="32"/>
          <w:highlight w:val="none"/>
          <w:shd w:val="clear" w:fill="FFFFFF"/>
        </w:rPr>
        <w:t>及《辽宁省关于执行燃煤锅炉大气污染物特别排放限值的通告》中的超低排放</w:t>
      </w:r>
      <w:r>
        <w:rPr>
          <w:rFonts w:hint="eastAsia" w:ascii="仿宋_GB2312" w:hAnsi="仿宋_GB2312" w:eastAsia="仿宋_GB2312" w:cs="仿宋_GB2312"/>
          <w:i w:val="0"/>
          <w:iCs w:val="0"/>
          <w:caps w:val="0"/>
          <w:color w:val="auto"/>
          <w:spacing w:val="0"/>
          <w:sz w:val="32"/>
          <w:szCs w:val="32"/>
          <w:highlight w:val="none"/>
          <w:shd w:val="clear" w:fill="FFFFFF"/>
          <w:lang w:eastAsia="zh-CN"/>
        </w:rPr>
        <w:t>限值</w:t>
      </w:r>
      <w:r>
        <w:rPr>
          <w:rFonts w:hint="eastAsia" w:ascii="仿宋_GB2312" w:hAnsi="仿宋_GB2312" w:eastAsia="仿宋_GB2312" w:cs="仿宋_GB2312"/>
          <w:i w:val="0"/>
          <w:iCs w:val="0"/>
          <w:caps w:val="0"/>
          <w:color w:val="auto"/>
          <w:spacing w:val="0"/>
          <w:sz w:val="32"/>
          <w:szCs w:val="32"/>
          <w:highlight w:val="none"/>
          <w:shd w:val="clear" w:fill="FFFFFF"/>
        </w:rPr>
        <w:t>要求；汞及其化合物、烟气黑度</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应</w:t>
      </w:r>
      <w:r>
        <w:rPr>
          <w:rFonts w:hint="eastAsia" w:ascii="仿宋_GB2312" w:hAnsi="仿宋_GB2312" w:eastAsia="仿宋_GB2312" w:cs="仿宋_GB2312"/>
          <w:i w:val="0"/>
          <w:iCs w:val="0"/>
          <w:caps w:val="0"/>
          <w:color w:val="auto"/>
          <w:spacing w:val="0"/>
          <w:sz w:val="32"/>
          <w:szCs w:val="32"/>
          <w:highlight w:val="none"/>
          <w:shd w:val="clear" w:fill="FFFFFF"/>
        </w:rPr>
        <w:t>满足《火电厂大气污染物排放标准》（GB13223-2011）表2燃煤锅炉特别排放限值要求。脱硝过程产生的氨随废气经同一排气筒（DA001）排放，排放浓度应满足《燃煤电厂超低排放烟气治理工程技术规范》（HJ2053-2018）表4标准限值要求。灰仓</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2个</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装卸过程中产生的颗粒物经仓顶除尘器处理后</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由37m高排气筒（DA002</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w:t>
      </w:r>
      <w:r>
        <w:rPr>
          <w:rFonts w:hint="eastAsia" w:ascii="仿宋_GB2312" w:hAnsi="仿宋_GB2312" w:eastAsia="仿宋_GB2312" w:cs="仿宋_GB2312"/>
          <w:i w:val="0"/>
          <w:iCs w:val="0"/>
          <w:caps w:val="0"/>
          <w:color w:val="auto"/>
          <w:spacing w:val="0"/>
          <w:sz w:val="32"/>
          <w:szCs w:val="32"/>
          <w:highlight w:val="none"/>
          <w:shd w:val="clear" w:fill="FFFFFF"/>
        </w:rPr>
        <w:t>DA003）排放</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渣仓</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2个</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装卸过程中产生的颗粒物经仓顶除尘器处理后</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由15m高排气筒（DA004</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w:t>
      </w:r>
      <w:r>
        <w:rPr>
          <w:rFonts w:hint="eastAsia" w:ascii="仿宋_GB2312" w:hAnsi="仿宋_GB2312" w:eastAsia="仿宋_GB2312" w:cs="仿宋_GB2312"/>
          <w:i w:val="0"/>
          <w:iCs w:val="0"/>
          <w:caps w:val="0"/>
          <w:color w:val="auto"/>
          <w:spacing w:val="0"/>
          <w:sz w:val="32"/>
          <w:szCs w:val="32"/>
          <w:highlight w:val="none"/>
          <w:shd w:val="clear" w:fill="FFFFFF"/>
        </w:rPr>
        <w:t>DA005）排放。颗粒物排放</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应</w:t>
      </w:r>
      <w:r>
        <w:rPr>
          <w:rFonts w:hint="eastAsia" w:ascii="仿宋_GB2312" w:hAnsi="仿宋_GB2312" w:eastAsia="仿宋_GB2312" w:cs="仿宋_GB2312"/>
          <w:i w:val="0"/>
          <w:iCs w:val="0"/>
          <w:caps w:val="0"/>
          <w:color w:val="auto"/>
          <w:spacing w:val="0"/>
          <w:sz w:val="32"/>
          <w:szCs w:val="32"/>
          <w:highlight w:val="none"/>
          <w:shd w:val="clear" w:fill="FFFFFF"/>
        </w:rPr>
        <w:t>满足《大气污染物综合排放标准》（GB 16297-1996）表2限值要求。脱硫脱硝楼、煤库、碎煤机室、备品备件库、推煤机库、泵房、输煤栈桥及灰仓、渣仓等易产尘区域实施全封闭管理，并辅以地面硬化、洒水抑尘等措施后，</w:t>
      </w:r>
      <w:r>
        <w:rPr>
          <w:rFonts w:hint="eastAsia" w:ascii="仿宋_GB2312" w:hAnsi="仿宋_GB2312" w:eastAsia="仿宋_GB2312" w:cs="仿宋_GB2312"/>
          <w:i w:val="0"/>
          <w:iCs w:val="0"/>
          <w:caps w:val="0"/>
          <w:color w:val="auto"/>
          <w:spacing w:val="0"/>
          <w:sz w:val="32"/>
          <w:szCs w:val="32"/>
          <w:highlight w:val="none"/>
          <w:shd w:val="clear" w:fill="FFFFFF"/>
          <w:lang w:eastAsia="zh-CN"/>
        </w:rPr>
        <w:t>厂界</w:t>
      </w:r>
      <w:r>
        <w:rPr>
          <w:rFonts w:hint="eastAsia" w:ascii="仿宋_GB2312" w:hAnsi="仿宋_GB2312" w:eastAsia="仿宋_GB2312" w:cs="仿宋_GB2312"/>
          <w:i w:val="0"/>
          <w:iCs w:val="0"/>
          <w:caps w:val="0"/>
          <w:color w:val="auto"/>
          <w:spacing w:val="0"/>
          <w:sz w:val="32"/>
          <w:szCs w:val="32"/>
          <w:highlight w:val="none"/>
          <w:shd w:val="clear" w:fill="FFFFFF"/>
        </w:rPr>
        <w:t>颗粒物无组织排放浓度</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应</w:t>
      </w:r>
      <w:r>
        <w:rPr>
          <w:rFonts w:hint="eastAsia" w:ascii="仿宋_GB2312" w:hAnsi="仿宋_GB2312" w:eastAsia="仿宋_GB2312" w:cs="仿宋_GB2312"/>
          <w:i w:val="0"/>
          <w:iCs w:val="0"/>
          <w:caps w:val="0"/>
          <w:color w:val="auto"/>
          <w:spacing w:val="0"/>
          <w:sz w:val="32"/>
          <w:szCs w:val="32"/>
          <w:highlight w:val="none"/>
          <w:shd w:val="clear" w:fill="FFFFFF"/>
        </w:rPr>
        <w:t>满足《大气污染物综合排放标准》（GB16297-1996）</w:t>
      </w:r>
      <w:r>
        <w:rPr>
          <w:rFonts w:hint="eastAsia" w:ascii="仿宋_GB2312" w:hAnsi="仿宋_GB2312" w:eastAsia="仿宋_GB2312" w:cs="仿宋_GB2312"/>
          <w:i w:val="0"/>
          <w:iCs w:val="0"/>
          <w:caps w:val="0"/>
          <w:color w:val="auto"/>
          <w:spacing w:val="0"/>
          <w:sz w:val="32"/>
          <w:szCs w:val="32"/>
          <w:highlight w:val="none"/>
          <w:shd w:val="clear" w:fill="FFFFFF"/>
          <w:lang w:eastAsia="zh-CN"/>
        </w:rPr>
        <w:t>表</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w:t>
      </w:r>
      <w:r>
        <w:rPr>
          <w:rFonts w:hint="eastAsia" w:ascii="仿宋_GB2312" w:hAnsi="仿宋_GB2312" w:eastAsia="仿宋_GB2312" w:cs="仿宋_GB2312"/>
          <w:i w:val="0"/>
          <w:iCs w:val="0"/>
          <w:caps w:val="0"/>
          <w:color w:val="auto"/>
          <w:spacing w:val="0"/>
          <w:sz w:val="32"/>
          <w:szCs w:val="32"/>
          <w:highlight w:val="none"/>
          <w:shd w:val="clear" w:fill="FFFFFF"/>
        </w:rPr>
        <w:t>浓度限值要求。</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厂界氨无组织排放浓度应满足《恶臭污染物排放标准》（GB14554-93）表1二级标准要求。</w:t>
      </w:r>
    </w:p>
    <w:p w14:paraId="774455F4">
      <w:pPr>
        <w:keepNext w:val="0"/>
        <w:keepLines w:val="0"/>
        <w:pageBreakBefore w:val="0"/>
        <w:kinsoku/>
        <w:wordWrap/>
        <w:overflowPunct w:val="0"/>
        <w:topLinePunct w:val="0"/>
        <w:autoSpaceDE w:val="0"/>
        <w:autoSpaceDN w:val="0"/>
        <w:bidi w:val="0"/>
        <w:adjustRightInd w:val="0"/>
        <w:snapToGrid w:val="0"/>
        <w:spacing w:line="600" w:lineRule="exact"/>
        <w:ind w:firstLine="680"/>
        <w:textAlignment w:val="auto"/>
        <w:rPr>
          <w:rFonts w:hint="eastAsia" w:ascii="仿宋_GB2312" w:hAnsi="仿宋_GB2312" w:eastAsia="仿宋_GB2312" w:cs="仿宋_GB2312"/>
          <w:b w:val="0"/>
          <w:bCs/>
          <w:snapToGrid w:val="0"/>
          <w:color w:val="auto"/>
          <w:spacing w:val="10"/>
          <w:kern w:val="0"/>
          <w:sz w:val="32"/>
          <w:szCs w:val="32"/>
          <w:highlight w:val="none"/>
          <w:lang w:val="en-US" w:eastAsia="zh-CN" w:bidi="ar"/>
        </w:rPr>
      </w:pPr>
      <w:r>
        <w:rPr>
          <w:rFonts w:hint="eastAsia" w:ascii="仿宋_GB2312" w:hAnsi="仿宋_GB2312" w:eastAsia="仿宋_GB2312" w:cs="仿宋_GB2312"/>
          <w:bCs w:val="0"/>
          <w:snapToGrid/>
          <w:color w:val="auto"/>
          <w:spacing w:val="0"/>
          <w:kern w:val="2"/>
          <w:sz w:val="32"/>
          <w:szCs w:val="32"/>
          <w:highlight w:val="none"/>
          <w:lang w:val="en-US" w:eastAsia="zh-CN" w:bidi="ar-SA"/>
        </w:rPr>
        <w:t>（三）</w:t>
      </w:r>
      <w:r>
        <w:rPr>
          <w:rFonts w:hint="eastAsia" w:ascii="仿宋_GB2312" w:hAnsi="仿宋_GB2312" w:eastAsia="仿宋_GB2312" w:cs="仿宋_GB2312"/>
          <w:b w:val="0"/>
          <w:bCs/>
          <w:iCs w:val="0"/>
          <w:snapToGrid w:val="0"/>
          <w:color w:val="auto"/>
          <w:spacing w:val="10"/>
          <w:sz w:val="32"/>
          <w:szCs w:val="32"/>
          <w:highlight w:val="none"/>
          <w:lang w:val="en-US" w:eastAsia="zh-CN" w:bidi="ar-SA"/>
        </w:rPr>
        <w:t>严格落实水污染防治措施。</w:t>
      </w:r>
      <w:r>
        <w:rPr>
          <w:rFonts w:hint="eastAsia" w:ascii="仿宋_GB2312" w:hAnsi="仿宋_GB2312" w:eastAsia="仿宋_GB2312" w:cs="仿宋_GB2312"/>
          <w:bCs w:val="0"/>
          <w:snapToGrid/>
          <w:color w:val="auto"/>
          <w:spacing w:val="0"/>
          <w:kern w:val="2"/>
          <w:sz w:val="32"/>
          <w:szCs w:val="32"/>
          <w:highlight w:val="none"/>
          <w:lang w:val="en-US" w:eastAsia="zh-CN" w:bidi="ar-SA"/>
        </w:rPr>
        <w:t>项目运营期产生的水处理系统树脂再生废水、锅炉排污水回用于冲渣，脱硝过滤器反冲洗水回用于尿素稀释液用水，不外排。</w:t>
      </w:r>
      <w:r>
        <w:rPr>
          <w:rFonts w:hint="eastAsia" w:ascii="仿宋_GB2312" w:hAnsi="仿宋_GB2312" w:eastAsia="仿宋_GB2312" w:cs="仿宋_GB2312"/>
          <w:b w:val="0"/>
          <w:bCs/>
          <w:snapToGrid w:val="0"/>
          <w:color w:val="auto"/>
          <w:sz w:val="32"/>
          <w:szCs w:val="32"/>
          <w:highlight w:val="none"/>
          <w:lang w:val="zh-CN" w:eastAsia="zh-CN"/>
        </w:rPr>
        <w:t>生活污水经</w:t>
      </w:r>
      <w:r>
        <w:rPr>
          <w:rFonts w:hint="eastAsia" w:ascii="仿宋_GB2312" w:hAnsi="仿宋_GB2312" w:eastAsia="仿宋_GB2312" w:cs="仿宋_GB2312"/>
          <w:b w:val="0"/>
          <w:bCs/>
          <w:snapToGrid w:val="0"/>
          <w:color w:val="auto"/>
          <w:sz w:val="32"/>
          <w:szCs w:val="32"/>
          <w:highlight w:val="none"/>
          <w:lang w:val="en-US" w:eastAsia="zh-CN"/>
        </w:rPr>
        <w:t>化粪池（10m</w:t>
      </w:r>
      <w:r>
        <w:rPr>
          <w:rFonts w:hint="eastAsia" w:ascii="仿宋_GB2312" w:hAnsi="仿宋_GB2312" w:eastAsia="仿宋_GB2312" w:cs="仿宋_GB2312"/>
          <w:b w:val="0"/>
          <w:bCs/>
          <w:snapToGrid w:val="0"/>
          <w:color w:val="auto"/>
          <w:sz w:val="32"/>
          <w:szCs w:val="32"/>
          <w:highlight w:val="none"/>
          <w:vertAlign w:val="superscript"/>
          <w:lang w:val="en-US" w:eastAsia="zh-CN"/>
        </w:rPr>
        <w:t>3</w:t>
      </w:r>
      <w:r>
        <w:rPr>
          <w:rFonts w:hint="eastAsia" w:ascii="仿宋_GB2312" w:hAnsi="仿宋_GB2312" w:eastAsia="仿宋_GB2312" w:cs="仿宋_GB2312"/>
          <w:b w:val="0"/>
          <w:bCs/>
          <w:snapToGrid w:val="0"/>
          <w:color w:val="auto"/>
          <w:sz w:val="32"/>
          <w:szCs w:val="32"/>
          <w:highlight w:val="none"/>
          <w:lang w:val="en-US" w:eastAsia="zh-CN"/>
        </w:rPr>
        <w:t>）处理后，由</w:t>
      </w:r>
      <w:r>
        <w:rPr>
          <w:rFonts w:hint="eastAsia" w:ascii="仿宋_GB2312" w:hAnsi="仿宋_GB2312" w:eastAsia="仿宋_GB2312" w:cs="仿宋_GB2312"/>
          <w:b w:val="0"/>
          <w:bCs/>
          <w:snapToGrid w:val="0"/>
          <w:color w:val="auto"/>
          <w:sz w:val="32"/>
          <w:szCs w:val="32"/>
          <w:highlight w:val="none"/>
          <w:lang w:val="zh-CN" w:eastAsia="zh-CN"/>
        </w:rPr>
        <w:t>市政管网送入本溪满族自治县镇北污水处理有限公司处置。</w:t>
      </w:r>
      <w:r>
        <w:rPr>
          <w:rFonts w:hint="eastAsia" w:ascii="仿宋_GB2312" w:hAnsi="仿宋_GB2312" w:eastAsia="仿宋_GB2312" w:cs="仿宋_GB2312"/>
          <w:b w:val="0"/>
          <w:bCs/>
          <w:snapToGrid w:val="0"/>
          <w:color w:val="auto"/>
          <w:spacing w:val="10"/>
          <w:kern w:val="0"/>
          <w:sz w:val="32"/>
          <w:szCs w:val="32"/>
          <w:highlight w:val="none"/>
          <w:lang w:val="en-US" w:eastAsia="zh-CN" w:bidi="ar"/>
        </w:rPr>
        <w:t>废水排放浓度应满足《辽宁省污水综合排放标准》（DB21/1627-2008）表2相关限值要求及《污水综合排放标准》（GB8978-1996）表4相关限值要求。</w:t>
      </w:r>
    </w:p>
    <w:p w14:paraId="177DA44D">
      <w:pPr>
        <w:keepNext w:val="0"/>
        <w:keepLines w:val="0"/>
        <w:pageBreakBefore w:val="0"/>
        <w:kinsoku/>
        <w:wordWrap/>
        <w:overflowPunct/>
        <w:autoSpaceDE/>
        <w:autoSpaceDN/>
        <w:bidi w:val="0"/>
        <w:adjustRightInd w:val="0"/>
        <w:snapToGrid w:val="0"/>
        <w:spacing w:line="600" w:lineRule="exact"/>
        <w:ind w:right="150" w:rightChars="50" w:firstLine="520"/>
        <w:textAlignment w:val="auto"/>
        <w:rPr>
          <w:rFonts w:hint="eastAsia" w:ascii="仿宋_GB2312" w:hAnsi="仿宋_GB2312" w:eastAsia="仿宋_GB2312" w:cs="仿宋_GB2312"/>
          <w:bCs/>
          <w:color w:val="auto"/>
          <w:sz w:val="32"/>
          <w:szCs w:val="32"/>
          <w:highlight w:val="none"/>
          <w:lang w:val="en-US" w:eastAsia="zh-CN" w:bidi="ar"/>
        </w:rPr>
      </w:pPr>
      <w:r>
        <w:rPr>
          <w:rFonts w:hint="eastAsia" w:ascii="仿宋_GB2312" w:hAnsi="仿宋_GB2312" w:eastAsia="仿宋_GB2312" w:cs="仿宋_GB2312"/>
          <w:bCs w:val="0"/>
          <w:snapToGrid/>
          <w:color w:val="auto"/>
          <w:spacing w:val="0"/>
          <w:kern w:val="2"/>
          <w:sz w:val="32"/>
          <w:szCs w:val="32"/>
          <w:highlight w:val="none"/>
          <w:lang w:val="zh-TW" w:eastAsia="zh-CN" w:bidi="ar-SA"/>
        </w:rPr>
        <w:t>（</w:t>
      </w:r>
      <w:r>
        <w:rPr>
          <w:rFonts w:hint="eastAsia" w:ascii="仿宋_GB2312" w:hAnsi="仿宋_GB2312" w:eastAsia="仿宋_GB2312" w:cs="仿宋_GB2312"/>
          <w:bCs w:val="0"/>
          <w:snapToGrid/>
          <w:color w:val="auto"/>
          <w:spacing w:val="0"/>
          <w:kern w:val="2"/>
          <w:sz w:val="32"/>
          <w:szCs w:val="32"/>
          <w:highlight w:val="none"/>
          <w:lang w:val="en-US" w:eastAsia="zh-CN" w:bidi="ar-SA"/>
        </w:rPr>
        <w:t>四</w:t>
      </w:r>
      <w:r>
        <w:rPr>
          <w:rFonts w:hint="eastAsia" w:ascii="仿宋_GB2312" w:hAnsi="仿宋_GB2312" w:eastAsia="仿宋_GB2312" w:cs="仿宋_GB2312"/>
          <w:bCs w:val="0"/>
          <w:snapToGrid/>
          <w:color w:val="auto"/>
          <w:spacing w:val="0"/>
          <w:kern w:val="2"/>
          <w:sz w:val="32"/>
          <w:szCs w:val="32"/>
          <w:highlight w:val="none"/>
          <w:lang w:val="zh-TW" w:eastAsia="zh-CN" w:bidi="ar-SA"/>
        </w:rPr>
        <w:t>）</w:t>
      </w:r>
      <w:r>
        <w:rPr>
          <w:rFonts w:hint="eastAsia" w:ascii="仿宋_GB2312" w:hAnsi="仿宋_GB2312" w:eastAsia="仿宋_GB2312" w:cs="仿宋_GB2312"/>
          <w:b w:val="0"/>
          <w:bCs/>
          <w:iCs w:val="0"/>
          <w:snapToGrid w:val="0"/>
          <w:color w:val="auto"/>
          <w:spacing w:val="10"/>
          <w:sz w:val="32"/>
          <w:szCs w:val="32"/>
          <w:highlight w:val="none"/>
          <w:lang w:val="zh-TW" w:eastAsia="zh-CN" w:bidi="ar-SA"/>
        </w:rPr>
        <w:t>严格落实噪声污染防治措施</w:t>
      </w:r>
      <w:r>
        <w:rPr>
          <w:rFonts w:hint="eastAsia" w:ascii="仿宋_GB2312" w:hAnsi="仿宋_GB2312" w:eastAsia="仿宋_GB2312" w:cs="仿宋_GB2312"/>
          <w:b w:val="0"/>
          <w:bCs/>
          <w:iCs w:val="0"/>
          <w:snapToGrid w:val="0"/>
          <w:color w:val="auto"/>
          <w:spacing w:val="10"/>
          <w:sz w:val="32"/>
          <w:szCs w:val="32"/>
          <w:highlight w:val="none"/>
          <w:lang w:val="en-US" w:eastAsia="zh-CN" w:bidi="ar-SA"/>
        </w:rPr>
        <w:t>。</w:t>
      </w:r>
      <w:r>
        <w:rPr>
          <w:rFonts w:hint="eastAsia" w:ascii="仿宋_GB2312" w:hAnsi="仿宋_GB2312" w:eastAsia="仿宋_GB2312" w:cs="仿宋_GB2312"/>
          <w:bCs/>
          <w:color w:val="auto"/>
          <w:sz w:val="32"/>
          <w:szCs w:val="32"/>
          <w:highlight w:val="none"/>
          <w:lang w:val="en-US" w:eastAsia="zh-CN" w:bidi="ar"/>
        </w:rPr>
        <w:t>通过选用低噪声设备、</w:t>
      </w:r>
      <w:r>
        <w:rPr>
          <w:rFonts w:hint="eastAsia" w:ascii="仿宋_GB2312" w:hAnsi="仿宋_GB2312" w:eastAsia="仿宋_GB2312" w:cs="仿宋_GB2312"/>
          <w:color w:val="auto"/>
          <w:sz w:val="32"/>
          <w:szCs w:val="32"/>
          <w:highlight w:val="none"/>
          <w:lang w:val="en-US" w:eastAsia="zh-CN" w:bidi="ar"/>
        </w:rPr>
        <w:t>基础</w:t>
      </w:r>
      <w:r>
        <w:rPr>
          <w:rFonts w:hint="eastAsia" w:ascii="仿宋_GB2312" w:hAnsi="仿宋_GB2312" w:eastAsia="仿宋_GB2312" w:cs="仿宋_GB2312"/>
          <w:color w:val="auto"/>
          <w:sz w:val="32"/>
          <w:szCs w:val="32"/>
          <w:highlight w:val="none"/>
          <w:lang w:bidi="ar"/>
        </w:rPr>
        <w:t>减振</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val="en-US" w:eastAsia="zh-CN" w:bidi="ar"/>
        </w:rPr>
        <w:t>厂房隔声</w:t>
      </w:r>
      <w:r>
        <w:rPr>
          <w:rFonts w:hint="eastAsia" w:ascii="仿宋_GB2312" w:hAnsi="仿宋_GB2312" w:eastAsia="仿宋_GB2312" w:cs="仿宋_GB2312"/>
          <w:color w:val="auto"/>
          <w:sz w:val="32"/>
          <w:szCs w:val="32"/>
          <w:highlight w:val="none"/>
          <w:lang w:bidi="ar"/>
        </w:rPr>
        <w:t>等降噪措施后</w:t>
      </w:r>
      <w:r>
        <w:rPr>
          <w:rFonts w:hint="eastAsia" w:ascii="仿宋_GB2312" w:hAnsi="仿宋_GB2312" w:eastAsia="仿宋_GB2312" w:cs="仿宋_GB2312"/>
          <w:bCs/>
          <w:color w:val="auto"/>
          <w:sz w:val="32"/>
          <w:szCs w:val="32"/>
          <w:highlight w:val="none"/>
          <w:lang w:val="zh-CN" w:eastAsia="zh-CN" w:bidi="ar"/>
        </w:rPr>
        <w:t>，</w:t>
      </w:r>
      <w:r>
        <w:rPr>
          <w:rFonts w:hint="eastAsia" w:ascii="仿宋_GB2312" w:hAnsi="仿宋_GB2312" w:eastAsia="仿宋_GB2312" w:cs="仿宋_GB2312"/>
          <w:color w:val="auto"/>
          <w:sz w:val="32"/>
          <w:szCs w:val="32"/>
          <w:highlight w:val="none"/>
          <w:lang w:bidi="ar"/>
        </w:rPr>
        <w:t>厂界</w:t>
      </w:r>
      <w:r>
        <w:rPr>
          <w:rFonts w:hint="eastAsia" w:ascii="仿宋_GB2312" w:hAnsi="仿宋_GB2312" w:eastAsia="仿宋_GB2312" w:cs="仿宋_GB2312"/>
          <w:color w:val="auto"/>
          <w:sz w:val="32"/>
          <w:szCs w:val="32"/>
          <w:highlight w:val="none"/>
          <w:lang w:val="en-US" w:eastAsia="zh-CN" w:bidi="ar"/>
        </w:rPr>
        <w:t>东侧、西侧、北侧</w:t>
      </w:r>
      <w:r>
        <w:rPr>
          <w:rFonts w:hint="eastAsia" w:ascii="仿宋_GB2312" w:hAnsi="仿宋_GB2312" w:eastAsia="仿宋_GB2312" w:cs="仿宋_GB2312"/>
          <w:bCs/>
          <w:color w:val="auto"/>
          <w:sz w:val="32"/>
          <w:szCs w:val="32"/>
          <w:highlight w:val="none"/>
          <w:lang w:val="zh-CN" w:eastAsia="zh-CN" w:bidi="ar"/>
        </w:rPr>
        <w:t>噪声</w:t>
      </w:r>
      <w:r>
        <w:rPr>
          <w:rFonts w:hint="eastAsia" w:ascii="仿宋_GB2312" w:hAnsi="仿宋_GB2312" w:eastAsia="仿宋_GB2312" w:cs="仿宋_GB2312"/>
          <w:bCs/>
          <w:color w:val="auto"/>
          <w:sz w:val="32"/>
          <w:szCs w:val="32"/>
          <w:highlight w:val="none"/>
          <w:lang w:val="en-US" w:eastAsia="zh-CN" w:bidi="ar"/>
        </w:rPr>
        <w:t>应满足</w:t>
      </w:r>
      <w:r>
        <w:rPr>
          <w:rFonts w:hint="eastAsia" w:ascii="仿宋_GB2312" w:hAnsi="仿宋_GB2312" w:eastAsia="仿宋_GB2312" w:cs="仿宋_GB2312"/>
          <w:bCs/>
          <w:color w:val="auto"/>
          <w:sz w:val="32"/>
          <w:szCs w:val="32"/>
          <w:highlight w:val="none"/>
          <w:lang w:val="zh-CN" w:eastAsia="zh-CN" w:bidi="ar"/>
        </w:rPr>
        <w:t>《工业企业厂界环境噪声排放标准》（GB12348-2008）</w:t>
      </w:r>
      <w:r>
        <w:rPr>
          <w:rFonts w:hint="eastAsia" w:ascii="仿宋_GB2312" w:hAnsi="仿宋_GB2312" w:eastAsia="仿宋_GB2312" w:cs="仿宋_GB2312"/>
          <w:bCs/>
          <w:color w:val="auto"/>
          <w:sz w:val="32"/>
          <w:szCs w:val="32"/>
          <w:highlight w:val="none"/>
          <w:lang w:val="en-US" w:eastAsia="zh-CN" w:bidi="ar"/>
        </w:rPr>
        <w:t>3类</w:t>
      </w:r>
      <w:r>
        <w:rPr>
          <w:rFonts w:hint="eastAsia" w:ascii="仿宋_GB2312" w:hAnsi="仿宋_GB2312" w:eastAsia="仿宋_GB2312" w:cs="仿宋_GB2312"/>
          <w:bCs/>
          <w:color w:val="auto"/>
          <w:sz w:val="32"/>
          <w:szCs w:val="32"/>
          <w:highlight w:val="none"/>
          <w:lang w:val="zh-CN" w:eastAsia="zh-CN" w:bidi="ar"/>
        </w:rPr>
        <w:t>标准要求，</w:t>
      </w:r>
      <w:r>
        <w:rPr>
          <w:rFonts w:hint="eastAsia" w:ascii="仿宋_GB2312" w:hAnsi="仿宋_GB2312" w:eastAsia="仿宋_GB2312" w:cs="仿宋_GB2312"/>
          <w:bCs/>
          <w:color w:val="auto"/>
          <w:sz w:val="32"/>
          <w:szCs w:val="32"/>
          <w:highlight w:val="none"/>
          <w:lang w:val="en-US" w:eastAsia="zh-CN" w:bidi="ar"/>
        </w:rPr>
        <w:t>南侧噪声应满足</w:t>
      </w:r>
      <w:r>
        <w:rPr>
          <w:rFonts w:hint="eastAsia" w:ascii="仿宋_GB2312" w:hAnsi="仿宋_GB2312" w:eastAsia="仿宋_GB2312" w:cs="仿宋_GB2312"/>
          <w:bCs/>
          <w:color w:val="auto"/>
          <w:sz w:val="32"/>
          <w:szCs w:val="32"/>
          <w:highlight w:val="none"/>
          <w:lang w:val="zh-CN" w:eastAsia="zh-CN" w:bidi="ar"/>
        </w:rPr>
        <w:t>《工业企业厂界环境噪声排放标准》（GB12348-2008）</w:t>
      </w:r>
      <w:r>
        <w:rPr>
          <w:rFonts w:hint="eastAsia" w:ascii="仿宋_GB2312" w:hAnsi="仿宋_GB2312" w:eastAsia="仿宋_GB2312" w:cs="仿宋_GB2312"/>
          <w:bCs/>
          <w:color w:val="auto"/>
          <w:sz w:val="32"/>
          <w:szCs w:val="32"/>
          <w:highlight w:val="none"/>
          <w:lang w:val="en-US" w:eastAsia="zh-CN" w:bidi="ar"/>
        </w:rPr>
        <w:t>4类</w:t>
      </w:r>
      <w:r>
        <w:rPr>
          <w:rFonts w:hint="eastAsia" w:ascii="仿宋_GB2312" w:hAnsi="仿宋_GB2312" w:eastAsia="仿宋_GB2312" w:cs="仿宋_GB2312"/>
          <w:bCs/>
          <w:color w:val="auto"/>
          <w:sz w:val="32"/>
          <w:szCs w:val="32"/>
          <w:highlight w:val="none"/>
          <w:lang w:val="zh-CN" w:eastAsia="zh-CN" w:bidi="ar"/>
        </w:rPr>
        <w:t>标准要求。</w:t>
      </w:r>
    </w:p>
    <w:p w14:paraId="7EB4F4AB">
      <w:pPr>
        <w:keepNext w:val="0"/>
        <w:keepLines w:val="0"/>
        <w:pageBreakBefore w:val="0"/>
        <w:tabs>
          <w:tab w:val="left" w:pos="5812"/>
        </w:tabs>
        <w:kinsoku/>
        <w:wordWrap/>
        <w:overflowPunct/>
        <w:autoSpaceDE/>
        <w:autoSpaceDN/>
        <w:bidi w:val="0"/>
        <w:adjustRightInd w:val="0"/>
        <w:snapToGrid w:val="0"/>
        <w:spacing w:line="600" w:lineRule="exact"/>
        <w:ind w:right="150" w:rightChars="50" w:firstLine="640" w:firstLineChars="200"/>
        <w:jc w:val="both"/>
        <w:textAlignment w:val="auto"/>
        <w:rPr>
          <w:rFonts w:hint="eastAsia" w:ascii="仿宋_GB2312" w:hAnsi="仿宋_GB2312" w:eastAsia="仿宋_GB2312" w:cs="仿宋_GB2312"/>
          <w:b w:val="0"/>
          <w:bCs w:val="0"/>
          <w:snapToGrid/>
          <w:color w:val="auto"/>
          <w:spacing w:val="4"/>
          <w:sz w:val="32"/>
          <w:szCs w:val="32"/>
          <w:highlight w:val="none"/>
          <w:lang w:val="en-US" w:eastAsia="zh-CN" w:bidi="en-US"/>
        </w:rPr>
      </w:pPr>
      <w:r>
        <w:rPr>
          <w:rFonts w:hint="eastAsia" w:ascii="仿宋_GB2312" w:hAnsi="仿宋_GB2312" w:eastAsia="仿宋_GB2312" w:cs="仿宋_GB2312"/>
          <w:bCs w:val="0"/>
          <w:snapToGrid/>
          <w:color w:val="auto"/>
          <w:spacing w:val="0"/>
          <w:kern w:val="2"/>
          <w:sz w:val="32"/>
          <w:szCs w:val="32"/>
          <w:highlight w:val="none"/>
          <w:lang w:val="zh-TW" w:eastAsia="zh-CN" w:bidi="ar-SA"/>
        </w:rPr>
        <w:t>（</w:t>
      </w:r>
      <w:r>
        <w:rPr>
          <w:rFonts w:hint="eastAsia" w:ascii="仿宋_GB2312" w:hAnsi="仿宋_GB2312" w:eastAsia="仿宋_GB2312" w:cs="仿宋_GB2312"/>
          <w:bCs w:val="0"/>
          <w:snapToGrid/>
          <w:color w:val="auto"/>
          <w:spacing w:val="0"/>
          <w:kern w:val="2"/>
          <w:sz w:val="32"/>
          <w:szCs w:val="32"/>
          <w:highlight w:val="none"/>
          <w:lang w:val="en-US" w:eastAsia="zh-CN" w:bidi="ar-SA"/>
        </w:rPr>
        <w:t>五</w:t>
      </w:r>
      <w:r>
        <w:rPr>
          <w:rFonts w:hint="eastAsia" w:ascii="仿宋_GB2312" w:hAnsi="仿宋_GB2312" w:eastAsia="仿宋_GB2312" w:cs="仿宋_GB2312"/>
          <w:bCs w:val="0"/>
          <w:snapToGrid/>
          <w:color w:val="auto"/>
          <w:spacing w:val="0"/>
          <w:kern w:val="2"/>
          <w:sz w:val="32"/>
          <w:szCs w:val="32"/>
          <w:highlight w:val="none"/>
          <w:lang w:val="zh-TW" w:eastAsia="zh-CN" w:bidi="ar-SA"/>
        </w:rPr>
        <w:t>）严格落实固体废物污染防控措施。</w:t>
      </w:r>
      <w:r>
        <w:rPr>
          <w:rFonts w:hint="eastAsia" w:ascii="仿宋_GB2312" w:hAnsi="仿宋_GB2312" w:eastAsia="仿宋_GB2312" w:cs="仿宋_GB2312"/>
          <w:bCs/>
          <w:color w:val="auto"/>
          <w:sz w:val="32"/>
          <w:szCs w:val="32"/>
          <w:highlight w:val="none"/>
          <w:lang w:val="en-US" w:eastAsia="zh-CN" w:bidi="ar"/>
        </w:rPr>
        <w:t>项目产生的除尘灰、锅炉渣分别暂存于灰仓、渣仓内；废包装袋、废布袋暂存于一般固废间内(20m</w:t>
      </w:r>
      <w:r>
        <w:rPr>
          <w:rFonts w:hint="eastAsia" w:ascii="仿宋_GB2312" w:hAnsi="仿宋_GB2312" w:eastAsia="仿宋_GB2312" w:cs="仿宋_GB2312"/>
          <w:bCs/>
          <w:color w:val="auto"/>
          <w:sz w:val="32"/>
          <w:szCs w:val="32"/>
          <w:highlight w:val="none"/>
          <w:vertAlign w:val="superscript"/>
          <w:lang w:val="en-US" w:eastAsia="zh-CN" w:bidi="ar"/>
        </w:rPr>
        <w:t>2</w:t>
      </w:r>
      <w:r>
        <w:rPr>
          <w:rFonts w:hint="eastAsia" w:ascii="仿宋_GB2312" w:hAnsi="仿宋_GB2312" w:eastAsia="仿宋_GB2312" w:cs="仿宋_GB2312"/>
          <w:bCs/>
          <w:color w:val="auto"/>
          <w:sz w:val="32"/>
          <w:szCs w:val="32"/>
          <w:highlight w:val="none"/>
          <w:lang w:val="en-US" w:eastAsia="zh-CN" w:bidi="ar"/>
        </w:rPr>
        <w:t>)，经分类收集后外售综合利用。废离子交换树脂由厂家更换后回收处理。一般固废贮存与处置应满足《一般工业固体废物贮存和填埋污染控制标准》(GB18599-2020)相关要求；废机油、废机油桶、废催化剂暂存在危废贮存点(10m</w:t>
      </w:r>
      <w:r>
        <w:rPr>
          <w:rFonts w:hint="eastAsia" w:ascii="仿宋_GB2312" w:hAnsi="仿宋_GB2312" w:eastAsia="仿宋_GB2312" w:cs="仿宋_GB2312"/>
          <w:bCs/>
          <w:color w:val="auto"/>
          <w:sz w:val="32"/>
          <w:szCs w:val="32"/>
          <w:highlight w:val="none"/>
          <w:vertAlign w:val="superscript"/>
          <w:lang w:val="en-US" w:eastAsia="zh-CN" w:bidi="ar"/>
        </w:rPr>
        <w:t>2</w:t>
      </w:r>
      <w:r>
        <w:rPr>
          <w:rFonts w:hint="eastAsia" w:ascii="仿宋_GB2312" w:hAnsi="仿宋_GB2312" w:eastAsia="仿宋_GB2312" w:cs="仿宋_GB2312"/>
          <w:bCs/>
          <w:color w:val="auto"/>
          <w:sz w:val="32"/>
          <w:szCs w:val="32"/>
          <w:highlight w:val="none"/>
          <w:lang w:val="en-US" w:eastAsia="zh-CN" w:bidi="ar"/>
        </w:rPr>
        <w:t>)，定期委托有资质单位进行处理。危废贮存应满足《危险废物贮存污染控制标准》(GB18597-2023)相关要求。生活垃圾收集后交由环卫部门清运处理。</w:t>
      </w:r>
    </w:p>
    <w:p w14:paraId="43EFC20B">
      <w:pPr>
        <w:pStyle w:val="14"/>
        <w:keepNext w:val="0"/>
        <w:keepLines w:val="0"/>
        <w:pageBreakBefore w:val="0"/>
        <w:widowControl w:val="0"/>
        <w:kinsoku/>
        <w:wordWrap/>
        <w:overflowPunct/>
        <w:topLinePunct w:val="0"/>
        <w:autoSpaceDE/>
        <w:autoSpaceDN/>
        <w:bidi w:val="0"/>
        <w:spacing w:line="600" w:lineRule="exact"/>
        <w:ind w:left="0" w:leftChars="0" w:right="150" w:rightChars="50" w:firstLine="640" w:firstLineChars="200"/>
        <w:jc w:val="both"/>
        <w:textAlignment w:val="auto"/>
        <w:rPr>
          <w:rFonts w:hint="eastAsia" w:ascii="仿宋_GB2312" w:hAnsi="仿宋_GB2312" w:eastAsia="仿宋_GB2312" w:cs="仿宋_GB2312"/>
          <w:bCs/>
          <w:snapToGrid w:val="0"/>
          <w:color w:val="auto"/>
          <w:spacing w:val="10"/>
          <w:kern w:val="0"/>
          <w:sz w:val="32"/>
          <w:szCs w:val="32"/>
          <w:highlight w:val="none"/>
          <w:lang w:val="en-US" w:eastAsia="zh-CN" w:bidi="ar"/>
        </w:rPr>
      </w:pPr>
      <w:r>
        <w:rPr>
          <w:rFonts w:hint="eastAsia" w:ascii="仿宋_GB2312" w:hAnsi="仿宋_GB2312" w:eastAsia="仿宋_GB2312" w:cs="仿宋_GB2312"/>
          <w:bCs w:val="0"/>
          <w:strike w:val="0"/>
          <w:dstrike w:val="0"/>
          <w:snapToGrid/>
          <w:color w:val="auto"/>
          <w:spacing w:val="0"/>
          <w:kern w:val="2"/>
          <w:sz w:val="32"/>
          <w:szCs w:val="32"/>
          <w:highlight w:val="none"/>
          <w:lang w:val="en-US" w:eastAsia="zh-CN" w:bidi="ar-SA"/>
        </w:rPr>
        <w:t>（</w:t>
      </w:r>
      <w:r>
        <w:rPr>
          <w:rFonts w:hint="eastAsia" w:ascii="仿宋_GB2312" w:hAnsi="仿宋_GB2312" w:eastAsia="仿宋_GB2312" w:cs="仿宋_GB2312"/>
          <w:b w:val="0"/>
          <w:bCs/>
          <w:iCs w:val="0"/>
          <w:strike w:val="0"/>
          <w:dstrike w:val="0"/>
          <w:snapToGrid w:val="0"/>
          <w:color w:val="auto"/>
          <w:spacing w:val="10"/>
          <w:sz w:val="32"/>
          <w:szCs w:val="32"/>
          <w:highlight w:val="none"/>
          <w:lang w:val="en-US" w:eastAsia="zh-CN" w:bidi="ar-SA"/>
        </w:rPr>
        <w:t>六</w:t>
      </w:r>
      <w:r>
        <w:rPr>
          <w:rFonts w:hint="eastAsia" w:ascii="仿宋_GB2312" w:hAnsi="仿宋_GB2312" w:eastAsia="仿宋_GB2312" w:cs="仿宋_GB2312"/>
          <w:bCs w:val="0"/>
          <w:strike w:val="0"/>
          <w:dstrike w:val="0"/>
          <w:snapToGrid/>
          <w:color w:val="auto"/>
          <w:spacing w:val="0"/>
          <w:kern w:val="2"/>
          <w:sz w:val="32"/>
          <w:szCs w:val="32"/>
          <w:highlight w:val="none"/>
          <w:lang w:val="en-US" w:eastAsia="zh-CN" w:bidi="ar-SA"/>
        </w:rPr>
        <w:t>）</w:t>
      </w:r>
      <w:r>
        <w:rPr>
          <w:rFonts w:hint="eastAsia" w:ascii="仿宋_GB2312" w:hAnsi="仿宋_GB2312" w:eastAsia="仿宋_GB2312" w:cs="仿宋_GB2312"/>
          <w:b w:val="0"/>
          <w:bCs/>
          <w:iCs w:val="0"/>
          <w:strike w:val="0"/>
          <w:dstrike w:val="0"/>
          <w:snapToGrid w:val="0"/>
          <w:color w:val="auto"/>
          <w:spacing w:val="10"/>
          <w:sz w:val="32"/>
          <w:szCs w:val="32"/>
          <w:highlight w:val="none"/>
          <w:lang w:val="zh-TW" w:eastAsia="zh-CN" w:bidi="ar-SA"/>
        </w:rPr>
        <w:t>加强土壤及地下水环境管理。</w:t>
      </w:r>
      <w:r>
        <w:rPr>
          <w:rFonts w:hint="eastAsia" w:ascii="仿宋_GB2312" w:hAnsi="仿宋_GB2312" w:eastAsia="仿宋_GB2312" w:cs="仿宋_GB2312"/>
          <w:bCs/>
          <w:snapToGrid w:val="0"/>
          <w:color w:val="auto"/>
          <w:spacing w:val="10"/>
          <w:sz w:val="32"/>
          <w:szCs w:val="32"/>
          <w:highlight w:val="none"/>
          <w:lang w:val="en-US" w:eastAsia="zh-CN" w:bidi="ar"/>
        </w:rPr>
        <w:t>项目采取分区防渗管控措施，煤库、事故池（500m</w:t>
      </w:r>
      <w:r>
        <w:rPr>
          <w:rFonts w:hint="eastAsia" w:ascii="仿宋_GB2312" w:hAnsi="仿宋_GB2312" w:eastAsia="仿宋_GB2312" w:cs="仿宋_GB2312"/>
          <w:bCs/>
          <w:snapToGrid w:val="0"/>
          <w:color w:val="auto"/>
          <w:spacing w:val="10"/>
          <w:sz w:val="32"/>
          <w:szCs w:val="32"/>
          <w:highlight w:val="none"/>
          <w:vertAlign w:val="superscript"/>
          <w:lang w:val="en-US" w:eastAsia="zh-CN" w:bidi="ar"/>
        </w:rPr>
        <w:t>3</w:t>
      </w:r>
      <w:r>
        <w:rPr>
          <w:rFonts w:hint="eastAsia" w:ascii="仿宋_GB2312" w:hAnsi="仿宋_GB2312" w:eastAsia="仿宋_GB2312" w:cs="仿宋_GB2312"/>
          <w:bCs/>
          <w:snapToGrid w:val="0"/>
          <w:color w:val="auto"/>
          <w:spacing w:val="10"/>
          <w:sz w:val="32"/>
          <w:szCs w:val="32"/>
          <w:highlight w:val="none"/>
          <w:lang w:val="en-US" w:eastAsia="zh-CN" w:bidi="ar"/>
        </w:rPr>
        <w:t>）、消防水池（600m</w:t>
      </w:r>
      <w:r>
        <w:rPr>
          <w:rFonts w:hint="eastAsia" w:ascii="仿宋_GB2312" w:hAnsi="仿宋_GB2312" w:eastAsia="仿宋_GB2312" w:cs="仿宋_GB2312"/>
          <w:bCs/>
          <w:snapToGrid w:val="0"/>
          <w:color w:val="auto"/>
          <w:spacing w:val="10"/>
          <w:sz w:val="32"/>
          <w:szCs w:val="32"/>
          <w:highlight w:val="none"/>
          <w:vertAlign w:val="superscript"/>
          <w:lang w:val="en-US" w:eastAsia="zh-CN" w:bidi="ar"/>
        </w:rPr>
        <w:t>3</w:t>
      </w:r>
      <w:r>
        <w:rPr>
          <w:rFonts w:hint="eastAsia" w:ascii="仿宋_GB2312" w:hAnsi="仿宋_GB2312" w:eastAsia="仿宋_GB2312" w:cs="仿宋_GB2312"/>
          <w:bCs/>
          <w:snapToGrid w:val="0"/>
          <w:color w:val="auto"/>
          <w:spacing w:val="10"/>
          <w:sz w:val="32"/>
          <w:szCs w:val="32"/>
          <w:highlight w:val="none"/>
          <w:lang w:val="en-US" w:eastAsia="zh-CN" w:bidi="ar"/>
        </w:rPr>
        <w:t>）灰仓、渣仓、化粪池、危险废物贮存点作为重点防渗区（Mb≥6.0m，K≤1.0×10</w:t>
      </w:r>
      <w:r>
        <w:rPr>
          <w:rFonts w:hint="eastAsia" w:ascii="仿宋_GB2312" w:hAnsi="仿宋_GB2312" w:eastAsia="仿宋_GB2312" w:cs="仿宋_GB2312"/>
          <w:bCs/>
          <w:snapToGrid w:val="0"/>
          <w:color w:val="auto"/>
          <w:spacing w:val="10"/>
          <w:sz w:val="32"/>
          <w:szCs w:val="32"/>
          <w:highlight w:val="none"/>
          <w:vertAlign w:val="superscript"/>
          <w:lang w:val="en-US" w:eastAsia="zh-CN" w:bidi="ar"/>
        </w:rPr>
        <w:t>-7</w:t>
      </w:r>
      <w:r>
        <w:rPr>
          <w:rFonts w:hint="eastAsia" w:ascii="仿宋_GB2312" w:hAnsi="仿宋_GB2312" w:eastAsia="仿宋_GB2312" w:cs="仿宋_GB2312"/>
          <w:bCs/>
          <w:snapToGrid w:val="0"/>
          <w:color w:val="auto"/>
          <w:spacing w:val="10"/>
          <w:sz w:val="32"/>
          <w:szCs w:val="32"/>
          <w:highlight w:val="none"/>
          <w:lang w:val="en-US" w:eastAsia="zh-CN" w:bidi="ar"/>
        </w:rPr>
        <w:t>cm/s）；备品备件库、推煤机库、锅炉间、化学水处理间（软化水）作为一般防渗区（Mb≥1.5m，K≤1.0×10</w:t>
      </w:r>
      <w:r>
        <w:rPr>
          <w:rFonts w:hint="eastAsia" w:ascii="仿宋_GB2312" w:hAnsi="仿宋_GB2312" w:eastAsia="仿宋_GB2312" w:cs="仿宋_GB2312"/>
          <w:bCs/>
          <w:snapToGrid w:val="0"/>
          <w:color w:val="auto"/>
          <w:spacing w:val="10"/>
          <w:sz w:val="32"/>
          <w:szCs w:val="32"/>
          <w:highlight w:val="none"/>
          <w:vertAlign w:val="superscript"/>
          <w:lang w:val="en-US" w:eastAsia="zh-CN" w:bidi="ar"/>
        </w:rPr>
        <w:t>-7</w:t>
      </w:r>
      <w:r>
        <w:rPr>
          <w:rFonts w:hint="eastAsia" w:ascii="仿宋_GB2312" w:hAnsi="仿宋_GB2312" w:eastAsia="仿宋_GB2312" w:cs="仿宋_GB2312"/>
          <w:bCs/>
          <w:snapToGrid w:val="0"/>
          <w:color w:val="auto"/>
          <w:spacing w:val="10"/>
          <w:sz w:val="32"/>
          <w:szCs w:val="32"/>
          <w:highlight w:val="none"/>
          <w:lang w:val="en-US" w:eastAsia="zh-CN" w:bidi="ar"/>
        </w:rPr>
        <w:t>cm/s）；厂区道路、办公区等采取简单防渗；地面水泥硬化。</w:t>
      </w:r>
    </w:p>
    <w:p w14:paraId="4AE4AECB">
      <w:pPr>
        <w:pStyle w:val="50"/>
        <w:keepNext w:val="0"/>
        <w:keepLines w:val="0"/>
        <w:pageBreakBefore w:val="0"/>
        <w:widowControl w:val="0"/>
        <w:kinsoku/>
        <w:wordWrap/>
        <w:overflowPunct/>
        <w:topLinePunct/>
        <w:autoSpaceDE/>
        <w:autoSpaceDN/>
        <w:bidi w:val="0"/>
        <w:adjustRightInd/>
        <w:snapToGrid/>
        <w:spacing w:line="600" w:lineRule="exact"/>
        <w:ind w:right="150" w:rightChars="50"/>
        <w:jc w:val="both"/>
        <w:textAlignment w:val="auto"/>
        <w:rPr>
          <w:rFonts w:hint="eastAsia" w:ascii="仿宋_GB2312" w:hAnsi="仿宋_GB2312" w:eastAsia="仿宋_GB2312" w:cs="仿宋_GB2312"/>
          <w:bCs/>
          <w:snapToGrid w:val="0"/>
          <w:color w:val="auto"/>
          <w:spacing w:val="10"/>
          <w:sz w:val="32"/>
          <w:szCs w:val="32"/>
          <w:highlight w:val="none"/>
          <w:lang w:val="en-US" w:eastAsia="zh-CN" w:bidi="ar-SA"/>
        </w:rPr>
      </w:pPr>
      <w:r>
        <w:rPr>
          <w:rFonts w:hint="eastAsia" w:ascii="仿宋_GB2312" w:hAnsi="仿宋_GB2312" w:eastAsia="仿宋_GB2312" w:cs="仿宋_GB2312"/>
          <w:b w:val="0"/>
          <w:bCs/>
          <w:iCs w:val="0"/>
          <w:snapToGrid w:val="0"/>
          <w:color w:val="auto"/>
          <w:spacing w:val="10"/>
          <w:sz w:val="32"/>
          <w:szCs w:val="32"/>
          <w:highlight w:val="none"/>
          <w:lang w:val="en-US" w:eastAsia="zh-CN" w:bidi="ar-SA"/>
        </w:rPr>
        <w:t>（七）严格落实环境风险防控措施。通过</w:t>
      </w:r>
      <w:r>
        <w:rPr>
          <w:rFonts w:hint="eastAsia" w:ascii="仿宋_GB2312" w:hAnsi="仿宋_GB2312" w:eastAsia="仿宋_GB2312" w:cs="仿宋_GB2312"/>
          <w:i w:val="0"/>
          <w:iCs w:val="0"/>
          <w:caps w:val="0"/>
          <w:color w:val="auto"/>
          <w:spacing w:val="0"/>
          <w:sz w:val="32"/>
          <w:szCs w:val="32"/>
          <w:highlight w:val="none"/>
          <w:shd w:val="clear" w:fill="FFFFFF"/>
        </w:rPr>
        <w:t>采取脱硝间氨气报警联动排风、煤库温控通风、雨水事故池截留、重点区域分区防渗、危废合规贮存、敏感区封闭运输、以及烟气治理系统定期检修与异常停机排查等综合防范措施，切实防范环境风险。</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项目应</w:t>
      </w:r>
      <w:r>
        <w:rPr>
          <w:rFonts w:hint="eastAsia" w:ascii="仿宋_GB2312" w:hAnsi="仿宋_GB2312" w:eastAsia="仿宋_GB2312" w:cs="仿宋_GB2312"/>
          <w:bCs/>
          <w:snapToGrid w:val="0"/>
          <w:color w:val="auto"/>
          <w:spacing w:val="10"/>
          <w:sz w:val="32"/>
          <w:szCs w:val="32"/>
          <w:highlight w:val="none"/>
          <w:lang w:val="en-US" w:eastAsia="zh-CN" w:bidi="ar-SA"/>
        </w:rPr>
        <w:t>制订安全、防火制度，环境管理巡查制度等；加强对职工的安全教育；选用高质量的阀门及管件等；配备灭火器、消防沙等应急救援物资；制定相应的应急预案并定期开展应急演练。</w:t>
      </w:r>
    </w:p>
    <w:p w14:paraId="1E99DE7C">
      <w:pPr>
        <w:keepNext w:val="0"/>
        <w:keepLines w:val="0"/>
        <w:pageBreakBefore w:val="0"/>
        <w:widowControl w:val="0"/>
        <w:tabs>
          <w:tab w:val="left" w:pos="5812"/>
        </w:tabs>
        <w:kinsoku/>
        <w:wordWrap/>
        <w:overflowPunct/>
        <w:topLinePunct w:val="0"/>
        <w:autoSpaceDE/>
        <w:autoSpaceDN/>
        <w:bidi w:val="0"/>
        <w:adjustRightInd w:val="0"/>
        <w:snapToGrid w:val="0"/>
        <w:spacing w:line="600" w:lineRule="exact"/>
        <w:ind w:right="150" w:rightChars="50" w:firstLine="68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rPr>
        <w:t>你公司应落实生态环境保护主体责任，严格执行排污许可制度和总量控制制度。建立企业内部生态环境管理机构和体系，明确人员、职责和制度，加强生态环境管理，推进各项生态环境保护措施落实。按照相关法律法规和技术标准规范要求，开展环保设备设施安全风险辨识评估和隐患排查治理，落实安全生产各项责任措施。项目建设必须严格执行配套的环境保护设施与主体工程，同时设计、同时施工、同时投产使用的环境保护“三同时”制度，落实各项环境保护措施以及环境保护设施投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项目竣工后，须按规定程序实施竣工环境保护验收，并向社会进行公示。</w:t>
      </w:r>
      <w:r>
        <w:rPr>
          <w:rFonts w:hint="eastAsia" w:ascii="仿宋_GB2312" w:hAnsi="仿宋_GB2312" w:eastAsia="仿宋_GB2312" w:cs="仿宋_GB2312"/>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r>
        <w:rPr>
          <w:rFonts w:hint="eastAsia" w:ascii="仿宋_GB2312" w:hAnsi="仿宋_GB2312" w:eastAsia="仿宋_GB2312" w:cs="仿宋_GB2312"/>
          <w:color w:val="auto"/>
          <w:sz w:val="32"/>
          <w:szCs w:val="32"/>
          <w:highlight w:val="none"/>
          <w:lang w:val="en-US" w:eastAsia="zh-CN"/>
        </w:rPr>
        <w:t>。</w:t>
      </w:r>
    </w:p>
    <w:p w14:paraId="184B04AD">
      <w:pPr>
        <w:pStyle w:val="48"/>
        <w:keepNext w:val="0"/>
        <w:keepLines w:val="0"/>
        <w:pageBreakBefore w:val="0"/>
        <w:kinsoku/>
        <w:wordWrap/>
        <w:overflowPunct/>
        <w:topLinePunct w:val="0"/>
        <w:autoSpaceDE/>
        <w:autoSpaceDN/>
        <w:bidi w:val="0"/>
        <w:snapToGrid/>
        <w:spacing w:line="600" w:lineRule="exact"/>
        <w:ind w:left="0" w:leftChars="0" w:right="150" w:rightChars="50" w:firstLine="640"/>
        <w:jc w:val="both"/>
        <w:textAlignment w:val="auto"/>
        <w:rPr>
          <w:rFonts w:hint="eastAsia" w:ascii="仿宋_GB2312" w:hAnsi="仿宋_GB2312" w:eastAsia="仿宋_GB2312" w:cs="仿宋_GB2312"/>
          <w:bCs/>
          <w:snapToGrid w:val="0"/>
          <w:color w:val="auto"/>
          <w:spacing w:val="10"/>
          <w:sz w:val="32"/>
          <w:szCs w:val="32"/>
          <w:highlight w:val="none"/>
          <w:lang w:val="en-US" w:eastAsia="zh-CN" w:bidi="ar-SA"/>
        </w:rPr>
      </w:pPr>
      <w:r>
        <w:rPr>
          <w:rFonts w:hint="eastAsia" w:ascii="仿宋_GB2312" w:hAnsi="仿宋_GB2312" w:eastAsia="仿宋_GB2312" w:cs="仿宋_GB2312"/>
          <w:bCs/>
          <w:snapToGrid w:val="0"/>
          <w:color w:val="auto"/>
          <w:spacing w:val="10"/>
          <w:sz w:val="32"/>
          <w:szCs w:val="32"/>
          <w:highlight w:val="none"/>
          <w:lang w:val="en-US" w:eastAsia="zh-CN" w:bidi="ar-SA"/>
        </w:rPr>
        <w:t>四、生态环境影响报告书批准后，该项目的性质、规模、地点、生产工艺或者污染防治措施发生重大变动，且可能导致环境影响显著变化(特别是不利环境影响加重)，应当重新报批该项目环境影响文件。</w:t>
      </w:r>
    </w:p>
    <w:p w14:paraId="2B45DEB5">
      <w:pPr>
        <w:pStyle w:val="48"/>
        <w:keepNext w:val="0"/>
        <w:keepLines w:val="0"/>
        <w:pageBreakBefore w:val="0"/>
        <w:kinsoku/>
        <w:wordWrap/>
        <w:overflowPunct/>
        <w:topLinePunct w:val="0"/>
        <w:autoSpaceDE/>
        <w:autoSpaceDN/>
        <w:bidi w:val="0"/>
        <w:snapToGrid/>
        <w:spacing w:line="600" w:lineRule="exact"/>
        <w:ind w:left="0" w:leftChars="0" w:right="150" w:rightChars="50" w:firstLine="640"/>
        <w:jc w:val="both"/>
        <w:textAlignment w:val="auto"/>
        <w:rPr>
          <w:rFonts w:hint="eastAsia" w:ascii="仿宋_GB2312" w:hAnsi="仿宋_GB2312" w:eastAsia="仿宋_GB2312" w:cs="仿宋_GB2312"/>
          <w:bCs/>
          <w:snapToGrid w:val="0"/>
          <w:color w:val="auto"/>
          <w:spacing w:val="10"/>
          <w:sz w:val="32"/>
          <w:szCs w:val="32"/>
          <w:highlight w:val="none"/>
          <w:lang w:val="en-US" w:eastAsia="zh-CN" w:bidi="ar-SA"/>
        </w:rPr>
      </w:pPr>
      <w:r>
        <w:rPr>
          <w:rFonts w:hint="eastAsia" w:ascii="仿宋_GB2312" w:hAnsi="仿宋_GB2312" w:eastAsia="仿宋_GB2312" w:cs="仿宋_GB2312"/>
          <w:bCs/>
          <w:snapToGrid w:val="0"/>
          <w:color w:val="auto"/>
          <w:spacing w:val="10"/>
          <w:sz w:val="32"/>
          <w:szCs w:val="32"/>
          <w:highlight w:val="none"/>
          <w:lang w:val="en-US" w:eastAsia="zh-CN" w:bidi="ar-SA"/>
        </w:rPr>
        <w:t>五、项目日常环境监督检查工作由本溪市生态环境保护综合行政执法队负责。</w:t>
      </w:r>
    </w:p>
    <w:p w14:paraId="5F06ADE7">
      <w:pPr>
        <w:keepNext w:val="0"/>
        <w:keepLines w:val="0"/>
        <w:pageBreakBefore w:val="0"/>
        <w:kinsoku/>
        <w:wordWrap/>
        <w:overflowPunct/>
        <w:topLinePunct w:val="0"/>
        <w:autoSpaceDE/>
        <w:autoSpaceDN/>
        <w:bidi w:val="0"/>
        <w:spacing w:line="600" w:lineRule="exact"/>
        <w:ind w:left="0" w:leftChars="0" w:right="150" w:rightChars="50" w:firstLine="2397" w:firstLineChars="705"/>
        <w:jc w:val="center"/>
        <w:textAlignment w:val="auto"/>
        <w:rPr>
          <w:rFonts w:hint="eastAsia" w:ascii="仿宋_GB2312" w:hAnsi="仿宋_GB2312" w:eastAsia="仿宋_GB2312" w:cs="仿宋_GB2312"/>
          <w:color w:val="auto"/>
          <w:sz w:val="32"/>
          <w:szCs w:val="32"/>
          <w:highlight w:val="none"/>
        </w:rPr>
      </w:pPr>
    </w:p>
    <w:p w14:paraId="6CAE11BA">
      <w:pPr>
        <w:keepNext w:val="0"/>
        <w:keepLines w:val="0"/>
        <w:pageBreakBefore w:val="0"/>
        <w:kinsoku/>
        <w:wordWrap/>
        <w:overflowPunct/>
        <w:topLinePunct w:val="0"/>
        <w:autoSpaceDE/>
        <w:autoSpaceDN/>
        <w:bidi w:val="0"/>
        <w:spacing w:line="600" w:lineRule="exact"/>
        <w:ind w:left="0" w:leftChars="0" w:right="150" w:rightChars="50" w:firstLine="2397" w:firstLineChars="705"/>
        <w:jc w:val="center"/>
        <w:textAlignment w:val="auto"/>
        <w:rPr>
          <w:rFonts w:hint="eastAsia" w:ascii="仿宋_GB2312" w:hAnsi="仿宋_GB2312" w:eastAsia="仿宋_GB2312" w:cs="仿宋_GB2312"/>
          <w:color w:val="auto"/>
          <w:sz w:val="32"/>
          <w:szCs w:val="32"/>
          <w:highlight w:val="none"/>
        </w:rPr>
      </w:pPr>
    </w:p>
    <w:p w14:paraId="651E1B09">
      <w:pPr>
        <w:keepNext w:val="0"/>
        <w:keepLines w:val="0"/>
        <w:pageBreakBefore w:val="0"/>
        <w:kinsoku/>
        <w:wordWrap/>
        <w:overflowPunct/>
        <w:topLinePunct w:val="0"/>
        <w:autoSpaceDE/>
        <w:autoSpaceDN/>
        <w:bidi w:val="0"/>
        <w:spacing w:line="600" w:lineRule="exact"/>
        <w:ind w:left="0" w:leftChars="0" w:right="150" w:rightChars="50" w:firstLine="2397" w:firstLineChars="705"/>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本溪市生态环境局</w:t>
      </w:r>
    </w:p>
    <w:p w14:paraId="0BC12DDF">
      <w:pPr>
        <w:keepNext w:val="0"/>
        <w:keepLines w:val="0"/>
        <w:pageBreakBefore w:val="0"/>
        <w:kinsoku/>
        <w:wordWrap/>
        <w:overflowPunct/>
        <w:topLinePunct w:val="0"/>
        <w:autoSpaceDE/>
        <w:autoSpaceDN/>
        <w:bidi w:val="0"/>
        <w:spacing w:line="600" w:lineRule="exact"/>
        <w:ind w:left="0" w:leftChars="0" w:right="150" w:rightChars="50" w:firstLine="2397" w:firstLineChars="705"/>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24</w:t>
      </w:r>
      <w:r>
        <w:rPr>
          <w:rFonts w:hint="eastAsia" w:ascii="仿宋_GB2312" w:hAnsi="仿宋_GB2312" w:eastAsia="仿宋_GB2312" w:cs="仿宋_GB2312"/>
          <w:color w:val="auto"/>
          <w:sz w:val="32"/>
          <w:szCs w:val="32"/>
          <w:highlight w:val="none"/>
        </w:rPr>
        <w:t>日</w:t>
      </w:r>
    </w:p>
    <w:p w14:paraId="2604ABDC">
      <w:pPr>
        <w:keepNext w:val="0"/>
        <w:keepLines w:val="0"/>
        <w:pageBreakBefore w:val="0"/>
        <w:kinsoku/>
        <w:wordWrap/>
        <w:overflowPunct/>
        <w:topLinePunct w:val="0"/>
        <w:autoSpaceDE/>
        <w:autoSpaceDN/>
        <w:bidi w:val="0"/>
        <w:snapToGrid w:val="0"/>
        <w:spacing w:line="600" w:lineRule="exact"/>
        <w:ind w:left="0" w:leftChars="0" w:right="150" w:rightChars="50" w:firstLine="680" w:firstLineChars="200"/>
        <w:textAlignment w:val="auto"/>
        <w:rPr>
          <w:rFonts w:hint="eastAsia" w:ascii="仿宋_GB2312" w:hAnsi="仿宋_GB2312" w:eastAsia="仿宋_GB2312" w:cs="仿宋_GB2312"/>
          <w:color w:val="auto"/>
          <w:sz w:val="32"/>
          <w:szCs w:val="32"/>
          <w:highlight w:val="none"/>
          <w:lang w:eastAsia="zh-CN"/>
        </w:rPr>
      </w:pPr>
    </w:p>
    <w:p w14:paraId="31199571">
      <w:pPr>
        <w:keepNext w:val="0"/>
        <w:keepLines w:val="0"/>
        <w:pageBreakBefore w:val="0"/>
        <w:kinsoku/>
        <w:wordWrap/>
        <w:overflowPunct/>
        <w:topLinePunct w:val="0"/>
        <w:autoSpaceDE/>
        <w:autoSpaceDN/>
        <w:bidi w:val="0"/>
        <w:snapToGrid w:val="0"/>
        <w:spacing w:line="600" w:lineRule="exact"/>
        <w:ind w:left="0" w:leftChars="0" w:right="150" w:rightChars="50" w:firstLine="68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此件公开发布</w:t>
      </w:r>
      <w:r>
        <w:rPr>
          <w:rFonts w:hint="eastAsia" w:ascii="仿宋_GB2312" w:hAnsi="仿宋_GB2312" w:eastAsia="仿宋_GB2312" w:cs="仿宋_GB2312"/>
          <w:color w:val="auto"/>
          <w:sz w:val="32"/>
          <w:szCs w:val="32"/>
          <w:highlight w:val="none"/>
          <w:lang w:eastAsia="zh-CN"/>
        </w:rPr>
        <w:t>)</w:t>
      </w:r>
    </w:p>
    <w:p w14:paraId="482E02F7">
      <w:pPr>
        <w:keepNext w:val="0"/>
        <w:keepLines w:val="0"/>
        <w:pageBreakBefore w:val="0"/>
        <w:kinsoku/>
        <w:wordWrap/>
        <w:overflowPunct/>
        <w:topLinePunct w:val="0"/>
        <w:autoSpaceDE/>
        <w:autoSpaceDN/>
        <w:bidi w:val="0"/>
        <w:snapToGrid w:val="0"/>
        <w:spacing w:line="600" w:lineRule="exact"/>
        <w:ind w:left="0" w:leftChars="0" w:right="150" w:rightChars="50" w:firstLine="680" w:firstLineChars="200"/>
        <w:textAlignment w:val="auto"/>
        <w:rPr>
          <w:rFonts w:hint="eastAsia" w:ascii="仿宋_GB2312" w:hAnsi="仿宋_GB2312" w:eastAsia="仿宋_GB2312" w:cs="仿宋_GB2312"/>
          <w:color w:val="auto"/>
          <w:sz w:val="32"/>
          <w:szCs w:val="32"/>
          <w:highlight w:val="none"/>
          <w:lang w:eastAsia="zh-CN"/>
        </w:rPr>
      </w:pPr>
    </w:p>
    <w:p w14:paraId="70F92E73">
      <w:pPr>
        <w:keepNext w:val="0"/>
        <w:keepLines w:val="0"/>
        <w:pageBreakBefore w:val="0"/>
        <w:kinsoku/>
        <w:wordWrap/>
        <w:overflowPunct/>
        <w:topLinePunct w:val="0"/>
        <w:autoSpaceDE/>
        <w:autoSpaceDN/>
        <w:bidi w:val="0"/>
        <w:snapToGrid w:val="0"/>
        <w:spacing w:line="600" w:lineRule="exact"/>
        <w:ind w:left="1105" w:leftChars="0" w:right="150" w:rightChars="50" w:hanging="1105" w:hangingChars="325"/>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抄送：本溪市生态环境保护综合执法队、</w:t>
      </w:r>
      <w:r>
        <w:rPr>
          <w:rFonts w:hint="eastAsia" w:ascii="仿宋_GB2312" w:hAnsi="仿宋_GB2312" w:eastAsia="仿宋_GB2312" w:cs="仿宋_GB2312"/>
          <w:color w:val="auto"/>
          <w:sz w:val="32"/>
          <w:szCs w:val="32"/>
          <w:highlight w:val="none"/>
          <w:lang w:val="en-US" w:eastAsia="zh-CN"/>
        </w:rPr>
        <w:t>本溪市生态环境服务中心、</w:t>
      </w:r>
      <w:r>
        <w:rPr>
          <w:rFonts w:hint="eastAsia" w:ascii="仿宋_GB2312" w:hAnsi="仿宋_GB2312" w:eastAsia="仿宋_GB2312" w:cs="仿宋_GB2312"/>
          <w:color w:val="000000"/>
          <w:sz w:val="32"/>
          <w:szCs w:val="32"/>
          <w:highlight w:val="none"/>
          <w:lang w:val="en-US" w:eastAsia="zh-CN"/>
        </w:rPr>
        <w:t>辽宁绿管家环保科技有限公司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athJax_Vector">
    <w:panose1 w:val="02000603000000000000"/>
    <w:charset w:val="00"/>
    <w:family w:val="auto"/>
    <w:pitch w:val="default"/>
    <w:sig w:usb0="00000001" w:usb1="00000020" w:usb2="00000000" w:usb3="00000000" w:csb0="00000001" w:csb1="00000000"/>
  </w:font>
  <w:font w:name="华文行楷">
    <w:panose1 w:val="02010800040101010101"/>
    <w:charset w:val="86"/>
    <w:family w:val="auto"/>
    <w:pitch w:val="default"/>
    <w:sig w:usb0="00000001" w:usb1="080F0000" w:usb2="00000000" w:usb3="00000000" w:csb0="00040000" w:csb1="00000000"/>
  </w:font>
  <w:font w:name="iconfon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2F3D5">
    <w:pPr>
      <w:pStyle w:val="1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6C1834">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E6C1834">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8D966">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2DE7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A02DE7B">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8"/>
      <w:suff w:val="nothing"/>
      <w:lvlText w:val="%1、"/>
      <w:lvlJc w:val="left"/>
      <w:pPr>
        <w:ind w:left="-60"/>
      </w:pPr>
    </w:lvl>
  </w:abstractNum>
  <w:abstractNum w:abstractNumId="1">
    <w:nsid w:val="5F33A46C"/>
    <w:multiLevelType w:val="singleLevel"/>
    <w:tmpl w:val="5F33A46C"/>
    <w:lvl w:ilvl="0" w:tentative="0">
      <w:start w:val="1"/>
      <w:numFmt w:val="bullet"/>
      <w:pStyle w:val="11"/>
      <w:lvlText w:val=""/>
      <w:lvlJc w:val="left"/>
      <w:pPr>
        <w:tabs>
          <w:tab w:val="left" w:pos="2040"/>
        </w:tabs>
        <w:ind w:left="20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zYjU5OGRhZDZjNTRmZWEwNTdlYjhhNmE0NjJjMGMifQ=="/>
  </w:docVars>
  <w:rsids>
    <w:rsidRoot w:val="1796435B"/>
    <w:rsid w:val="0005596D"/>
    <w:rsid w:val="000A2AA9"/>
    <w:rsid w:val="000F014B"/>
    <w:rsid w:val="00100A44"/>
    <w:rsid w:val="00121F33"/>
    <w:rsid w:val="00122184"/>
    <w:rsid w:val="0013671F"/>
    <w:rsid w:val="00141B63"/>
    <w:rsid w:val="00143087"/>
    <w:rsid w:val="00152DB0"/>
    <w:rsid w:val="00235743"/>
    <w:rsid w:val="0025557F"/>
    <w:rsid w:val="002721FC"/>
    <w:rsid w:val="002D24CC"/>
    <w:rsid w:val="00302E94"/>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73066"/>
    <w:rsid w:val="009F517A"/>
    <w:rsid w:val="00A00642"/>
    <w:rsid w:val="00B513B6"/>
    <w:rsid w:val="00B5544D"/>
    <w:rsid w:val="00B82B10"/>
    <w:rsid w:val="00BF399E"/>
    <w:rsid w:val="00C212FE"/>
    <w:rsid w:val="00C27F5D"/>
    <w:rsid w:val="00C65306"/>
    <w:rsid w:val="00CE1454"/>
    <w:rsid w:val="00D04025"/>
    <w:rsid w:val="00D10361"/>
    <w:rsid w:val="00D21309"/>
    <w:rsid w:val="00E14769"/>
    <w:rsid w:val="00E72B00"/>
    <w:rsid w:val="00E919E4"/>
    <w:rsid w:val="00EA7BA7"/>
    <w:rsid w:val="00EB577A"/>
    <w:rsid w:val="00ED515A"/>
    <w:rsid w:val="00F77E0F"/>
    <w:rsid w:val="00FE4037"/>
    <w:rsid w:val="0147701E"/>
    <w:rsid w:val="018402E7"/>
    <w:rsid w:val="018502B5"/>
    <w:rsid w:val="01A43D0E"/>
    <w:rsid w:val="01F307D6"/>
    <w:rsid w:val="02112401"/>
    <w:rsid w:val="023326FA"/>
    <w:rsid w:val="02435241"/>
    <w:rsid w:val="02D82226"/>
    <w:rsid w:val="02EB73E1"/>
    <w:rsid w:val="02EC2C31"/>
    <w:rsid w:val="03033A8D"/>
    <w:rsid w:val="032E7B21"/>
    <w:rsid w:val="03575C81"/>
    <w:rsid w:val="035C69EB"/>
    <w:rsid w:val="03873BFC"/>
    <w:rsid w:val="03F874F3"/>
    <w:rsid w:val="043C314F"/>
    <w:rsid w:val="04BC7BAF"/>
    <w:rsid w:val="04D50624"/>
    <w:rsid w:val="04DB5D92"/>
    <w:rsid w:val="05193D43"/>
    <w:rsid w:val="059C2AE4"/>
    <w:rsid w:val="05AC7BBD"/>
    <w:rsid w:val="05D35D57"/>
    <w:rsid w:val="06993BF9"/>
    <w:rsid w:val="06FF24E5"/>
    <w:rsid w:val="0707223C"/>
    <w:rsid w:val="0712113E"/>
    <w:rsid w:val="07131B19"/>
    <w:rsid w:val="076063E3"/>
    <w:rsid w:val="076B441E"/>
    <w:rsid w:val="07DC6755"/>
    <w:rsid w:val="082C33D6"/>
    <w:rsid w:val="083D4AEB"/>
    <w:rsid w:val="08583943"/>
    <w:rsid w:val="089963F4"/>
    <w:rsid w:val="08B72D2E"/>
    <w:rsid w:val="08BC4217"/>
    <w:rsid w:val="08F301FA"/>
    <w:rsid w:val="096A420C"/>
    <w:rsid w:val="09F41F94"/>
    <w:rsid w:val="0A051C47"/>
    <w:rsid w:val="0A612687"/>
    <w:rsid w:val="0A723503"/>
    <w:rsid w:val="0AA02A98"/>
    <w:rsid w:val="0AE636BA"/>
    <w:rsid w:val="0B362BA8"/>
    <w:rsid w:val="0B675FDC"/>
    <w:rsid w:val="0B8B050F"/>
    <w:rsid w:val="0BA44053"/>
    <w:rsid w:val="0BC775EF"/>
    <w:rsid w:val="0BDB4500"/>
    <w:rsid w:val="0BF73EE3"/>
    <w:rsid w:val="0C27068D"/>
    <w:rsid w:val="0C4548C9"/>
    <w:rsid w:val="0C5E598A"/>
    <w:rsid w:val="0CB27104"/>
    <w:rsid w:val="0D1129FD"/>
    <w:rsid w:val="0D1E3D11"/>
    <w:rsid w:val="0D3D0438"/>
    <w:rsid w:val="0D8412F2"/>
    <w:rsid w:val="0D8D297C"/>
    <w:rsid w:val="0DA40281"/>
    <w:rsid w:val="0DBA0D48"/>
    <w:rsid w:val="0DE54E65"/>
    <w:rsid w:val="0E274C11"/>
    <w:rsid w:val="0E2D331F"/>
    <w:rsid w:val="0E3A4191"/>
    <w:rsid w:val="0E6F1745"/>
    <w:rsid w:val="0EA47C31"/>
    <w:rsid w:val="0EB31E80"/>
    <w:rsid w:val="0F25758E"/>
    <w:rsid w:val="0F36663F"/>
    <w:rsid w:val="0F403D21"/>
    <w:rsid w:val="0F917E25"/>
    <w:rsid w:val="100E5690"/>
    <w:rsid w:val="10820EE8"/>
    <w:rsid w:val="108A4FA0"/>
    <w:rsid w:val="10E41D25"/>
    <w:rsid w:val="10EC5351"/>
    <w:rsid w:val="10F57E48"/>
    <w:rsid w:val="115E01DA"/>
    <w:rsid w:val="11803F9C"/>
    <w:rsid w:val="11F23CD4"/>
    <w:rsid w:val="12394F79"/>
    <w:rsid w:val="12704669"/>
    <w:rsid w:val="129E02B8"/>
    <w:rsid w:val="12A6465B"/>
    <w:rsid w:val="12BC340B"/>
    <w:rsid w:val="130C1D8B"/>
    <w:rsid w:val="13C10435"/>
    <w:rsid w:val="13C20DC8"/>
    <w:rsid w:val="13E405F4"/>
    <w:rsid w:val="13FA463A"/>
    <w:rsid w:val="14411E19"/>
    <w:rsid w:val="144C07BE"/>
    <w:rsid w:val="144C3DF9"/>
    <w:rsid w:val="147A532B"/>
    <w:rsid w:val="148008EF"/>
    <w:rsid w:val="148B5FBC"/>
    <w:rsid w:val="14AB3737"/>
    <w:rsid w:val="14E44445"/>
    <w:rsid w:val="15187863"/>
    <w:rsid w:val="15EC317D"/>
    <w:rsid w:val="15EF0DCB"/>
    <w:rsid w:val="16816734"/>
    <w:rsid w:val="16897AA8"/>
    <w:rsid w:val="17116A77"/>
    <w:rsid w:val="172B0B5F"/>
    <w:rsid w:val="172B374B"/>
    <w:rsid w:val="173C7F33"/>
    <w:rsid w:val="17487070"/>
    <w:rsid w:val="1796435B"/>
    <w:rsid w:val="17E52A56"/>
    <w:rsid w:val="18027CCB"/>
    <w:rsid w:val="1806146D"/>
    <w:rsid w:val="1820053E"/>
    <w:rsid w:val="182D164E"/>
    <w:rsid w:val="18797208"/>
    <w:rsid w:val="19201A4E"/>
    <w:rsid w:val="194E1B41"/>
    <w:rsid w:val="196447A9"/>
    <w:rsid w:val="199D3153"/>
    <w:rsid w:val="19EC5D2C"/>
    <w:rsid w:val="19F0117F"/>
    <w:rsid w:val="1A0E6C42"/>
    <w:rsid w:val="1A1E63CF"/>
    <w:rsid w:val="1AFB7C4D"/>
    <w:rsid w:val="1B010714"/>
    <w:rsid w:val="1B0A19BB"/>
    <w:rsid w:val="1BCD288A"/>
    <w:rsid w:val="1BEB45CE"/>
    <w:rsid w:val="1CBF2475"/>
    <w:rsid w:val="1CC46D5E"/>
    <w:rsid w:val="1D267DE3"/>
    <w:rsid w:val="1D983B4C"/>
    <w:rsid w:val="1DD928A8"/>
    <w:rsid w:val="1DEE2BDF"/>
    <w:rsid w:val="1E1975C7"/>
    <w:rsid w:val="1E1D38F7"/>
    <w:rsid w:val="1E272038"/>
    <w:rsid w:val="1E49784A"/>
    <w:rsid w:val="1E625D79"/>
    <w:rsid w:val="1E655C76"/>
    <w:rsid w:val="1E7352C5"/>
    <w:rsid w:val="1EE933EB"/>
    <w:rsid w:val="1EFB778F"/>
    <w:rsid w:val="1F11007B"/>
    <w:rsid w:val="1F333E85"/>
    <w:rsid w:val="1F9129A6"/>
    <w:rsid w:val="1FCB08A1"/>
    <w:rsid w:val="1FCE2663"/>
    <w:rsid w:val="1FDC6D7A"/>
    <w:rsid w:val="1FF95FC8"/>
    <w:rsid w:val="20277593"/>
    <w:rsid w:val="20E23C78"/>
    <w:rsid w:val="2101752F"/>
    <w:rsid w:val="21352D06"/>
    <w:rsid w:val="214E2B5A"/>
    <w:rsid w:val="216F2DE6"/>
    <w:rsid w:val="216F7005"/>
    <w:rsid w:val="218B1003"/>
    <w:rsid w:val="21936E58"/>
    <w:rsid w:val="219F6246"/>
    <w:rsid w:val="21C66054"/>
    <w:rsid w:val="21F10161"/>
    <w:rsid w:val="22983C4D"/>
    <w:rsid w:val="22ED6098"/>
    <w:rsid w:val="233521D5"/>
    <w:rsid w:val="23A5288A"/>
    <w:rsid w:val="241B24EC"/>
    <w:rsid w:val="24883A94"/>
    <w:rsid w:val="24FA1ECF"/>
    <w:rsid w:val="251C0943"/>
    <w:rsid w:val="251F2933"/>
    <w:rsid w:val="25575773"/>
    <w:rsid w:val="259B0AB8"/>
    <w:rsid w:val="25E00B77"/>
    <w:rsid w:val="25F91D3B"/>
    <w:rsid w:val="26062970"/>
    <w:rsid w:val="267A66BE"/>
    <w:rsid w:val="26A821CC"/>
    <w:rsid w:val="26C17FC8"/>
    <w:rsid w:val="26DA3B12"/>
    <w:rsid w:val="26DACEE5"/>
    <w:rsid w:val="26E16DB9"/>
    <w:rsid w:val="27036581"/>
    <w:rsid w:val="270F6A91"/>
    <w:rsid w:val="275360B2"/>
    <w:rsid w:val="2779341F"/>
    <w:rsid w:val="2852149D"/>
    <w:rsid w:val="28A71F0D"/>
    <w:rsid w:val="28B46187"/>
    <w:rsid w:val="28E55E8C"/>
    <w:rsid w:val="28EA0DA1"/>
    <w:rsid w:val="29257339"/>
    <w:rsid w:val="29AD18A3"/>
    <w:rsid w:val="29EDD4CD"/>
    <w:rsid w:val="2A0F2D3A"/>
    <w:rsid w:val="2A261057"/>
    <w:rsid w:val="2B5E6AB9"/>
    <w:rsid w:val="2B6C1593"/>
    <w:rsid w:val="2B8A1DF5"/>
    <w:rsid w:val="2BB138D1"/>
    <w:rsid w:val="2BD13068"/>
    <w:rsid w:val="2BF821DF"/>
    <w:rsid w:val="2C0C4FAB"/>
    <w:rsid w:val="2CBF28F0"/>
    <w:rsid w:val="2CDC2BCF"/>
    <w:rsid w:val="2CE518FD"/>
    <w:rsid w:val="2CFE05A2"/>
    <w:rsid w:val="2D2A665D"/>
    <w:rsid w:val="2D7678C5"/>
    <w:rsid w:val="2D80224A"/>
    <w:rsid w:val="2DC14CC4"/>
    <w:rsid w:val="2DE61A6C"/>
    <w:rsid w:val="2E80471D"/>
    <w:rsid w:val="2EB227E3"/>
    <w:rsid w:val="2EF8506F"/>
    <w:rsid w:val="2F590507"/>
    <w:rsid w:val="2F6A55B8"/>
    <w:rsid w:val="2FBB4E44"/>
    <w:rsid w:val="2FD91648"/>
    <w:rsid w:val="2FFB5400"/>
    <w:rsid w:val="30805D81"/>
    <w:rsid w:val="309E6E18"/>
    <w:rsid w:val="30EF5F72"/>
    <w:rsid w:val="30F53C72"/>
    <w:rsid w:val="30F72AF3"/>
    <w:rsid w:val="315E0057"/>
    <w:rsid w:val="316A07AA"/>
    <w:rsid w:val="327F1D02"/>
    <w:rsid w:val="32922F50"/>
    <w:rsid w:val="32EE0F67"/>
    <w:rsid w:val="32F32A21"/>
    <w:rsid w:val="331C0B79"/>
    <w:rsid w:val="3363011D"/>
    <w:rsid w:val="33634ED9"/>
    <w:rsid w:val="33FD3A7A"/>
    <w:rsid w:val="343933C8"/>
    <w:rsid w:val="34552F55"/>
    <w:rsid w:val="34657EA4"/>
    <w:rsid w:val="349B511E"/>
    <w:rsid w:val="34C25A6D"/>
    <w:rsid w:val="34CE076A"/>
    <w:rsid w:val="34DB6452"/>
    <w:rsid w:val="35457DB2"/>
    <w:rsid w:val="356E0B85"/>
    <w:rsid w:val="35C64E84"/>
    <w:rsid w:val="35ED0490"/>
    <w:rsid w:val="35ED3E01"/>
    <w:rsid w:val="3632641D"/>
    <w:rsid w:val="364D2448"/>
    <w:rsid w:val="367B7967"/>
    <w:rsid w:val="36915D20"/>
    <w:rsid w:val="36E7716E"/>
    <w:rsid w:val="37EA0C97"/>
    <w:rsid w:val="38141050"/>
    <w:rsid w:val="381A5280"/>
    <w:rsid w:val="3825542A"/>
    <w:rsid w:val="3829737E"/>
    <w:rsid w:val="384016A7"/>
    <w:rsid w:val="387D7E92"/>
    <w:rsid w:val="390153E5"/>
    <w:rsid w:val="39114820"/>
    <w:rsid w:val="397B0459"/>
    <w:rsid w:val="398C5B0A"/>
    <w:rsid w:val="39963CB2"/>
    <w:rsid w:val="39A43CE3"/>
    <w:rsid w:val="39E7009F"/>
    <w:rsid w:val="39FB720A"/>
    <w:rsid w:val="3A087A14"/>
    <w:rsid w:val="3A0A2AAE"/>
    <w:rsid w:val="3A3C6A5B"/>
    <w:rsid w:val="3A5E21D7"/>
    <w:rsid w:val="3A734BA4"/>
    <w:rsid w:val="3A95280D"/>
    <w:rsid w:val="3AFFBD43"/>
    <w:rsid w:val="3B2075C0"/>
    <w:rsid w:val="3BA3206B"/>
    <w:rsid w:val="3BCE402B"/>
    <w:rsid w:val="3BEE647B"/>
    <w:rsid w:val="3BF17763"/>
    <w:rsid w:val="3C162A79"/>
    <w:rsid w:val="3C1A7270"/>
    <w:rsid w:val="3C1B7AA8"/>
    <w:rsid w:val="3C213BF5"/>
    <w:rsid w:val="3C477FB1"/>
    <w:rsid w:val="3C97441D"/>
    <w:rsid w:val="3CF90C34"/>
    <w:rsid w:val="3D2E4C07"/>
    <w:rsid w:val="3D513EB5"/>
    <w:rsid w:val="3DBB0A2E"/>
    <w:rsid w:val="3DC47D28"/>
    <w:rsid w:val="3DC64D6D"/>
    <w:rsid w:val="3DD6559A"/>
    <w:rsid w:val="3E0D68B8"/>
    <w:rsid w:val="3E2E36AF"/>
    <w:rsid w:val="3E326604"/>
    <w:rsid w:val="3E4573F0"/>
    <w:rsid w:val="3E6E73FF"/>
    <w:rsid w:val="3EA67CD0"/>
    <w:rsid w:val="3EA94EFD"/>
    <w:rsid w:val="3EB1045F"/>
    <w:rsid w:val="3EB768A1"/>
    <w:rsid w:val="3EDE4585"/>
    <w:rsid w:val="3F9159FA"/>
    <w:rsid w:val="3FC05C56"/>
    <w:rsid w:val="3FF73A41"/>
    <w:rsid w:val="40046CA8"/>
    <w:rsid w:val="40296F4A"/>
    <w:rsid w:val="403D64A9"/>
    <w:rsid w:val="405E3BCF"/>
    <w:rsid w:val="40B846AA"/>
    <w:rsid w:val="40D86873"/>
    <w:rsid w:val="412F06F1"/>
    <w:rsid w:val="414D090F"/>
    <w:rsid w:val="419B050B"/>
    <w:rsid w:val="41B76CB4"/>
    <w:rsid w:val="41F61BE6"/>
    <w:rsid w:val="41F73FFF"/>
    <w:rsid w:val="42A033BF"/>
    <w:rsid w:val="42B0734B"/>
    <w:rsid w:val="42B51FC5"/>
    <w:rsid w:val="42EA4E42"/>
    <w:rsid w:val="432B6695"/>
    <w:rsid w:val="435272F0"/>
    <w:rsid w:val="435979DC"/>
    <w:rsid w:val="43AA411E"/>
    <w:rsid w:val="43B2156B"/>
    <w:rsid w:val="4413747D"/>
    <w:rsid w:val="444E57F2"/>
    <w:rsid w:val="44AF3E5C"/>
    <w:rsid w:val="453F0CD6"/>
    <w:rsid w:val="456D21BF"/>
    <w:rsid w:val="45A24D25"/>
    <w:rsid w:val="45AC718B"/>
    <w:rsid w:val="45C02133"/>
    <w:rsid w:val="45D37EC6"/>
    <w:rsid w:val="45EC4BB2"/>
    <w:rsid w:val="462036D5"/>
    <w:rsid w:val="464078D3"/>
    <w:rsid w:val="46A368AE"/>
    <w:rsid w:val="46C626A7"/>
    <w:rsid w:val="46DD15C6"/>
    <w:rsid w:val="46EB7B00"/>
    <w:rsid w:val="47044DA5"/>
    <w:rsid w:val="47051C6E"/>
    <w:rsid w:val="474F4E44"/>
    <w:rsid w:val="476F070E"/>
    <w:rsid w:val="482E528F"/>
    <w:rsid w:val="485711CD"/>
    <w:rsid w:val="48694BF1"/>
    <w:rsid w:val="486F752A"/>
    <w:rsid w:val="487703B1"/>
    <w:rsid w:val="489B2349"/>
    <w:rsid w:val="48CB0CFF"/>
    <w:rsid w:val="491004AC"/>
    <w:rsid w:val="49125027"/>
    <w:rsid w:val="494565CC"/>
    <w:rsid w:val="49483CB7"/>
    <w:rsid w:val="495C5EEE"/>
    <w:rsid w:val="49952D80"/>
    <w:rsid w:val="49C550C7"/>
    <w:rsid w:val="49DA1036"/>
    <w:rsid w:val="4A061107"/>
    <w:rsid w:val="4A6B1E80"/>
    <w:rsid w:val="4A784A78"/>
    <w:rsid w:val="4AB335F4"/>
    <w:rsid w:val="4B325411"/>
    <w:rsid w:val="4B3C64FF"/>
    <w:rsid w:val="4B6B1DA2"/>
    <w:rsid w:val="4BDA0DE0"/>
    <w:rsid w:val="4C31567B"/>
    <w:rsid w:val="4C8233D1"/>
    <w:rsid w:val="4C916512"/>
    <w:rsid w:val="4CB66B41"/>
    <w:rsid w:val="4CD07C03"/>
    <w:rsid w:val="4CED0B60"/>
    <w:rsid w:val="4CF95FDB"/>
    <w:rsid w:val="4D4A5F5E"/>
    <w:rsid w:val="4DBE3E5E"/>
    <w:rsid w:val="4DDE41C0"/>
    <w:rsid w:val="4E35691E"/>
    <w:rsid w:val="4E7A212F"/>
    <w:rsid w:val="4E847A59"/>
    <w:rsid w:val="4EFE3710"/>
    <w:rsid w:val="4F284A1F"/>
    <w:rsid w:val="4F6C4EA5"/>
    <w:rsid w:val="50000D7C"/>
    <w:rsid w:val="500032CC"/>
    <w:rsid w:val="502E5634"/>
    <w:rsid w:val="504F45A9"/>
    <w:rsid w:val="50711030"/>
    <w:rsid w:val="50760BB0"/>
    <w:rsid w:val="5088591F"/>
    <w:rsid w:val="50FB453F"/>
    <w:rsid w:val="516205C2"/>
    <w:rsid w:val="517E6B14"/>
    <w:rsid w:val="51BA3042"/>
    <w:rsid w:val="51DB7DCB"/>
    <w:rsid w:val="520F3B0B"/>
    <w:rsid w:val="521F78DE"/>
    <w:rsid w:val="52302EF2"/>
    <w:rsid w:val="523044ED"/>
    <w:rsid w:val="52654E30"/>
    <w:rsid w:val="52957EF4"/>
    <w:rsid w:val="52B15FA1"/>
    <w:rsid w:val="52D75082"/>
    <w:rsid w:val="52F61F59"/>
    <w:rsid w:val="533C6321"/>
    <w:rsid w:val="54031DFA"/>
    <w:rsid w:val="54040192"/>
    <w:rsid w:val="541741D6"/>
    <w:rsid w:val="54460748"/>
    <w:rsid w:val="54722B28"/>
    <w:rsid w:val="547814E5"/>
    <w:rsid w:val="54A668B4"/>
    <w:rsid w:val="54A8633F"/>
    <w:rsid w:val="54BE74BD"/>
    <w:rsid w:val="54ED079A"/>
    <w:rsid w:val="5528771B"/>
    <w:rsid w:val="552A3826"/>
    <w:rsid w:val="555770FA"/>
    <w:rsid w:val="55632085"/>
    <w:rsid w:val="55CF7191"/>
    <w:rsid w:val="55DB72FA"/>
    <w:rsid w:val="55E24B06"/>
    <w:rsid w:val="5611428B"/>
    <w:rsid w:val="56597161"/>
    <w:rsid w:val="56912749"/>
    <w:rsid w:val="574855E8"/>
    <w:rsid w:val="576552F4"/>
    <w:rsid w:val="57A5314F"/>
    <w:rsid w:val="57B63E99"/>
    <w:rsid w:val="57E645FA"/>
    <w:rsid w:val="57EB0248"/>
    <w:rsid w:val="57FA471A"/>
    <w:rsid w:val="58164938"/>
    <w:rsid w:val="58771241"/>
    <w:rsid w:val="58BB7383"/>
    <w:rsid w:val="5A160B46"/>
    <w:rsid w:val="5A1D3D5C"/>
    <w:rsid w:val="5A6E295E"/>
    <w:rsid w:val="5A8011D0"/>
    <w:rsid w:val="5A822A56"/>
    <w:rsid w:val="5AA65CD3"/>
    <w:rsid w:val="5AD829AF"/>
    <w:rsid w:val="5B0311A3"/>
    <w:rsid w:val="5B1533D9"/>
    <w:rsid w:val="5B1E5BCC"/>
    <w:rsid w:val="5B3E568E"/>
    <w:rsid w:val="5B44747C"/>
    <w:rsid w:val="5BAD274A"/>
    <w:rsid w:val="5BD74C6E"/>
    <w:rsid w:val="5BE50BA6"/>
    <w:rsid w:val="5BF754A1"/>
    <w:rsid w:val="5BF8682E"/>
    <w:rsid w:val="5C2E0695"/>
    <w:rsid w:val="5CA02A22"/>
    <w:rsid w:val="5CE15514"/>
    <w:rsid w:val="5CF97476"/>
    <w:rsid w:val="5CFC02A3"/>
    <w:rsid w:val="5D105DFA"/>
    <w:rsid w:val="5D1E45B7"/>
    <w:rsid w:val="5D5061F6"/>
    <w:rsid w:val="5D767C22"/>
    <w:rsid w:val="5DC539D3"/>
    <w:rsid w:val="5DCB3ACF"/>
    <w:rsid w:val="5DE4494F"/>
    <w:rsid w:val="5DE5778B"/>
    <w:rsid w:val="5DF70D68"/>
    <w:rsid w:val="5E1F43E2"/>
    <w:rsid w:val="5E9F0D85"/>
    <w:rsid w:val="5ECD107F"/>
    <w:rsid w:val="5ED03A93"/>
    <w:rsid w:val="5F0D013B"/>
    <w:rsid w:val="5FA61509"/>
    <w:rsid w:val="5FB96CF3"/>
    <w:rsid w:val="5FD01646"/>
    <w:rsid w:val="5FD76865"/>
    <w:rsid w:val="5FFF08EB"/>
    <w:rsid w:val="5FFF8747"/>
    <w:rsid w:val="60943284"/>
    <w:rsid w:val="60A429B1"/>
    <w:rsid w:val="60BB1C78"/>
    <w:rsid w:val="60F8107F"/>
    <w:rsid w:val="6116474A"/>
    <w:rsid w:val="61A508D3"/>
    <w:rsid w:val="61AB5CF3"/>
    <w:rsid w:val="61B551C2"/>
    <w:rsid w:val="61E5788F"/>
    <w:rsid w:val="620C5D31"/>
    <w:rsid w:val="62204A3D"/>
    <w:rsid w:val="6241266D"/>
    <w:rsid w:val="628030DA"/>
    <w:rsid w:val="62984579"/>
    <w:rsid w:val="62C007E7"/>
    <w:rsid w:val="62DD3137"/>
    <w:rsid w:val="62E06EE1"/>
    <w:rsid w:val="630B680E"/>
    <w:rsid w:val="634F1CB1"/>
    <w:rsid w:val="636228EB"/>
    <w:rsid w:val="640D742F"/>
    <w:rsid w:val="643979E4"/>
    <w:rsid w:val="645F01E2"/>
    <w:rsid w:val="647C1FA9"/>
    <w:rsid w:val="64864DA3"/>
    <w:rsid w:val="649B5961"/>
    <w:rsid w:val="64C216F4"/>
    <w:rsid w:val="64D846F3"/>
    <w:rsid w:val="64E92302"/>
    <w:rsid w:val="65321D1C"/>
    <w:rsid w:val="65555192"/>
    <w:rsid w:val="656568E6"/>
    <w:rsid w:val="65757CA3"/>
    <w:rsid w:val="666D1130"/>
    <w:rsid w:val="674865FC"/>
    <w:rsid w:val="67A01CFD"/>
    <w:rsid w:val="68CA1553"/>
    <w:rsid w:val="68EB7E6E"/>
    <w:rsid w:val="691174A4"/>
    <w:rsid w:val="691B69B6"/>
    <w:rsid w:val="691F232A"/>
    <w:rsid w:val="69AE2790"/>
    <w:rsid w:val="6A1178C7"/>
    <w:rsid w:val="6A363B19"/>
    <w:rsid w:val="6A6F63E6"/>
    <w:rsid w:val="6ADE6F38"/>
    <w:rsid w:val="6AE0311F"/>
    <w:rsid w:val="6AFD7857"/>
    <w:rsid w:val="6AFE4849"/>
    <w:rsid w:val="6B0F549C"/>
    <w:rsid w:val="6B3A6A4D"/>
    <w:rsid w:val="6B433622"/>
    <w:rsid w:val="6B4D2AB4"/>
    <w:rsid w:val="6B5228EC"/>
    <w:rsid w:val="6C026FBD"/>
    <w:rsid w:val="6C046B37"/>
    <w:rsid w:val="6C146412"/>
    <w:rsid w:val="6C1A6167"/>
    <w:rsid w:val="6C3118E9"/>
    <w:rsid w:val="6C46674A"/>
    <w:rsid w:val="6C6104BC"/>
    <w:rsid w:val="6CA24CCE"/>
    <w:rsid w:val="6CCE55B8"/>
    <w:rsid w:val="6D110A00"/>
    <w:rsid w:val="6D61634E"/>
    <w:rsid w:val="6D6F2F8C"/>
    <w:rsid w:val="6DA73A96"/>
    <w:rsid w:val="6E0355E0"/>
    <w:rsid w:val="6E712470"/>
    <w:rsid w:val="6EDF2BD2"/>
    <w:rsid w:val="6EEA0E9F"/>
    <w:rsid w:val="6EF74724"/>
    <w:rsid w:val="6FAE190D"/>
    <w:rsid w:val="6FF24B22"/>
    <w:rsid w:val="700B75C7"/>
    <w:rsid w:val="703A5210"/>
    <w:rsid w:val="706A7933"/>
    <w:rsid w:val="710234E6"/>
    <w:rsid w:val="7148130E"/>
    <w:rsid w:val="71804EA4"/>
    <w:rsid w:val="718B55F7"/>
    <w:rsid w:val="71B80DC3"/>
    <w:rsid w:val="71F0504C"/>
    <w:rsid w:val="72086C48"/>
    <w:rsid w:val="720C2BDC"/>
    <w:rsid w:val="72122136"/>
    <w:rsid w:val="72411EE6"/>
    <w:rsid w:val="72A90315"/>
    <w:rsid w:val="72F64917"/>
    <w:rsid w:val="730F4E23"/>
    <w:rsid w:val="73143AAC"/>
    <w:rsid w:val="734D6776"/>
    <w:rsid w:val="7377440F"/>
    <w:rsid w:val="73C44722"/>
    <w:rsid w:val="74155FFE"/>
    <w:rsid w:val="7460720F"/>
    <w:rsid w:val="74B113BF"/>
    <w:rsid w:val="74C841A4"/>
    <w:rsid w:val="74EB1043"/>
    <w:rsid w:val="75214D75"/>
    <w:rsid w:val="75372CDA"/>
    <w:rsid w:val="75460511"/>
    <w:rsid w:val="75674200"/>
    <w:rsid w:val="75F307DE"/>
    <w:rsid w:val="768C2AEF"/>
    <w:rsid w:val="76C41A5E"/>
    <w:rsid w:val="77587BF9"/>
    <w:rsid w:val="777D6539"/>
    <w:rsid w:val="77A14A92"/>
    <w:rsid w:val="77B21B30"/>
    <w:rsid w:val="77F88BA0"/>
    <w:rsid w:val="77FF51B6"/>
    <w:rsid w:val="78306CA6"/>
    <w:rsid w:val="78B43653"/>
    <w:rsid w:val="78D67AA0"/>
    <w:rsid w:val="79870D9A"/>
    <w:rsid w:val="79984052"/>
    <w:rsid w:val="79AC07A9"/>
    <w:rsid w:val="7A3A29FC"/>
    <w:rsid w:val="7A4D63F4"/>
    <w:rsid w:val="7A5F3547"/>
    <w:rsid w:val="7A6608C9"/>
    <w:rsid w:val="7A811E80"/>
    <w:rsid w:val="7AA55685"/>
    <w:rsid w:val="7AD95625"/>
    <w:rsid w:val="7B5A1BAF"/>
    <w:rsid w:val="7B6F40A6"/>
    <w:rsid w:val="7B7B064B"/>
    <w:rsid w:val="7BA774D1"/>
    <w:rsid w:val="7BCD76C7"/>
    <w:rsid w:val="7BE7387E"/>
    <w:rsid w:val="7BFE52E5"/>
    <w:rsid w:val="7C217284"/>
    <w:rsid w:val="7C537224"/>
    <w:rsid w:val="7CB4284F"/>
    <w:rsid w:val="7CF622A4"/>
    <w:rsid w:val="7D40373A"/>
    <w:rsid w:val="7D746944"/>
    <w:rsid w:val="7DA1524E"/>
    <w:rsid w:val="7DCC76C3"/>
    <w:rsid w:val="7E135D43"/>
    <w:rsid w:val="7E3239CA"/>
    <w:rsid w:val="7E4C5A53"/>
    <w:rsid w:val="7E6D4936"/>
    <w:rsid w:val="7E773E32"/>
    <w:rsid w:val="7E7D27A3"/>
    <w:rsid w:val="7E863FE4"/>
    <w:rsid w:val="7EAA3560"/>
    <w:rsid w:val="7EBA2597"/>
    <w:rsid w:val="7EE10F56"/>
    <w:rsid w:val="7F086945"/>
    <w:rsid w:val="7F8D39DD"/>
    <w:rsid w:val="7FAD2C5D"/>
    <w:rsid w:val="7FBB0DA4"/>
    <w:rsid w:val="97B73438"/>
    <w:rsid w:val="A5F66EB6"/>
    <w:rsid w:val="ADACDB71"/>
    <w:rsid w:val="BF892F3D"/>
    <w:rsid w:val="BFFF3936"/>
    <w:rsid w:val="CEFF6CE8"/>
    <w:rsid w:val="DDAC684E"/>
    <w:rsid w:val="DFBC036C"/>
    <w:rsid w:val="DFFDD3AD"/>
    <w:rsid w:val="EDF8E33D"/>
    <w:rsid w:val="F13E13BE"/>
    <w:rsid w:val="F9EC4777"/>
    <w:rsid w:val="F9FF29F4"/>
    <w:rsid w:val="FB5F601D"/>
    <w:rsid w:val="FF2B1061"/>
    <w:rsid w:val="FFDFA432"/>
    <w:rsid w:val="FFEE395D"/>
    <w:rsid w:val="FFEF854B"/>
    <w:rsid w:val="FFFBD1CE"/>
    <w:rsid w:val="FFFDA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3">
    <w:name w:val="heading 3"/>
    <w:basedOn w:val="1"/>
    <w:next w:val="1"/>
    <w:qFormat/>
    <w:uiPriority w:val="0"/>
    <w:pPr>
      <w:keepNext/>
      <w:keepLines/>
      <w:spacing w:before="260" w:after="260" w:line="416" w:lineRule="auto"/>
      <w:outlineLvl w:val="2"/>
    </w:pPr>
    <w:rPr>
      <w:b/>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4">
    <w:name w:val="List 3"/>
    <w:basedOn w:val="1"/>
    <w:next w:val="1"/>
    <w:qFormat/>
    <w:uiPriority w:val="0"/>
    <w:pPr>
      <w:ind w:left="100" w:leftChars="400" w:hanging="200" w:hangingChars="200"/>
    </w:pPr>
  </w:style>
  <w:style w:type="paragraph" w:styleId="5">
    <w:name w:val="Normal Indent"/>
    <w:basedOn w:val="1"/>
    <w:next w:val="1"/>
    <w:qFormat/>
    <w:uiPriority w:val="0"/>
    <w:pPr>
      <w:ind w:firstLine="420" w:firstLineChars="200"/>
    </w:pPr>
    <w:rPr>
      <w:rFonts w:ascii="Arial" w:hAnsi="Arial" w:cs="Arial"/>
      <w:sz w:val="21"/>
    </w:rPr>
  </w:style>
  <w:style w:type="paragraph" w:styleId="6">
    <w:name w:val="annotation text"/>
    <w:basedOn w:val="1"/>
    <w:qFormat/>
    <w:uiPriority w:val="0"/>
    <w:pPr>
      <w:jc w:val="left"/>
    </w:pPr>
  </w:style>
  <w:style w:type="paragraph" w:styleId="7">
    <w:name w:val="Body Text"/>
    <w:basedOn w:val="1"/>
    <w:link w:val="51"/>
    <w:qFormat/>
    <w:uiPriority w:val="0"/>
    <w:pPr>
      <w:widowControl/>
      <w:snapToGrid w:val="0"/>
      <w:spacing w:before="60" w:after="160" w:line="259" w:lineRule="auto"/>
      <w:ind w:right="113"/>
    </w:pPr>
    <w:rPr>
      <w:sz w:val="18"/>
      <w:szCs w:val="20"/>
    </w:rPr>
  </w:style>
  <w:style w:type="paragraph" w:styleId="8">
    <w:name w:val="Body Text Indent"/>
    <w:basedOn w:val="1"/>
    <w:next w:val="7"/>
    <w:qFormat/>
    <w:uiPriority w:val="0"/>
    <w:pPr>
      <w:adjustRightInd w:val="0"/>
      <w:snapToGrid w:val="0"/>
      <w:spacing w:line="300" w:lineRule="auto"/>
      <w:ind w:firstLine="680" w:firstLineChars="200"/>
    </w:pPr>
    <w:rPr>
      <w:rFonts w:ascii="仿宋_GB2312" w:hAnsi="宋体" w:eastAsia="仿宋_GB2312"/>
      <w:sz w:val="32"/>
    </w:rPr>
  </w:style>
  <w:style w:type="paragraph" w:styleId="9">
    <w:name w:val="Plain Text"/>
    <w:basedOn w:val="1"/>
    <w:next w:val="10"/>
    <w:qFormat/>
    <w:uiPriority w:val="0"/>
    <w:rPr>
      <w:rFonts w:ascii="宋体" w:hAnsi="Courier New" w:cs="Courier New"/>
      <w:sz w:val="21"/>
      <w:szCs w:val="21"/>
    </w:rPr>
  </w:style>
  <w:style w:type="paragraph" w:styleId="10">
    <w:name w:val="toc 1"/>
    <w:basedOn w:val="1"/>
    <w:next w:val="1"/>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1">
    <w:name w:val="List Bullet 5"/>
    <w:basedOn w:val="1"/>
    <w:qFormat/>
    <w:uiPriority w:val="0"/>
    <w:pPr>
      <w:numPr>
        <w:ilvl w:val="0"/>
        <w:numId w:val="1"/>
      </w:numPr>
    </w:pPr>
  </w:style>
  <w:style w:type="paragraph" w:styleId="12">
    <w:name w:val="Body Text Indent 2"/>
    <w:basedOn w:val="1"/>
    <w:next w:val="13"/>
    <w:qFormat/>
    <w:uiPriority w:val="0"/>
    <w:pPr>
      <w:spacing w:line="500" w:lineRule="exact"/>
      <w:ind w:left="72" w:hanging="72" w:hangingChars="30"/>
      <w:jc w:val="left"/>
    </w:pPr>
    <w:rPr>
      <w:rFonts w:ascii="宋体" w:hAnsi="宋体"/>
      <w:sz w:val="24"/>
    </w:rPr>
  </w:style>
  <w:style w:type="paragraph" w:customStyle="1" w:styleId="13">
    <w:name w:val="toc 75"/>
    <w:next w:val="1"/>
    <w:qFormat/>
    <w:uiPriority w:val="0"/>
    <w:pPr>
      <w:wordWrap w:val="0"/>
      <w:ind w:left="2550"/>
      <w:jc w:val="both"/>
    </w:pPr>
    <w:rPr>
      <w:rFonts w:ascii="Times New Roman" w:hAnsi="Times New Roman" w:eastAsia="宋体" w:cs="Times New Roman"/>
      <w:sz w:val="21"/>
      <w:lang w:val="en-US" w:eastAsia="zh-CN" w:bidi="ar-SA"/>
    </w:rPr>
  </w:style>
  <w:style w:type="paragraph" w:styleId="14">
    <w:name w:val="footer"/>
    <w:basedOn w:val="1"/>
    <w:next w:val="1"/>
    <w:qFormat/>
    <w:uiPriority w:val="99"/>
    <w:pPr>
      <w:tabs>
        <w:tab w:val="center" w:pos="4153"/>
        <w:tab w:val="right" w:pos="8306"/>
      </w:tabs>
      <w:snapToGrid w:val="0"/>
      <w:jc w:val="left"/>
    </w:pPr>
    <w:rPr>
      <w:sz w:val="18"/>
      <w:szCs w:val="18"/>
    </w:rPr>
  </w:style>
  <w:style w:type="paragraph" w:styleId="15">
    <w:name w:val="header"/>
    <w:basedOn w:val="1"/>
    <w:next w:val="16"/>
    <w:qFormat/>
    <w:uiPriority w:val="0"/>
    <w:pPr>
      <w:pBdr>
        <w:bottom w:val="single" w:color="auto" w:sz="6" w:space="1"/>
      </w:pBdr>
      <w:tabs>
        <w:tab w:val="center" w:pos="4153"/>
        <w:tab w:val="right" w:pos="8306"/>
      </w:tabs>
      <w:snapToGrid w:val="0"/>
      <w:jc w:val="center"/>
    </w:pPr>
    <w:rPr>
      <w:sz w:val="18"/>
      <w:szCs w:val="18"/>
    </w:rPr>
  </w:style>
  <w:style w:type="paragraph" w:customStyle="1" w:styleId="16">
    <w:name w:val="样式5"/>
    <w:basedOn w:val="5"/>
    <w:next w:val="1"/>
    <w:qFormat/>
    <w:uiPriority w:val="0"/>
    <w:pPr>
      <w:spacing w:line="380" w:lineRule="exact"/>
      <w:ind w:firstLine="566" w:firstLineChars="202"/>
    </w:pPr>
    <w:rPr>
      <w:rFonts w:ascii="Times New Roman" w:hAnsi="Times New Roman" w:eastAsia="华文行楷" w:cs="Times New Roman"/>
      <w:sz w:val="28"/>
    </w:rPr>
  </w:style>
  <w:style w:type="paragraph" w:styleId="17">
    <w:name w:val="table of figures"/>
    <w:basedOn w:val="1"/>
    <w:next w:val="1"/>
    <w:unhideWhenUsed/>
    <w:qFormat/>
    <w:uiPriority w:val="99"/>
    <w:pPr>
      <w:ind w:left="200" w:leftChars="200" w:hanging="200" w:hangingChars="200"/>
    </w:pPr>
  </w:style>
  <w:style w:type="paragraph" w:styleId="18">
    <w:name w:val="Normal (Web)"/>
    <w:basedOn w:val="1"/>
    <w:qFormat/>
    <w:uiPriority w:val="0"/>
    <w:rPr>
      <w:sz w:val="24"/>
    </w:rPr>
  </w:style>
  <w:style w:type="paragraph" w:styleId="19">
    <w:name w:val="Body Text First Indent"/>
    <w:basedOn w:val="7"/>
    <w:next w:val="1"/>
    <w:qFormat/>
    <w:uiPriority w:val="0"/>
    <w:pPr>
      <w:overflowPunct w:val="0"/>
      <w:autoSpaceDE w:val="0"/>
      <w:autoSpaceDN w:val="0"/>
      <w:adjustRightInd w:val="0"/>
      <w:spacing w:line="360" w:lineRule="auto"/>
      <w:ind w:firstLine="539" w:firstLineChars="200"/>
      <w:textAlignment w:val="baseline"/>
    </w:pPr>
    <w:rPr>
      <w:sz w:val="28"/>
    </w:rPr>
  </w:style>
  <w:style w:type="paragraph" w:styleId="20">
    <w:name w:val="Body Text First Indent 2"/>
    <w:basedOn w:val="8"/>
    <w:next w:val="19"/>
    <w:unhideWhenUsed/>
    <w:qFormat/>
    <w:uiPriority w:val="0"/>
    <w:pPr>
      <w:spacing w:line="240" w:lineRule="auto"/>
      <w:ind w:firstLine="561"/>
    </w:pPr>
    <w:rPr>
      <w:b/>
      <w:iCs/>
      <w:sz w:val="28"/>
      <w:szCs w:val="28"/>
    </w:rPr>
  </w:style>
  <w:style w:type="table" w:styleId="22">
    <w:name w:val="Table Grid"/>
    <w:basedOn w:val="21"/>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FollowedHyperlink"/>
    <w:basedOn w:val="23"/>
    <w:qFormat/>
    <w:uiPriority w:val="0"/>
    <w:rPr>
      <w:color w:val="800080"/>
      <w:u w:val="none"/>
    </w:rPr>
  </w:style>
  <w:style w:type="character" w:styleId="26">
    <w:name w:val="Emphasis"/>
    <w:basedOn w:val="23"/>
    <w:qFormat/>
    <w:uiPriority w:val="0"/>
    <w:rPr>
      <w:i/>
    </w:rPr>
  </w:style>
  <w:style w:type="character" w:styleId="27">
    <w:name w:val="Hyperlink"/>
    <w:basedOn w:val="23"/>
    <w:qFormat/>
    <w:uiPriority w:val="0"/>
    <w:rPr>
      <w:color w:val="0000FF"/>
      <w:u w:val="none"/>
    </w:rPr>
  </w:style>
  <w:style w:type="paragraph" w:customStyle="1" w:styleId="28">
    <w:name w:val="0正文"/>
    <w:basedOn w:val="8"/>
    <w:next w:val="20"/>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29">
    <w:name w:val="Normal (Web)1"/>
    <w:basedOn w:val="1"/>
    <w:next w:val="30"/>
    <w:qFormat/>
    <w:uiPriority w:val="0"/>
    <w:pPr>
      <w:widowControl/>
    </w:pPr>
    <w:rPr>
      <w:rFonts w:ascii="宋体" w:eastAsia="宋体" w:cs="Times New Roman"/>
      <w:sz w:val="24"/>
      <w:szCs w:val="21"/>
    </w:rPr>
  </w:style>
  <w:style w:type="paragraph" w:customStyle="1" w:styleId="30">
    <w:name w:val="Date1"/>
    <w:basedOn w:val="1"/>
    <w:next w:val="1"/>
    <w:qFormat/>
    <w:uiPriority w:val="0"/>
    <w:pPr>
      <w:adjustRightInd w:val="0"/>
      <w:spacing w:line="240" w:lineRule="auto"/>
    </w:pPr>
    <w:rPr>
      <w:sz w:val="21"/>
      <w:szCs w:val="20"/>
    </w:rPr>
  </w:style>
  <w:style w:type="paragraph" w:customStyle="1" w:styleId="31">
    <w:name w:val="_Style 4"/>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2">
    <w:name w:val="Default"/>
    <w:basedOn w:val="33"/>
    <w:next w:val="1"/>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3">
    <w:name w:val="纯文本1"/>
    <w:basedOn w:val="1"/>
    <w:next w:val="9"/>
    <w:qFormat/>
    <w:uiPriority w:val="0"/>
    <w:rPr>
      <w:rFonts w:ascii="宋体" w:hAnsi="Courier New" w:cs="Courier New"/>
      <w:sz w:val="21"/>
      <w:szCs w:val="21"/>
    </w:rPr>
  </w:style>
  <w:style w:type="paragraph" w:customStyle="1" w:styleId="34">
    <w:name w:val="样式 正文首行缩进 + 首行缩进:  2 字符1"/>
    <w:basedOn w:val="19"/>
    <w:next w:val="10"/>
    <w:qFormat/>
    <w:uiPriority w:val="0"/>
    <w:pPr>
      <w:spacing w:after="0" w:line="360" w:lineRule="auto"/>
      <w:ind w:firstLine="480" w:firstLineChars="200"/>
    </w:pPr>
    <w:rPr>
      <w:sz w:val="24"/>
    </w:rPr>
  </w:style>
  <w:style w:type="paragraph" w:customStyle="1" w:styleId="35">
    <w:name w:val="样式 正文11 + 首行缩进:  2 字符"/>
    <w:basedOn w:val="1"/>
    <w:qFormat/>
    <w:uiPriority w:val="0"/>
    <w:pPr>
      <w:spacing w:line="500" w:lineRule="exact"/>
      <w:ind w:firstLine="560" w:firstLineChars="200"/>
    </w:pPr>
    <w:rPr>
      <w:rFonts w:ascii="宋体" w:hAnsi="宋体" w:cs="宋体"/>
      <w:b/>
      <w:color w:val="FF0000"/>
      <w:sz w:val="28"/>
    </w:rPr>
  </w:style>
  <w:style w:type="paragraph" w:customStyle="1" w:styleId="36">
    <w:name w:val="正文（缩进）"/>
    <w:basedOn w:val="1"/>
    <w:qFormat/>
    <w:uiPriority w:val="99"/>
    <w:pPr>
      <w:spacing w:line="360" w:lineRule="auto"/>
      <w:ind w:firstLine="480" w:firstLineChars="200"/>
    </w:pPr>
    <w:rPr>
      <w:sz w:val="24"/>
    </w:rPr>
  </w:style>
  <w:style w:type="paragraph" w:customStyle="1" w:styleId="37">
    <w:name w:val="样式 标题 1一级标题 + 段前: 0.5 行 段后: 0.5 行"/>
    <w:basedOn w:val="2"/>
    <w:qFormat/>
    <w:uiPriority w:val="0"/>
    <w:pPr>
      <w:spacing w:line="320" w:lineRule="exact"/>
      <w:outlineLvl w:val="9"/>
    </w:pPr>
    <w:rPr>
      <w:rFonts w:eastAsia="宋体"/>
      <w:spacing w:val="-6"/>
      <w:sz w:val="21"/>
      <w:szCs w:val="21"/>
    </w:rPr>
  </w:style>
  <w:style w:type="paragraph" w:customStyle="1" w:styleId="38">
    <w:name w:val="报告正文"/>
    <w:basedOn w:val="1"/>
    <w:next w:val="1"/>
    <w:qFormat/>
    <w:uiPriority w:val="0"/>
    <w:pPr>
      <w:numPr>
        <w:ilvl w:val="0"/>
        <w:numId w:val="2"/>
      </w:numPr>
      <w:spacing w:line="360" w:lineRule="auto"/>
      <w:ind w:firstLine="720" w:firstLineChars="200"/>
    </w:pPr>
  </w:style>
  <w:style w:type="paragraph" w:customStyle="1" w:styleId="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0">
    <w:name w:val="fr4"/>
    <w:basedOn w:val="23"/>
    <w:qFormat/>
    <w:uiPriority w:val="0"/>
  </w:style>
  <w:style w:type="character" w:customStyle="1" w:styleId="41">
    <w:name w:val="last-child"/>
    <w:basedOn w:val="23"/>
    <w:qFormat/>
    <w:uiPriority w:val="0"/>
  </w:style>
  <w:style w:type="character" w:customStyle="1" w:styleId="42">
    <w:name w:val="before"/>
    <w:basedOn w:val="23"/>
    <w:qFormat/>
    <w:uiPriority w:val="0"/>
    <w:rPr>
      <w:rFonts w:hint="default" w:ascii="iconfont" w:hAnsi="iconfont" w:eastAsia="iconfont" w:cs="iconfont"/>
      <w:color w:val="CCCCCC"/>
    </w:rPr>
  </w:style>
  <w:style w:type="character" w:customStyle="1" w:styleId="43">
    <w:name w:val="before1"/>
    <w:basedOn w:val="23"/>
    <w:qFormat/>
    <w:uiPriority w:val="0"/>
    <w:rPr>
      <w:shd w:val="clear" w:color="auto" w:fill="39548B"/>
    </w:rPr>
  </w:style>
  <w:style w:type="character" w:customStyle="1" w:styleId="44">
    <w:name w:val="on"/>
    <w:basedOn w:val="23"/>
    <w:qFormat/>
    <w:uiPriority w:val="0"/>
  </w:style>
  <w:style w:type="paragraph" w:customStyle="1" w:styleId="45">
    <w:name w:val="p0"/>
    <w:basedOn w:val="1"/>
    <w:qFormat/>
    <w:uiPriority w:val="0"/>
    <w:pPr>
      <w:widowControl/>
    </w:pPr>
    <w:rPr>
      <w:szCs w:val="21"/>
    </w:rPr>
  </w:style>
  <w:style w:type="paragraph" w:customStyle="1" w:styleId="46">
    <w:name w:val="样式1"/>
    <w:basedOn w:val="47"/>
    <w:qFormat/>
    <w:uiPriority w:val="0"/>
    <w:pPr>
      <w:widowControl/>
      <w:spacing w:before="80" w:after="80" w:line="540" w:lineRule="exact"/>
      <w:ind w:left="-2"/>
    </w:pPr>
    <w:rPr>
      <w:rFonts w:ascii="Arial" w:hAnsi="Arial"/>
      <w:bCs/>
      <w:kern w:val="0"/>
      <w:szCs w:val="48"/>
    </w:rPr>
  </w:style>
  <w:style w:type="paragraph" w:customStyle="1" w:styleId="47">
    <w:name w:val="a-文本缩2"/>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8">
    <w:name w:val="【正文】"/>
    <w:basedOn w:val="1"/>
    <w:next w:val="1"/>
    <w:qFormat/>
    <w:uiPriority w:val="0"/>
    <w:pPr>
      <w:spacing w:line="360" w:lineRule="auto"/>
      <w:ind w:firstLine="200" w:firstLineChars="200"/>
    </w:pPr>
    <w:rPr>
      <w:spacing w:val="17"/>
      <w:sz w:val="24"/>
      <w:szCs w:val="20"/>
      <w:lang w:val="zh-CN"/>
    </w:rPr>
  </w:style>
  <w:style w:type="character" w:customStyle="1" w:styleId="49">
    <w:name w:val="fontstyle01"/>
    <w:basedOn w:val="23"/>
    <w:qFormat/>
    <w:uiPriority w:val="0"/>
    <w:rPr>
      <w:rFonts w:hint="eastAsia" w:ascii="宋体" w:hAnsi="宋体" w:eastAsia="宋体"/>
      <w:color w:val="000000"/>
      <w:sz w:val="24"/>
      <w:szCs w:val="24"/>
    </w:rPr>
  </w:style>
  <w:style w:type="paragraph" w:customStyle="1" w:styleId="50">
    <w:name w:val="环评正文"/>
    <w:basedOn w:val="5"/>
    <w:qFormat/>
    <w:uiPriority w:val="0"/>
    <w:pPr>
      <w:wordWrap w:val="0"/>
      <w:spacing w:line="360" w:lineRule="auto"/>
      <w:ind w:firstLine="480"/>
    </w:pPr>
    <w:rPr>
      <w:rFonts w:ascii="Times New Roman" w:hAnsi="Times New Roman"/>
      <w:sz w:val="24"/>
    </w:rPr>
  </w:style>
  <w:style w:type="character" w:customStyle="1" w:styleId="51">
    <w:name w:val="正文文本 Char"/>
    <w:link w:val="7"/>
    <w:qFormat/>
    <w:uiPriority w:val="0"/>
    <w:rPr>
      <w:sz w:val="18"/>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2587</Words>
  <Characters>2847</Characters>
  <Lines>18</Lines>
  <Paragraphs>5</Paragraphs>
  <TotalTime>93</TotalTime>
  <ScaleCrop>false</ScaleCrop>
  <LinksUpToDate>false</LinksUpToDate>
  <CharactersWithSpaces>2854</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2022-08-15T07:15:00Z</dcterms:created>
  <dc:creator>海霞</dc:creator>
  <cp:lastModifiedBy>李冬月</cp:lastModifiedBy>
  <cp:lastPrinted>2026-09-24T17:33:00Z</cp:lastPrinted>
  <dcterms:modified xsi:type="dcterms:W3CDTF">2026-09-24T10:01:38Z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395B2F114E1C4C549E223695F66E7552_13</vt:lpwstr>
  </property>
  <property fmtid="{D5CDD505-2E9C-101B-9397-08002B2CF9AE}" pid="4" name="KSOTemplateDocerSaveRecord">
    <vt:lpwstr>eyJoZGlkIjoiNWIyMTMxYzc3NmNmMWQ1ZmY4MTI1MWQ5YTQ3MWNlZDQiLCJ1c2VySWQiOiI0MzIxMDE1NzUifQ==</vt:lpwstr>
  </property>
</Properties>
</file>