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1E747">
      <w:pPr>
        <w:keepNext w:val="0"/>
        <w:keepLines w:val="0"/>
        <w:pageBreakBefore w:val="0"/>
        <w:widowControl/>
        <w:kinsoku/>
        <w:wordWrap/>
        <w:overflowPunct/>
        <w:topLinePunct w:val="0"/>
        <w:bidi w:val="0"/>
        <w:spacing w:line="560" w:lineRule="exact"/>
        <w:ind w:left="0" w:leftChars="0"/>
        <w:jc w:val="right"/>
        <w:textAlignment w:val="auto"/>
        <w:rPr>
          <w:rFonts w:hint="eastAsia" w:ascii="仿宋_GB2312" w:hAnsi="仿宋_GB2312" w:eastAsia="仿宋_GB2312" w:cs="仿宋_GB2312"/>
          <w:color w:val="auto"/>
          <w:sz w:val="32"/>
          <w:szCs w:val="32"/>
          <w:highlight w:val="none"/>
          <w:shd w:val="clear" w:color="auto" w:fill="auto"/>
        </w:rPr>
      </w:pPr>
    </w:p>
    <w:p w14:paraId="1C1058C9">
      <w:pPr>
        <w:pStyle w:val="12"/>
        <w:keepNext w:val="0"/>
        <w:keepLines w:val="0"/>
        <w:pageBreakBefore w:val="0"/>
        <w:wordWrap/>
        <w:topLinePunct w:val="0"/>
        <w:bidi w:val="0"/>
        <w:spacing w:line="560" w:lineRule="exact"/>
        <w:textAlignment w:val="auto"/>
        <w:rPr>
          <w:rFonts w:hint="eastAsia" w:ascii="仿宋_GB2312" w:hAnsi="仿宋_GB2312" w:eastAsia="仿宋_GB2312" w:cs="仿宋_GB2312"/>
          <w:sz w:val="32"/>
          <w:szCs w:val="32"/>
          <w:highlight w:val="none"/>
          <w:shd w:val="clear" w:color="auto" w:fill="auto"/>
        </w:rPr>
      </w:pPr>
    </w:p>
    <w:p w14:paraId="4DF5B767">
      <w:pPr>
        <w:pStyle w:val="12"/>
        <w:keepNext w:val="0"/>
        <w:keepLines w:val="0"/>
        <w:pageBreakBefore w:val="0"/>
        <w:wordWrap/>
        <w:topLinePunct w:val="0"/>
        <w:bidi w:val="0"/>
        <w:spacing w:line="560" w:lineRule="exact"/>
        <w:textAlignment w:val="auto"/>
        <w:rPr>
          <w:rFonts w:hint="eastAsia" w:ascii="仿宋_GB2312" w:hAnsi="仿宋_GB2312" w:eastAsia="仿宋_GB2312" w:cs="仿宋_GB2312"/>
          <w:sz w:val="32"/>
          <w:szCs w:val="32"/>
          <w:highlight w:val="none"/>
          <w:shd w:val="clear" w:color="auto" w:fill="auto"/>
        </w:rPr>
      </w:pPr>
    </w:p>
    <w:p w14:paraId="0E5FDA5C">
      <w:pPr>
        <w:keepNext w:val="0"/>
        <w:keepLines w:val="0"/>
        <w:pageBreakBefore w:val="0"/>
        <w:widowControl/>
        <w:kinsoku/>
        <w:wordWrap/>
        <w:overflowPunct/>
        <w:topLinePunct w:val="0"/>
        <w:bidi w:val="0"/>
        <w:spacing w:line="560" w:lineRule="exact"/>
        <w:ind w:left="0" w:leftChars="0"/>
        <w:jc w:val="both"/>
        <w:textAlignment w:val="auto"/>
        <w:rPr>
          <w:rFonts w:hint="eastAsia" w:ascii="仿宋_GB2312" w:hAnsi="仿宋_GB2312" w:eastAsia="仿宋_GB2312" w:cs="仿宋_GB2312"/>
          <w:color w:val="auto"/>
          <w:sz w:val="32"/>
          <w:szCs w:val="32"/>
          <w:highlight w:val="none"/>
          <w:shd w:val="clear" w:color="auto" w:fill="auto"/>
        </w:rPr>
      </w:pPr>
    </w:p>
    <w:p w14:paraId="6E1B6FDD">
      <w:pPr>
        <w:pStyle w:val="45"/>
        <w:keepNext w:val="0"/>
        <w:keepLines w:val="0"/>
        <w:pageBreakBefore w:val="0"/>
        <w:kinsoku/>
        <w:wordWrap/>
        <w:overflowPunct/>
        <w:topLinePunct w:val="0"/>
        <w:bidi w:val="0"/>
        <w:spacing w:line="560" w:lineRule="exact"/>
        <w:ind w:left="0" w:leftChars="0"/>
        <w:jc w:val="right"/>
        <w:textAlignment w:val="auto"/>
        <w:rPr>
          <w:rFonts w:hint="eastAsia" w:ascii="仿宋_GB2312" w:hAnsi="仿宋_GB2312" w:eastAsia="仿宋_GB2312" w:cs="仿宋_GB2312"/>
          <w:color w:val="auto"/>
          <w:sz w:val="32"/>
          <w:szCs w:val="32"/>
          <w:highlight w:val="none"/>
          <w:shd w:val="clear" w:color="auto" w:fill="auto"/>
          <w:lang w:eastAsia="zh-CN"/>
        </w:rPr>
      </w:pPr>
      <w:r>
        <w:rPr>
          <w:rFonts w:hint="eastAsia" w:ascii="仿宋_GB2312" w:hAnsi="仿宋_GB2312" w:eastAsia="仿宋_GB2312" w:cs="仿宋_GB2312"/>
          <w:color w:val="auto"/>
          <w:sz w:val="32"/>
          <w:szCs w:val="32"/>
          <w:highlight w:val="none"/>
          <w:shd w:val="clear" w:color="auto" w:fill="auto"/>
        </w:rPr>
        <w:t>本环建字</w:t>
      </w:r>
      <w:r>
        <w:rPr>
          <w:rFonts w:hint="eastAsia" w:ascii="仿宋_GB2312" w:hAnsi="仿宋_GB2312" w:eastAsia="仿宋_GB2312" w:cs="仿宋_GB2312"/>
          <w:color w:val="auto"/>
          <w:sz w:val="32"/>
          <w:szCs w:val="32"/>
          <w:highlight w:val="none"/>
          <w:shd w:val="clear" w:color="auto" w:fill="auto"/>
          <w:lang w:eastAsia="zh-CN"/>
        </w:rPr>
        <w:t>〔202</w:t>
      </w:r>
      <w:r>
        <w:rPr>
          <w:rFonts w:hint="eastAsia" w:ascii="仿宋_GB2312" w:hAnsi="仿宋_GB2312" w:eastAsia="仿宋_GB2312" w:cs="仿宋_GB2312"/>
          <w:color w:val="auto"/>
          <w:sz w:val="32"/>
          <w:szCs w:val="32"/>
          <w:highlight w:val="none"/>
          <w:shd w:val="clear" w:color="auto" w:fill="auto"/>
          <w:lang w:val="en-US" w:eastAsia="zh-CN"/>
        </w:rPr>
        <w:t>6</w:t>
      </w:r>
      <w:r>
        <w:rPr>
          <w:rFonts w:hint="eastAsia" w:ascii="仿宋_GB2312" w:hAnsi="仿宋_GB2312" w:eastAsia="仿宋_GB2312" w:cs="仿宋_GB2312"/>
          <w:color w:val="auto"/>
          <w:sz w:val="32"/>
          <w:szCs w:val="32"/>
          <w:highlight w:val="none"/>
          <w:shd w:val="clear" w:color="auto" w:fill="auto"/>
          <w:lang w:eastAsia="zh-CN"/>
        </w:rPr>
        <w:t>〕</w:t>
      </w:r>
      <w:r>
        <w:rPr>
          <w:rFonts w:hint="eastAsia" w:ascii="仿宋_GB2312" w:hAnsi="仿宋_GB2312" w:eastAsia="仿宋_GB2312" w:cs="仿宋_GB2312"/>
          <w:color w:val="auto"/>
          <w:sz w:val="32"/>
          <w:szCs w:val="32"/>
          <w:highlight w:val="none"/>
          <w:shd w:val="clear" w:color="auto" w:fill="auto"/>
          <w:lang w:val="en-US" w:eastAsia="zh-CN"/>
        </w:rPr>
        <w:t>9</w:t>
      </w:r>
      <w:r>
        <w:rPr>
          <w:rFonts w:hint="eastAsia" w:ascii="仿宋_GB2312" w:hAnsi="仿宋_GB2312" w:eastAsia="仿宋_GB2312" w:cs="仿宋_GB2312"/>
          <w:color w:val="auto"/>
          <w:sz w:val="32"/>
          <w:szCs w:val="32"/>
          <w:highlight w:val="none"/>
          <w:shd w:val="clear" w:color="auto" w:fill="auto"/>
          <w:lang w:eastAsia="zh-CN"/>
        </w:rPr>
        <w:t>号</w:t>
      </w:r>
    </w:p>
    <w:p w14:paraId="5AB1631C">
      <w:pPr>
        <w:keepNext w:val="0"/>
        <w:keepLines w:val="0"/>
        <w:pageBreakBefore w:val="0"/>
        <w:kinsoku/>
        <w:wordWrap/>
        <w:overflowPunct/>
        <w:topLinePunct w:val="0"/>
        <w:bidi w:val="0"/>
        <w:spacing w:line="560" w:lineRule="exact"/>
        <w:ind w:left="0"/>
        <w:jc w:val="center"/>
        <w:textAlignment w:val="auto"/>
        <w:rPr>
          <w:rFonts w:hint="eastAsia" w:ascii="方正小标宋简体" w:hAnsi="方正小标宋简体" w:eastAsia="方正小标宋简体" w:cs="方正小标宋简体"/>
          <w:b w:val="0"/>
          <w:bCs w:val="0"/>
          <w:snapToGrid/>
          <w:color w:val="auto"/>
          <w:spacing w:val="0"/>
          <w:kern w:val="2"/>
          <w:sz w:val="44"/>
          <w:szCs w:val="44"/>
          <w:highlight w:val="none"/>
          <w:shd w:val="clear" w:color="auto" w:fill="auto"/>
        </w:rPr>
      </w:pPr>
      <w:r>
        <w:rPr>
          <w:rFonts w:hint="eastAsia" w:ascii="方正小标宋简体" w:hAnsi="方正小标宋简体" w:eastAsia="方正小标宋简体" w:cs="方正小标宋简体"/>
          <w:b w:val="0"/>
          <w:bCs w:val="0"/>
          <w:snapToGrid/>
          <w:color w:val="auto"/>
          <w:spacing w:val="0"/>
          <w:kern w:val="2"/>
          <w:sz w:val="44"/>
          <w:szCs w:val="44"/>
          <w:highlight w:val="none"/>
          <w:shd w:val="clear" w:color="auto" w:fill="auto"/>
        </w:rPr>
        <w:t>关于《</w:t>
      </w:r>
      <w:r>
        <w:rPr>
          <w:rFonts w:hint="eastAsia" w:ascii="方正小标宋简体" w:hAnsi="方正小标宋简体" w:eastAsia="方正小标宋简体" w:cs="方正小标宋简体"/>
          <w:b w:val="0"/>
          <w:bCs w:val="0"/>
          <w:color w:val="auto"/>
          <w:spacing w:val="11"/>
          <w:sz w:val="44"/>
          <w:szCs w:val="44"/>
          <w:highlight w:val="none"/>
          <w:shd w:val="clear" w:color="auto" w:fill="auto"/>
          <w:lang w:eastAsia="zh-CN"/>
        </w:rPr>
        <w:t>辽宁回龙山生态电站项目环境影响报告书</w:t>
      </w:r>
      <w:r>
        <w:rPr>
          <w:rFonts w:hint="eastAsia" w:ascii="方正小标宋简体" w:hAnsi="方正小标宋简体" w:eastAsia="方正小标宋简体" w:cs="方正小标宋简体"/>
          <w:b w:val="0"/>
          <w:bCs w:val="0"/>
          <w:snapToGrid/>
          <w:color w:val="auto"/>
          <w:spacing w:val="0"/>
          <w:kern w:val="2"/>
          <w:sz w:val="44"/>
          <w:szCs w:val="44"/>
          <w:highlight w:val="none"/>
          <w:shd w:val="clear" w:color="auto" w:fill="auto"/>
        </w:rPr>
        <w:t>》的批复</w:t>
      </w:r>
    </w:p>
    <w:p w14:paraId="1F786F74">
      <w:pPr>
        <w:keepNext w:val="0"/>
        <w:keepLines w:val="0"/>
        <w:pageBreakBefore w:val="0"/>
        <w:wordWrap/>
        <w:topLinePunct w:val="0"/>
        <w:bidi w:val="0"/>
        <w:spacing w:line="560" w:lineRule="exact"/>
        <w:textAlignment w:val="auto"/>
        <w:rPr>
          <w:rFonts w:hint="eastAsia" w:ascii="仿宋_GB2312" w:hAnsi="仿宋_GB2312" w:eastAsia="仿宋_GB2312" w:cs="仿宋_GB2312"/>
          <w:color w:val="auto"/>
          <w:sz w:val="32"/>
          <w:szCs w:val="32"/>
          <w:highlight w:val="none"/>
          <w:shd w:val="clear" w:color="auto" w:fill="auto"/>
          <w:lang w:val="en-US" w:eastAsia="zh-CN"/>
        </w:rPr>
      </w:pPr>
    </w:p>
    <w:p w14:paraId="4925737B">
      <w:pPr>
        <w:keepNext w:val="0"/>
        <w:keepLines w:val="0"/>
        <w:pageBreakBefore w:val="0"/>
        <w:wordWrap/>
        <w:topLinePunct w:val="0"/>
        <w:bidi w:val="0"/>
        <w:spacing w:line="560" w:lineRule="exact"/>
        <w:textAlignment w:val="auto"/>
        <w:rPr>
          <w:rFonts w:hint="eastAsia"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lang w:val="en-US" w:eastAsia="zh-CN"/>
        </w:rPr>
        <w:t>国电电力发展股份有限公司和禹水电开发公司：</w:t>
      </w:r>
    </w:p>
    <w:p w14:paraId="1C3AA69B">
      <w:pPr>
        <w:keepNext w:val="0"/>
        <w:keepLines w:val="0"/>
        <w:pageBreakBefore w:val="0"/>
        <w:wordWrap/>
        <w:topLinePunct w:val="0"/>
        <w:bidi w:val="0"/>
        <w:spacing w:line="560" w:lineRule="exact"/>
        <w:ind w:firstLine="680" w:firstLineChars="200"/>
        <w:textAlignment w:val="auto"/>
        <w:rPr>
          <w:rFonts w:hint="eastAsia"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lang w:val="en-US" w:eastAsia="zh-CN"/>
        </w:rPr>
        <w:t>你公司报送的《辽宁回龙山生态电站项目环境影响报告书》（以下简称“报告书”）已收悉。根据环评专家评审意见及技术评估报告结论，经我局2026年建设项目审查委员会第四次会议讨论同意，现批复如下：</w:t>
      </w:r>
    </w:p>
    <w:p w14:paraId="64BBD931">
      <w:pPr>
        <w:keepNext w:val="0"/>
        <w:keepLines w:val="0"/>
        <w:pageBreakBefore w:val="0"/>
        <w:wordWrap/>
        <w:overflowPunct w:val="0"/>
        <w:topLinePunct w:val="0"/>
        <w:autoSpaceDE w:val="0"/>
        <w:autoSpaceDN w:val="0"/>
        <w:bidi w:val="0"/>
        <w:adjustRightInd w:val="0"/>
        <w:snapToGrid w:val="0"/>
        <w:spacing w:line="560" w:lineRule="exact"/>
        <w:ind w:firstLine="680" w:firstLineChars="200"/>
        <w:textAlignment w:val="auto"/>
        <w:rPr>
          <w:rFonts w:hint="eastAsia" w:ascii="仿宋_GB2312" w:hAnsi="仿宋_GB2312" w:eastAsia="仿宋_GB2312" w:cs="仿宋_GB2312"/>
          <w:spacing w:val="11"/>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lang w:val="en-US" w:eastAsia="zh-CN"/>
        </w:rPr>
        <w:t>一、项目</w:t>
      </w:r>
      <w:r>
        <w:rPr>
          <w:rFonts w:hint="eastAsia" w:ascii="仿宋_GB2312" w:hAnsi="仿宋_GB2312" w:eastAsia="仿宋_GB2312" w:cs="仿宋_GB2312"/>
          <w:spacing w:val="11"/>
          <w:sz w:val="32"/>
          <w:szCs w:val="32"/>
          <w:highlight w:val="none"/>
          <w:shd w:val="clear" w:color="auto" w:fill="auto"/>
        </w:rPr>
        <w:t>坝址位于桓仁满族自治县向阳乡回龙村</w:t>
      </w:r>
      <w:r>
        <w:rPr>
          <w:rFonts w:hint="eastAsia" w:ascii="仿宋_GB2312" w:hAnsi="仿宋_GB2312" w:eastAsia="仿宋_GB2312" w:cs="仿宋_GB2312"/>
          <w:spacing w:val="11"/>
          <w:sz w:val="32"/>
          <w:szCs w:val="32"/>
          <w:highlight w:val="none"/>
          <w:shd w:val="clear" w:color="auto" w:fill="auto"/>
          <w:lang w:eastAsia="zh-CN"/>
        </w:rPr>
        <w:t>、</w:t>
      </w:r>
      <w:r>
        <w:rPr>
          <w:rFonts w:hint="eastAsia" w:ascii="仿宋_GB2312" w:hAnsi="仿宋_GB2312" w:eastAsia="仿宋_GB2312" w:cs="仿宋_GB2312"/>
          <w:spacing w:val="11"/>
          <w:sz w:val="32"/>
          <w:szCs w:val="32"/>
          <w:highlight w:val="none"/>
          <w:shd w:val="clear" w:color="auto" w:fill="auto"/>
        </w:rPr>
        <w:t>浑江桓仁水电站下游44km处。拟将回龙山水库拦河坝左岸#30、#31坝段改造成两个独立的引水系统进水口，采用坝后厂房引水发电并下泄生态流量。主要建筑物由进水口、引水压力钢管、发电厂房、尾水渠及敞开式变电站等组成</w:t>
      </w:r>
      <w:r>
        <w:rPr>
          <w:rFonts w:hint="eastAsia" w:ascii="仿宋_GB2312" w:hAnsi="仿宋_GB2312" w:eastAsia="仿宋_GB2312" w:cs="仿宋_GB2312"/>
          <w:spacing w:val="11"/>
          <w:sz w:val="32"/>
          <w:szCs w:val="32"/>
          <w:highlight w:val="none"/>
          <w:shd w:val="clear" w:color="auto" w:fill="auto"/>
          <w:lang w:eastAsia="zh-CN"/>
        </w:rPr>
        <w:t>，新增</w:t>
      </w:r>
      <w:r>
        <w:rPr>
          <w:rFonts w:hint="eastAsia" w:ascii="仿宋_GB2312" w:hAnsi="仿宋_GB2312" w:eastAsia="仿宋_GB2312" w:cs="仿宋_GB2312"/>
          <w:spacing w:val="11"/>
          <w:sz w:val="32"/>
          <w:szCs w:val="32"/>
          <w:highlight w:val="none"/>
          <w:shd w:val="clear" w:color="auto" w:fill="auto"/>
        </w:rPr>
        <w:t>总装机容量10MW</w:t>
      </w:r>
      <w:r>
        <w:rPr>
          <w:rFonts w:hint="eastAsia" w:ascii="仿宋_GB2312" w:hAnsi="仿宋_GB2312" w:eastAsia="仿宋_GB2312" w:cs="仿宋_GB2312"/>
          <w:spacing w:val="11"/>
          <w:sz w:val="32"/>
          <w:szCs w:val="32"/>
          <w:highlight w:val="none"/>
          <w:shd w:val="clear" w:color="auto" w:fill="auto"/>
          <w:lang w:eastAsia="zh-CN"/>
        </w:rPr>
        <w:t>，</w:t>
      </w:r>
      <w:r>
        <w:rPr>
          <w:rFonts w:hint="eastAsia" w:ascii="仿宋_GB2312" w:hAnsi="仿宋_GB2312" w:eastAsia="仿宋_GB2312" w:cs="仿宋_GB2312"/>
          <w:spacing w:val="11"/>
          <w:sz w:val="32"/>
          <w:szCs w:val="32"/>
          <w:highlight w:val="none"/>
          <w:shd w:val="clear" w:color="auto" w:fill="auto"/>
        </w:rPr>
        <w:t>装机台数为2台</w:t>
      </w:r>
      <w:r>
        <w:rPr>
          <w:rFonts w:hint="eastAsia" w:ascii="仿宋_GB2312" w:hAnsi="仿宋_GB2312" w:eastAsia="仿宋_GB2312" w:cs="仿宋_GB2312"/>
          <w:spacing w:val="11"/>
          <w:sz w:val="32"/>
          <w:szCs w:val="32"/>
          <w:highlight w:val="none"/>
          <w:shd w:val="clear" w:color="auto" w:fill="auto"/>
          <w:lang w:val="en-US" w:eastAsia="zh-CN"/>
        </w:rPr>
        <w:t>5MW</w:t>
      </w:r>
      <w:r>
        <w:rPr>
          <w:rFonts w:hint="eastAsia" w:ascii="仿宋_GB2312" w:hAnsi="仿宋_GB2312" w:eastAsia="仿宋_GB2312" w:cs="仿宋_GB2312"/>
          <w:spacing w:val="11"/>
          <w:sz w:val="32"/>
          <w:szCs w:val="32"/>
          <w:highlight w:val="none"/>
          <w:shd w:val="clear" w:color="auto" w:fill="auto"/>
          <w:lang w:eastAsia="zh-CN"/>
        </w:rPr>
        <w:t>。</w:t>
      </w:r>
      <w:r>
        <w:rPr>
          <w:rFonts w:hint="eastAsia" w:ascii="仿宋_GB2312" w:hAnsi="仿宋_GB2312" w:eastAsia="仿宋_GB2312" w:cs="仿宋_GB2312"/>
          <w:spacing w:val="11"/>
          <w:sz w:val="32"/>
          <w:szCs w:val="32"/>
          <w:highlight w:val="none"/>
          <w:shd w:val="clear" w:color="auto" w:fill="auto"/>
        </w:rPr>
        <w:t>在</w:t>
      </w:r>
      <w:r>
        <w:rPr>
          <w:rFonts w:hint="eastAsia" w:ascii="仿宋_GB2312" w:hAnsi="仿宋_GB2312" w:eastAsia="仿宋_GB2312" w:cs="仿宋_GB2312"/>
          <w:spacing w:val="11"/>
          <w:sz w:val="32"/>
          <w:szCs w:val="32"/>
          <w:highlight w:val="none"/>
          <w:shd w:val="clear" w:color="auto" w:fill="auto"/>
          <w:lang w:eastAsia="zh-CN"/>
        </w:rPr>
        <w:t>回龙山</w:t>
      </w:r>
      <w:r>
        <w:rPr>
          <w:rFonts w:hint="eastAsia" w:ascii="仿宋_GB2312" w:hAnsi="仿宋_GB2312" w:eastAsia="仿宋_GB2312" w:cs="仿宋_GB2312"/>
          <w:spacing w:val="11"/>
          <w:sz w:val="32"/>
          <w:szCs w:val="32"/>
          <w:highlight w:val="none"/>
          <w:shd w:val="clear" w:color="auto" w:fill="auto"/>
        </w:rPr>
        <w:t>电站总引水量不变的情况下，工程通过改变引水分配方式，减少现有</w:t>
      </w:r>
      <w:r>
        <w:rPr>
          <w:rFonts w:hint="eastAsia" w:ascii="仿宋_GB2312" w:hAnsi="仿宋_GB2312" w:eastAsia="仿宋_GB2312" w:cs="仿宋_GB2312"/>
          <w:spacing w:val="11"/>
          <w:sz w:val="32"/>
          <w:szCs w:val="32"/>
          <w:highlight w:val="none"/>
          <w:shd w:val="clear" w:color="auto" w:fill="auto"/>
          <w:lang w:eastAsia="zh-CN"/>
        </w:rPr>
        <w:t>回龙山</w:t>
      </w:r>
      <w:r>
        <w:rPr>
          <w:rFonts w:hint="eastAsia" w:ascii="仿宋_GB2312" w:hAnsi="仿宋_GB2312" w:eastAsia="仿宋_GB2312" w:cs="仿宋_GB2312"/>
          <w:spacing w:val="11"/>
          <w:sz w:val="32"/>
          <w:szCs w:val="32"/>
          <w:highlight w:val="none"/>
          <w:shd w:val="clear" w:color="auto" w:fill="auto"/>
        </w:rPr>
        <w:t>水利枢纽</w:t>
      </w:r>
      <w:r>
        <w:rPr>
          <w:rFonts w:hint="eastAsia" w:ascii="仿宋_GB2312" w:hAnsi="仿宋_GB2312" w:eastAsia="仿宋_GB2312" w:cs="仿宋_GB2312"/>
          <w:spacing w:val="11"/>
          <w:sz w:val="32"/>
          <w:szCs w:val="32"/>
          <w:highlight w:val="none"/>
          <w:shd w:val="clear" w:color="auto" w:fill="auto"/>
          <w:lang w:val="en-US" w:eastAsia="zh-CN"/>
        </w:rPr>
        <w:t>72</w:t>
      </w:r>
      <w:r>
        <w:rPr>
          <w:rFonts w:hint="eastAsia" w:ascii="仿宋_GB2312" w:hAnsi="仿宋_GB2312" w:eastAsia="仿宋_GB2312" w:cs="仿宋_GB2312"/>
          <w:spacing w:val="11"/>
          <w:sz w:val="32"/>
          <w:szCs w:val="32"/>
          <w:highlight w:val="none"/>
          <w:shd w:val="clear" w:color="auto" w:fill="auto"/>
        </w:rPr>
        <w:t>MW机组部分发电放流，新增2台</w:t>
      </w:r>
      <w:r>
        <w:rPr>
          <w:rFonts w:hint="eastAsia" w:ascii="仿宋_GB2312" w:hAnsi="仿宋_GB2312" w:eastAsia="仿宋_GB2312" w:cs="仿宋_GB2312"/>
          <w:spacing w:val="11"/>
          <w:sz w:val="32"/>
          <w:szCs w:val="32"/>
          <w:highlight w:val="none"/>
          <w:shd w:val="clear" w:color="auto" w:fill="auto"/>
          <w:lang w:val="en-US" w:eastAsia="zh-CN"/>
        </w:rPr>
        <w:t>5MW</w:t>
      </w:r>
      <w:r>
        <w:rPr>
          <w:rFonts w:hint="eastAsia" w:ascii="仿宋_GB2312" w:hAnsi="仿宋_GB2312" w:eastAsia="仿宋_GB2312" w:cs="仿宋_GB2312"/>
          <w:spacing w:val="11"/>
          <w:sz w:val="32"/>
          <w:szCs w:val="32"/>
          <w:highlight w:val="none"/>
          <w:shd w:val="clear" w:color="auto" w:fill="auto"/>
        </w:rPr>
        <w:t>生态机组发电放流，以解决</w:t>
      </w:r>
      <w:r>
        <w:rPr>
          <w:rFonts w:hint="eastAsia" w:ascii="仿宋_GB2312" w:hAnsi="仿宋_GB2312" w:eastAsia="仿宋_GB2312" w:cs="仿宋_GB2312"/>
          <w:spacing w:val="11"/>
          <w:sz w:val="32"/>
          <w:szCs w:val="32"/>
          <w:highlight w:val="none"/>
          <w:shd w:val="clear" w:color="auto" w:fill="auto"/>
          <w:lang w:eastAsia="zh-CN"/>
        </w:rPr>
        <w:t>回龙山</w:t>
      </w:r>
      <w:r>
        <w:rPr>
          <w:rFonts w:hint="eastAsia" w:ascii="仿宋_GB2312" w:hAnsi="仿宋_GB2312" w:eastAsia="仿宋_GB2312" w:cs="仿宋_GB2312"/>
          <w:spacing w:val="11"/>
          <w:sz w:val="32"/>
          <w:szCs w:val="32"/>
          <w:highlight w:val="none"/>
          <w:shd w:val="clear" w:color="auto" w:fill="auto"/>
        </w:rPr>
        <w:t>电站下游河道存在脱(减)水段的情况。项目总投资12509.53万元</w:t>
      </w:r>
      <w:r>
        <w:rPr>
          <w:rFonts w:hint="eastAsia" w:ascii="仿宋_GB2312" w:hAnsi="仿宋_GB2312" w:eastAsia="仿宋_GB2312" w:cs="仿宋_GB2312"/>
          <w:spacing w:val="11"/>
          <w:sz w:val="32"/>
          <w:szCs w:val="32"/>
          <w:highlight w:val="none"/>
          <w:shd w:val="clear" w:color="auto" w:fill="auto"/>
          <w:lang w:eastAsia="zh-CN"/>
        </w:rPr>
        <w:t>，环保投资</w:t>
      </w:r>
      <w:r>
        <w:rPr>
          <w:rFonts w:hint="eastAsia" w:ascii="仿宋_GB2312" w:hAnsi="仿宋_GB2312" w:eastAsia="仿宋_GB2312" w:cs="仿宋_GB2312"/>
          <w:spacing w:val="11"/>
          <w:sz w:val="32"/>
          <w:szCs w:val="32"/>
          <w:highlight w:val="none"/>
          <w:shd w:val="clear" w:color="auto" w:fill="auto"/>
          <w:lang w:val="en-US" w:eastAsia="zh-CN"/>
        </w:rPr>
        <w:t>72万元，</w:t>
      </w:r>
      <w:r>
        <w:rPr>
          <w:rFonts w:hint="eastAsia" w:ascii="仿宋_GB2312" w:hAnsi="仿宋_GB2312" w:eastAsia="仿宋_GB2312" w:cs="仿宋_GB2312"/>
          <w:spacing w:val="11"/>
          <w:sz w:val="32"/>
          <w:szCs w:val="32"/>
          <w:highlight w:val="none"/>
          <w:shd w:val="clear" w:color="auto" w:fill="auto"/>
          <w:lang w:eastAsia="zh-CN"/>
        </w:rPr>
        <w:t>占比</w:t>
      </w:r>
      <w:r>
        <w:rPr>
          <w:rFonts w:hint="eastAsia" w:ascii="仿宋_GB2312" w:hAnsi="仿宋_GB2312" w:eastAsia="仿宋_GB2312" w:cs="仿宋_GB2312"/>
          <w:spacing w:val="11"/>
          <w:sz w:val="32"/>
          <w:szCs w:val="32"/>
          <w:highlight w:val="none"/>
          <w:shd w:val="clear" w:color="auto" w:fill="auto"/>
          <w:lang w:val="en-US" w:eastAsia="zh-CN"/>
        </w:rPr>
        <w:t>0.58%。</w:t>
      </w:r>
    </w:p>
    <w:p w14:paraId="168097D5">
      <w:pPr>
        <w:keepNext w:val="0"/>
        <w:keepLines w:val="0"/>
        <w:pageBreakBefore w:val="0"/>
        <w:widowControl w:val="0"/>
        <w:kinsoku/>
        <w:wordWrap/>
        <w:overflowPunct/>
        <w:topLinePunct w:val="0"/>
        <w:bidi w:val="0"/>
        <w:adjustRightInd w:val="0"/>
        <w:snapToGrid w:val="0"/>
        <w:spacing w:line="560" w:lineRule="exact"/>
        <w:ind w:left="0" w:leftChars="0" w:firstLine="680" w:firstLineChars="200"/>
        <w:textAlignment w:val="auto"/>
        <w:rPr>
          <w:rFonts w:hint="eastAsia"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bCs/>
          <w:color w:val="auto"/>
          <w:sz w:val="32"/>
          <w:szCs w:val="32"/>
          <w:highlight w:val="none"/>
          <w:shd w:val="clear" w:color="auto" w:fill="auto"/>
          <w:lang w:val="en-US" w:eastAsia="zh-CN"/>
        </w:rPr>
        <w:t>根据《产业结构调整指导目录（2024年本）》，本项目属于“允许类”，符合国家产业政策。在严格落实报告书和本批复提出的各项生态环境保护措施和环境风险防范措施后，从生态环境角度，同意环境影响报告书中所列建设项目地点、生产规模和环境保护措施进行建设</w:t>
      </w:r>
      <w:r>
        <w:rPr>
          <w:rFonts w:hint="eastAsia" w:ascii="仿宋_GB2312" w:hAnsi="仿宋_GB2312" w:eastAsia="仿宋_GB2312" w:cs="仿宋_GB2312"/>
          <w:color w:val="auto"/>
          <w:sz w:val="32"/>
          <w:szCs w:val="32"/>
          <w:highlight w:val="none"/>
          <w:shd w:val="clear" w:color="auto" w:fill="auto"/>
          <w:lang w:val="zh-TW" w:eastAsia="zh-CN"/>
        </w:rPr>
        <w:t>。</w:t>
      </w:r>
    </w:p>
    <w:p w14:paraId="53A4FC90">
      <w:pPr>
        <w:keepNext w:val="0"/>
        <w:keepLines w:val="0"/>
        <w:pageBreakBefore w:val="0"/>
        <w:wordWrap/>
        <w:topLinePunct w:val="0"/>
        <w:bidi w:val="0"/>
        <w:spacing w:line="560" w:lineRule="exact"/>
        <w:ind w:firstLine="680" w:firstLineChars="200"/>
        <w:textAlignment w:val="auto"/>
        <w:rPr>
          <w:rFonts w:hint="eastAsia"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lang w:val="en-US" w:eastAsia="zh-CN"/>
        </w:rPr>
        <w:t>二、项目建设应严格落实《报告书》提出的各项环境保护措施和风险防控措施，重点做好以下工作：</w:t>
      </w:r>
    </w:p>
    <w:p w14:paraId="2F255CBB">
      <w:pPr>
        <w:pStyle w:val="9"/>
        <w:keepNext w:val="0"/>
        <w:keepLines w:val="0"/>
        <w:pageBreakBefore w:val="0"/>
        <w:widowControl/>
        <w:wordWrap/>
        <w:overflowPunct w:val="0"/>
        <w:topLinePunct w:val="0"/>
        <w:autoSpaceDE w:val="0"/>
        <w:autoSpaceDN w:val="0"/>
        <w:bidi w:val="0"/>
        <w:spacing w:line="560" w:lineRule="exact"/>
        <w:ind w:firstLine="656"/>
        <w:textAlignment w:val="auto"/>
        <w:rPr>
          <w:rFonts w:hint="eastAsia" w:ascii="仿宋_GB2312" w:hAnsi="仿宋_GB2312" w:eastAsia="仿宋_GB2312" w:cs="仿宋_GB2312"/>
          <w:bCs w:val="0"/>
          <w:snapToGrid/>
          <w:color w:val="auto"/>
          <w:spacing w:val="0"/>
          <w:kern w:val="2"/>
          <w:sz w:val="32"/>
          <w:szCs w:val="32"/>
          <w:highlight w:val="none"/>
          <w:shd w:val="clear" w:color="auto" w:fill="auto"/>
          <w:lang w:val="en-US" w:eastAsia="zh-CN" w:bidi="ar-SA"/>
        </w:rPr>
      </w:pPr>
      <w:r>
        <w:rPr>
          <w:rFonts w:hint="eastAsia" w:ascii="仿宋_GB2312" w:hAnsi="仿宋_GB2312" w:eastAsia="仿宋_GB2312" w:cs="仿宋_GB2312"/>
          <w:bCs w:val="0"/>
          <w:snapToGrid/>
          <w:color w:val="auto"/>
          <w:spacing w:val="0"/>
          <w:kern w:val="2"/>
          <w:sz w:val="32"/>
          <w:szCs w:val="32"/>
          <w:highlight w:val="none"/>
          <w:shd w:val="clear" w:color="auto" w:fill="auto"/>
          <w:lang w:val="en-US" w:eastAsia="zh-CN" w:bidi="ar-SA"/>
        </w:rPr>
        <w:t>（一）严格落实施工期污染防治措施。</w:t>
      </w:r>
      <w:r>
        <w:rPr>
          <w:rFonts w:hint="eastAsia" w:ascii="仿宋_GB2312" w:hAnsi="仿宋_GB2312" w:eastAsia="仿宋_GB2312" w:cs="仿宋_GB2312"/>
          <w:bCs/>
          <w:color w:val="auto"/>
          <w:sz w:val="32"/>
          <w:szCs w:val="32"/>
          <w:highlight w:val="none"/>
          <w:shd w:val="clear" w:color="auto" w:fill="auto"/>
          <w:lang w:val="en-US" w:eastAsia="zh-CN"/>
        </w:rPr>
        <w:t>项目施工过程严格按照“六个百分之百”要求落实。采用车辆清洗、定期洒水清扫、运输车辆采用储罐或密封运输方式。</w:t>
      </w:r>
      <w:r>
        <w:rPr>
          <w:rFonts w:hint="eastAsia" w:ascii="仿宋_GB2312" w:hAnsi="仿宋_GB2312" w:eastAsia="仿宋_GB2312" w:cs="仿宋_GB2312"/>
          <w:bCs w:val="0"/>
          <w:snapToGrid/>
          <w:color w:val="auto"/>
          <w:spacing w:val="0"/>
          <w:kern w:val="2"/>
          <w:sz w:val="32"/>
          <w:szCs w:val="32"/>
          <w:highlight w:val="none"/>
          <w:shd w:val="clear" w:color="auto" w:fill="auto"/>
          <w:lang w:val="en-US" w:eastAsia="zh-CN" w:bidi="ar-SA"/>
        </w:rPr>
        <w:t>施工期扬尘排放浓度应满足《施工及堆料场地扬尘排放标准》(DB21/2642-2016)中郊区及农村地区扬尘排放浓度限值要求；混凝土养护废水采用混凝+三级沉淀池处理工艺（混凝沉淀池1座，钢混结构（9m×3m×1.5m）3格），处理后的出水作为施工用水及回用于施工区域洒水降尘。基坑废水采用絮凝沉淀后全部回用，污泥定时人工清理，用于场区回填；车辆冲洗废水采用1座2m</w:t>
      </w:r>
      <w:r>
        <w:rPr>
          <w:rFonts w:hint="eastAsia" w:ascii="仿宋_GB2312" w:hAnsi="仿宋_GB2312" w:eastAsia="仿宋_GB2312" w:cs="仿宋_GB2312"/>
          <w:bCs w:val="0"/>
          <w:snapToGrid/>
          <w:color w:val="auto"/>
          <w:spacing w:val="0"/>
          <w:kern w:val="2"/>
          <w:sz w:val="32"/>
          <w:szCs w:val="32"/>
          <w:highlight w:val="none"/>
          <w:shd w:val="clear" w:color="auto" w:fill="auto"/>
          <w:vertAlign w:val="superscript"/>
          <w:lang w:val="en-US" w:eastAsia="zh-CN" w:bidi="ar-SA"/>
        </w:rPr>
        <w:t>3</w:t>
      </w:r>
      <w:r>
        <w:rPr>
          <w:rFonts w:hint="eastAsia" w:ascii="仿宋_GB2312" w:hAnsi="仿宋_GB2312" w:eastAsia="仿宋_GB2312" w:cs="仿宋_GB2312"/>
          <w:bCs w:val="0"/>
          <w:snapToGrid/>
          <w:color w:val="auto"/>
          <w:spacing w:val="0"/>
          <w:kern w:val="2"/>
          <w:sz w:val="32"/>
          <w:szCs w:val="32"/>
          <w:highlight w:val="none"/>
          <w:shd w:val="clear" w:color="auto" w:fill="auto"/>
          <w:lang w:val="en-US" w:eastAsia="zh-CN" w:bidi="ar-SA"/>
        </w:rPr>
        <w:t>循环水池自然沉淀回用；施工营地设一体化污水处理装置1套及环保防渗旱厕1座，生活污水处理后利用洒水车装运后进行施工道路及场地洒水回用，旱厕定期清掏用于周围农田施肥；</w:t>
      </w:r>
      <w:r>
        <w:rPr>
          <w:rFonts w:hint="eastAsia" w:ascii="仿宋_GB2312" w:hAnsi="仿宋_GB2312" w:eastAsia="仿宋_GB2312" w:cs="仿宋_GB2312"/>
          <w:color w:val="000000"/>
          <w:spacing w:val="4"/>
          <w:sz w:val="32"/>
          <w:szCs w:val="32"/>
          <w:highlight w:val="none"/>
          <w:shd w:val="clear" w:color="auto" w:fill="auto"/>
          <w:lang w:bidi="en-US"/>
        </w:rPr>
        <w:t>施工过程中采用低振动、低噪音的施工设备和技术，减少对坝体结构的不必要破坏和对周边生物的惊扰。避免夜间高噪声施工、限制车速等降噪措施。</w:t>
      </w:r>
      <w:r>
        <w:rPr>
          <w:rFonts w:hint="eastAsia" w:ascii="仿宋_GB2312" w:hAnsi="仿宋_GB2312" w:eastAsia="仿宋_GB2312" w:cs="仿宋_GB2312"/>
          <w:bCs w:val="0"/>
          <w:snapToGrid/>
          <w:color w:val="auto"/>
          <w:spacing w:val="0"/>
          <w:kern w:val="2"/>
          <w:sz w:val="32"/>
          <w:szCs w:val="32"/>
          <w:highlight w:val="none"/>
          <w:shd w:val="clear" w:color="auto" w:fill="auto"/>
          <w:lang w:val="en-US" w:eastAsia="zh-CN" w:bidi="ar-SA"/>
        </w:rPr>
        <w:t>施工场界噪声应满足《建筑施工噪声排放标准》(GB12523-2025)标准要求；</w:t>
      </w:r>
      <w:r>
        <w:rPr>
          <w:rFonts w:hint="eastAsia" w:ascii="仿宋_GB2312" w:hAnsi="仿宋_GB2312" w:eastAsia="仿宋_GB2312" w:cs="仿宋_GB2312"/>
          <w:bCs/>
          <w:color w:val="auto"/>
          <w:sz w:val="32"/>
          <w:szCs w:val="32"/>
          <w:highlight w:val="none"/>
          <w:shd w:val="clear" w:color="auto" w:fill="auto"/>
          <w:lang w:val="en-US" w:eastAsia="zh-CN"/>
        </w:rPr>
        <w:t>对施工产生的废料全部分类收集并运至岸上指定地点分类消纳处理，严禁弃入水体或岸边。</w:t>
      </w:r>
      <w:r>
        <w:rPr>
          <w:rFonts w:hint="eastAsia" w:ascii="仿宋_GB2312" w:hAnsi="仿宋_GB2312" w:eastAsia="仿宋_GB2312" w:cs="仿宋_GB2312"/>
          <w:bCs w:val="0"/>
          <w:snapToGrid/>
          <w:color w:val="auto"/>
          <w:spacing w:val="0"/>
          <w:kern w:val="2"/>
          <w:sz w:val="32"/>
          <w:szCs w:val="32"/>
          <w:highlight w:val="none"/>
          <w:shd w:val="clear" w:color="auto" w:fill="auto"/>
          <w:lang w:val="en-US" w:eastAsia="zh-CN" w:bidi="ar-SA"/>
        </w:rPr>
        <w:t>生活垃圾的收集依托附近收集点，由当地环卫部门统一定期清运处理；涉水施工避开鱼类繁殖期；安排施工计划时，尽量缩短水下作业时间。采用防污帘（围油栏）将小型施工区域暂时隔离，防止悬浮物、油污等扩散。灌浆材料应选用环保型、无毒性、低收缩性的浆液，防止有害物质渗漏至水体。严格控制灌浆压力，防止浆液过度扩散或冒出污染河床；在围堰外侧周边设置防污帘。</w:t>
      </w:r>
    </w:p>
    <w:p w14:paraId="5F400260">
      <w:pPr>
        <w:pStyle w:val="7"/>
        <w:keepNext w:val="0"/>
        <w:keepLines w:val="0"/>
        <w:pageBreakBefore w:val="0"/>
        <w:wordWrap/>
        <w:topLinePunct w:val="0"/>
        <w:bidi w:val="0"/>
        <w:spacing w:line="560" w:lineRule="exact"/>
        <w:ind w:firstLine="640"/>
        <w:textAlignment w:val="auto"/>
        <w:rPr>
          <w:rFonts w:hint="eastAsia" w:ascii="仿宋_GB2312" w:hAnsi="仿宋_GB2312" w:eastAsia="仿宋_GB2312" w:cs="仿宋_GB2312"/>
          <w:bCs w:val="0"/>
          <w:snapToGrid/>
          <w:color w:val="auto"/>
          <w:spacing w:val="0"/>
          <w:kern w:val="2"/>
          <w:sz w:val="32"/>
          <w:szCs w:val="32"/>
          <w:highlight w:val="none"/>
          <w:shd w:val="clear" w:color="auto" w:fill="auto"/>
          <w:lang w:val="en-US" w:eastAsia="zh-CN" w:bidi="ar-SA"/>
        </w:rPr>
      </w:pPr>
      <w:r>
        <w:rPr>
          <w:rFonts w:hint="eastAsia" w:ascii="仿宋_GB2312" w:hAnsi="仿宋_GB2312" w:eastAsia="仿宋_GB2312" w:cs="仿宋_GB2312"/>
          <w:bCs w:val="0"/>
          <w:snapToGrid/>
          <w:color w:val="auto"/>
          <w:spacing w:val="0"/>
          <w:kern w:val="2"/>
          <w:sz w:val="32"/>
          <w:szCs w:val="32"/>
          <w:highlight w:val="none"/>
          <w:shd w:val="clear" w:color="auto" w:fill="auto"/>
          <w:lang w:val="en-US" w:eastAsia="zh-CN" w:bidi="ar-SA"/>
        </w:rPr>
        <w:t>（二）</w:t>
      </w:r>
      <w:r>
        <w:rPr>
          <w:rFonts w:hint="eastAsia" w:ascii="仿宋_GB2312" w:hAnsi="仿宋_GB2312" w:eastAsia="仿宋_GB2312" w:cs="仿宋_GB2312"/>
          <w:b w:val="0"/>
          <w:bCs/>
          <w:sz w:val="32"/>
          <w:szCs w:val="32"/>
          <w:highlight w:val="none"/>
          <w:shd w:val="clear" w:color="auto" w:fill="auto"/>
          <w:lang w:eastAsia="zh-CN"/>
        </w:rPr>
        <w:t>严格落实</w:t>
      </w:r>
      <w:r>
        <w:rPr>
          <w:rFonts w:hint="eastAsia" w:ascii="仿宋_GB2312" w:hAnsi="仿宋_GB2312" w:eastAsia="仿宋_GB2312" w:cs="仿宋_GB2312"/>
          <w:b w:val="0"/>
          <w:bCs/>
          <w:sz w:val="32"/>
          <w:szCs w:val="32"/>
          <w:highlight w:val="none"/>
          <w:shd w:val="clear" w:color="auto" w:fill="auto"/>
          <w:lang w:val="en-US" w:eastAsia="zh-CN"/>
        </w:rPr>
        <w:t>水</w:t>
      </w:r>
      <w:r>
        <w:rPr>
          <w:rFonts w:hint="eastAsia" w:ascii="仿宋_GB2312" w:hAnsi="仿宋_GB2312" w:eastAsia="仿宋_GB2312" w:cs="仿宋_GB2312"/>
          <w:b w:val="0"/>
          <w:bCs/>
          <w:sz w:val="32"/>
          <w:szCs w:val="32"/>
          <w:highlight w:val="none"/>
          <w:shd w:val="clear" w:color="auto" w:fill="auto"/>
          <w:lang w:eastAsia="zh-CN"/>
        </w:rPr>
        <w:t>污染防治措施。</w:t>
      </w:r>
      <w:r>
        <w:rPr>
          <w:rFonts w:hint="eastAsia" w:ascii="仿宋_GB2312" w:hAnsi="仿宋_GB2312" w:eastAsia="仿宋_GB2312" w:cs="仿宋_GB2312"/>
          <w:b w:val="0"/>
          <w:bCs/>
          <w:iCs w:val="0"/>
          <w:snapToGrid w:val="0"/>
          <w:spacing w:val="10"/>
          <w:sz w:val="32"/>
          <w:szCs w:val="32"/>
          <w:highlight w:val="none"/>
          <w:shd w:val="clear" w:color="auto" w:fill="auto"/>
          <w:lang w:val="en-US" w:eastAsia="zh-CN" w:bidi="ar-SA"/>
        </w:rPr>
        <w:t>本项目</w:t>
      </w:r>
      <w:r>
        <w:rPr>
          <w:rFonts w:hint="eastAsia" w:ascii="仿宋_GB2312" w:hAnsi="仿宋_GB2312" w:eastAsia="仿宋_GB2312" w:cs="仿宋_GB2312"/>
          <w:b w:val="0"/>
          <w:bCs/>
          <w:iCs w:val="0"/>
          <w:snapToGrid w:val="0"/>
          <w:spacing w:val="10"/>
          <w:sz w:val="32"/>
          <w:szCs w:val="32"/>
          <w:highlight w:val="none"/>
          <w:shd w:val="clear" w:color="auto" w:fill="auto"/>
          <w:lang w:val="zh-TW" w:eastAsia="zh-CN" w:bidi="ar-SA"/>
        </w:rPr>
        <w:t>生活污水</w:t>
      </w:r>
      <w:r>
        <w:rPr>
          <w:rFonts w:hint="eastAsia" w:ascii="仿宋_GB2312" w:hAnsi="仿宋_GB2312" w:eastAsia="仿宋_GB2312" w:cs="仿宋_GB2312"/>
          <w:b w:val="0"/>
          <w:bCs/>
          <w:iCs w:val="0"/>
          <w:snapToGrid w:val="0"/>
          <w:spacing w:val="10"/>
          <w:sz w:val="32"/>
          <w:szCs w:val="32"/>
          <w:highlight w:val="none"/>
          <w:shd w:val="clear" w:color="auto" w:fill="auto"/>
          <w:lang w:val="en-US" w:eastAsia="zh-CN" w:bidi="ar-SA"/>
        </w:rPr>
        <w:t>排入化粪池定期清掏用作农肥，不外排。</w:t>
      </w:r>
    </w:p>
    <w:p w14:paraId="2547DF5D">
      <w:pPr>
        <w:keepNext w:val="0"/>
        <w:keepLines w:val="0"/>
        <w:pageBreakBefore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bCs/>
          <w:sz w:val="32"/>
          <w:szCs w:val="32"/>
          <w:highlight w:val="none"/>
          <w:shd w:val="clear" w:color="auto" w:fill="auto"/>
          <w:lang w:val="zh-CN" w:eastAsia="zh-CN" w:bidi="ar"/>
        </w:rPr>
      </w:pPr>
      <w:r>
        <w:rPr>
          <w:rFonts w:hint="eastAsia" w:ascii="仿宋_GB2312" w:hAnsi="仿宋_GB2312" w:eastAsia="仿宋_GB2312" w:cs="仿宋_GB2312"/>
          <w:bCs w:val="0"/>
          <w:snapToGrid/>
          <w:color w:val="auto"/>
          <w:spacing w:val="0"/>
          <w:kern w:val="2"/>
          <w:sz w:val="32"/>
          <w:szCs w:val="32"/>
          <w:highlight w:val="none"/>
          <w:shd w:val="clear" w:color="auto" w:fill="auto"/>
          <w:lang w:val="zh-TW" w:eastAsia="zh-CN" w:bidi="ar-SA"/>
        </w:rPr>
        <w:t>（</w:t>
      </w:r>
      <w:r>
        <w:rPr>
          <w:rFonts w:hint="eastAsia" w:ascii="仿宋_GB2312" w:hAnsi="仿宋_GB2312" w:eastAsia="仿宋_GB2312" w:cs="仿宋_GB2312"/>
          <w:bCs w:val="0"/>
          <w:snapToGrid/>
          <w:color w:val="auto"/>
          <w:spacing w:val="0"/>
          <w:kern w:val="2"/>
          <w:sz w:val="32"/>
          <w:szCs w:val="32"/>
          <w:highlight w:val="none"/>
          <w:shd w:val="clear" w:color="auto" w:fill="auto"/>
          <w:lang w:val="en-US" w:eastAsia="zh-CN" w:bidi="ar-SA"/>
        </w:rPr>
        <w:t>三</w:t>
      </w:r>
      <w:r>
        <w:rPr>
          <w:rFonts w:hint="eastAsia" w:ascii="仿宋_GB2312" w:hAnsi="仿宋_GB2312" w:eastAsia="仿宋_GB2312" w:cs="仿宋_GB2312"/>
          <w:bCs w:val="0"/>
          <w:snapToGrid/>
          <w:color w:val="auto"/>
          <w:spacing w:val="0"/>
          <w:kern w:val="2"/>
          <w:sz w:val="32"/>
          <w:szCs w:val="32"/>
          <w:highlight w:val="none"/>
          <w:shd w:val="clear" w:color="auto" w:fill="auto"/>
          <w:lang w:val="zh-TW" w:eastAsia="zh-CN" w:bidi="ar-SA"/>
        </w:rPr>
        <w:t>）</w:t>
      </w:r>
      <w:r>
        <w:rPr>
          <w:rFonts w:hint="eastAsia" w:ascii="仿宋_GB2312" w:hAnsi="仿宋_GB2312" w:eastAsia="仿宋_GB2312" w:cs="仿宋_GB2312"/>
          <w:b w:val="0"/>
          <w:bCs/>
          <w:iCs w:val="0"/>
          <w:snapToGrid w:val="0"/>
          <w:spacing w:val="10"/>
          <w:sz w:val="32"/>
          <w:szCs w:val="32"/>
          <w:highlight w:val="none"/>
          <w:shd w:val="clear" w:color="auto" w:fill="auto"/>
          <w:lang w:val="zh-TW" w:eastAsia="zh-CN" w:bidi="ar-SA"/>
        </w:rPr>
        <w:t>严格落实噪声污染防治措施</w:t>
      </w:r>
      <w:r>
        <w:rPr>
          <w:rFonts w:hint="eastAsia" w:ascii="仿宋_GB2312" w:hAnsi="仿宋_GB2312" w:eastAsia="仿宋_GB2312" w:cs="仿宋_GB2312"/>
          <w:b w:val="0"/>
          <w:bCs/>
          <w:iCs w:val="0"/>
          <w:snapToGrid w:val="0"/>
          <w:spacing w:val="10"/>
          <w:sz w:val="32"/>
          <w:szCs w:val="32"/>
          <w:highlight w:val="none"/>
          <w:shd w:val="clear" w:color="auto" w:fill="auto"/>
          <w:lang w:val="en-US" w:eastAsia="zh-CN" w:bidi="ar-SA"/>
        </w:rPr>
        <w:t>。</w:t>
      </w:r>
      <w:r>
        <w:rPr>
          <w:rFonts w:hint="eastAsia" w:ascii="仿宋_GB2312" w:hAnsi="仿宋_GB2312" w:eastAsia="仿宋_GB2312" w:cs="仿宋_GB2312"/>
          <w:bCs/>
          <w:sz w:val="32"/>
          <w:szCs w:val="32"/>
          <w:highlight w:val="none"/>
          <w:shd w:val="clear" w:color="auto" w:fill="auto"/>
          <w:lang w:val="en-US" w:eastAsia="zh-CN" w:bidi="ar"/>
        </w:rPr>
        <w:t>运营期</w:t>
      </w:r>
      <w:r>
        <w:rPr>
          <w:rFonts w:hint="eastAsia" w:ascii="仿宋_GB2312" w:hAnsi="仿宋_GB2312" w:eastAsia="仿宋_GB2312" w:cs="仿宋_GB2312"/>
          <w:bCs/>
          <w:sz w:val="32"/>
          <w:szCs w:val="32"/>
          <w:highlight w:val="none"/>
          <w:shd w:val="clear" w:color="auto" w:fill="auto"/>
          <w:lang w:val="zh-CN" w:eastAsia="zh-CN" w:bidi="ar"/>
        </w:rPr>
        <w:t>噪声</w:t>
      </w:r>
      <w:r>
        <w:rPr>
          <w:rFonts w:hint="eastAsia" w:ascii="仿宋_GB2312" w:hAnsi="仿宋_GB2312" w:eastAsia="仿宋_GB2312" w:cs="仿宋_GB2312"/>
          <w:bCs/>
          <w:sz w:val="32"/>
          <w:szCs w:val="32"/>
          <w:highlight w:val="none"/>
          <w:shd w:val="clear" w:color="auto" w:fill="auto"/>
          <w:lang w:val="en-US" w:eastAsia="zh-CN" w:bidi="ar"/>
        </w:rPr>
        <w:t>通过选用低噪声设备、</w:t>
      </w:r>
      <w:r>
        <w:rPr>
          <w:rFonts w:hint="eastAsia" w:ascii="仿宋_GB2312" w:hAnsi="仿宋_GB2312" w:eastAsia="仿宋_GB2312" w:cs="仿宋_GB2312"/>
          <w:sz w:val="32"/>
          <w:szCs w:val="32"/>
          <w:highlight w:val="none"/>
          <w:shd w:val="clear" w:color="auto" w:fill="auto"/>
          <w:lang w:bidi="ar"/>
        </w:rPr>
        <w:t>采</w:t>
      </w:r>
      <w:r>
        <w:rPr>
          <w:rFonts w:hint="eastAsia" w:ascii="仿宋_GB2312" w:hAnsi="仿宋_GB2312" w:eastAsia="仿宋_GB2312" w:cs="仿宋_GB2312"/>
          <w:sz w:val="32"/>
          <w:szCs w:val="32"/>
          <w:highlight w:val="none"/>
          <w:shd w:val="clear" w:color="auto" w:fill="auto"/>
          <w:lang w:val="en-US" w:eastAsia="zh-CN" w:bidi="ar"/>
        </w:rPr>
        <w:t>取基础</w:t>
      </w:r>
      <w:r>
        <w:rPr>
          <w:rFonts w:hint="eastAsia" w:ascii="仿宋_GB2312" w:hAnsi="仿宋_GB2312" w:eastAsia="仿宋_GB2312" w:cs="仿宋_GB2312"/>
          <w:sz w:val="32"/>
          <w:szCs w:val="32"/>
          <w:highlight w:val="none"/>
          <w:shd w:val="clear" w:color="auto" w:fill="auto"/>
          <w:lang w:bidi="ar"/>
        </w:rPr>
        <w:t>减振</w:t>
      </w:r>
      <w:r>
        <w:rPr>
          <w:rFonts w:hint="eastAsia" w:ascii="仿宋_GB2312" w:hAnsi="仿宋_GB2312" w:eastAsia="仿宋_GB2312" w:cs="仿宋_GB2312"/>
          <w:sz w:val="32"/>
          <w:szCs w:val="32"/>
          <w:highlight w:val="none"/>
          <w:shd w:val="clear" w:color="auto" w:fill="auto"/>
          <w:lang w:val="en-US" w:eastAsia="zh-CN" w:bidi="ar"/>
        </w:rPr>
        <w:t>以及综合厂房</w:t>
      </w:r>
      <w:r>
        <w:rPr>
          <w:rFonts w:hint="eastAsia" w:ascii="仿宋_GB2312" w:hAnsi="仿宋_GB2312" w:eastAsia="仿宋_GB2312" w:cs="仿宋_GB2312"/>
          <w:sz w:val="32"/>
          <w:szCs w:val="32"/>
          <w:highlight w:val="none"/>
          <w:shd w:val="clear" w:color="auto" w:fill="auto"/>
          <w:lang w:bidi="ar"/>
        </w:rPr>
        <w:t>隔</w:t>
      </w:r>
      <w:r>
        <w:rPr>
          <w:rFonts w:hint="eastAsia" w:ascii="仿宋_GB2312" w:hAnsi="仿宋_GB2312" w:eastAsia="仿宋_GB2312" w:cs="仿宋_GB2312"/>
          <w:sz w:val="32"/>
          <w:szCs w:val="32"/>
          <w:highlight w:val="none"/>
          <w:shd w:val="clear" w:color="auto" w:fill="auto"/>
          <w:lang w:val="en-US" w:eastAsia="zh-CN" w:bidi="ar"/>
        </w:rPr>
        <w:t>声</w:t>
      </w:r>
      <w:r>
        <w:rPr>
          <w:rFonts w:hint="eastAsia" w:ascii="仿宋_GB2312" w:hAnsi="仿宋_GB2312" w:eastAsia="仿宋_GB2312" w:cs="仿宋_GB2312"/>
          <w:sz w:val="32"/>
          <w:szCs w:val="32"/>
          <w:highlight w:val="none"/>
          <w:shd w:val="clear" w:color="auto" w:fill="auto"/>
          <w:lang w:bidi="ar"/>
        </w:rPr>
        <w:t>等降噪措施后</w:t>
      </w:r>
      <w:r>
        <w:rPr>
          <w:rFonts w:hint="eastAsia" w:ascii="仿宋_GB2312" w:hAnsi="仿宋_GB2312" w:eastAsia="仿宋_GB2312" w:cs="仿宋_GB2312"/>
          <w:bCs/>
          <w:sz w:val="32"/>
          <w:szCs w:val="32"/>
          <w:highlight w:val="none"/>
          <w:shd w:val="clear" w:color="auto" w:fill="auto"/>
          <w:lang w:val="zh-CN" w:eastAsia="zh-CN" w:bidi="ar"/>
        </w:rPr>
        <w:t>，</w:t>
      </w:r>
      <w:r>
        <w:rPr>
          <w:rFonts w:hint="eastAsia" w:ascii="仿宋_GB2312" w:hAnsi="仿宋_GB2312" w:eastAsia="仿宋_GB2312" w:cs="仿宋_GB2312"/>
          <w:sz w:val="32"/>
          <w:szCs w:val="32"/>
          <w:highlight w:val="none"/>
          <w:shd w:val="clear" w:color="auto" w:fill="auto"/>
          <w:lang w:bidi="ar"/>
        </w:rPr>
        <w:t>厂界</w:t>
      </w:r>
      <w:r>
        <w:rPr>
          <w:rFonts w:hint="eastAsia" w:ascii="仿宋_GB2312" w:hAnsi="仿宋_GB2312" w:eastAsia="仿宋_GB2312" w:cs="仿宋_GB2312"/>
          <w:bCs/>
          <w:sz w:val="32"/>
          <w:szCs w:val="32"/>
          <w:highlight w:val="none"/>
          <w:shd w:val="clear" w:color="auto" w:fill="auto"/>
          <w:lang w:val="zh-CN" w:eastAsia="zh-CN" w:bidi="ar"/>
        </w:rPr>
        <w:t>噪声</w:t>
      </w:r>
      <w:r>
        <w:rPr>
          <w:rFonts w:hint="eastAsia" w:ascii="仿宋_GB2312" w:hAnsi="仿宋_GB2312" w:eastAsia="仿宋_GB2312" w:cs="仿宋_GB2312"/>
          <w:bCs/>
          <w:sz w:val="32"/>
          <w:szCs w:val="32"/>
          <w:highlight w:val="none"/>
          <w:shd w:val="clear" w:color="auto" w:fill="auto"/>
          <w:lang w:val="en-US" w:eastAsia="zh-CN" w:bidi="ar"/>
        </w:rPr>
        <w:t>应满足</w:t>
      </w:r>
      <w:r>
        <w:rPr>
          <w:rFonts w:hint="eastAsia" w:ascii="仿宋_GB2312" w:hAnsi="仿宋_GB2312" w:eastAsia="仿宋_GB2312" w:cs="仿宋_GB2312"/>
          <w:bCs/>
          <w:sz w:val="32"/>
          <w:szCs w:val="32"/>
          <w:highlight w:val="none"/>
          <w:shd w:val="clear" w:color="auto" w:fill="auto"/>
          <w:lang w:val="zh-CN" w:eastAsia="zh-CN" w:bidi="ar"/>
        </w:rPr>
        <w:t>《工业企业厂界环境噪声排放标准》（GB12348-2008）</w:t>
      </w:r>
      <w:r>
        <w:rPr>
          <w:rFonts w:hint="eastAsia" w:ascii="仿宋_GB2312" w:hAnsi="仿宋_GB2312" w:eastAsia="仿宋_GB2312" w:cs="仿宋_GB2312"/>
          <w:bCs/>
          <w:sz w:val="32"/>
          <w:szCs w:val="32"/>
          <w:highlight w:val="none"/>
          <w:shd w:val="clear" w:color="auto" w:fill="auto"/>
          <w:lang w:val="en-US" w:eastAsia="zh-CN" w:bidi="ar"/>
        </w:rPr>
        <w:t>1类</w:t>
      </w:r>
      <w:r>
        <w:rPr>
          <w:rFonts w:hint="eastAsia" w:ascii="仿宋_GB2312" w:hAnsi="仿宋_GB2312" w:eastAsia="仿宋_GB2312" w:cs="仿宋_GB2312"/>
          <w:bCs/>
          <w:sz w:val="32"/>
          <w:szCs w:val="32"/>
          <w:highlight w:val="none"/>
          <w:shd w:val="clear" w:color="auto" w:fill="auto"/>
          <w:lang w:val="zh-CN" w:eastAsia="zh-CN" w:bidi="ar"/>
        </w:rPr>
        <w:t>标准要求。</w:t>
      </w:r>
    </w:p>
    <w:p w14:paraId="2674A9F3">
      <w:pPr>
        <w:keepNext w:val="0"/>
        <w:keepLines w:val="0"/>
        <w:pageBreakBefore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bCs w:val="0"/>
          <w:snapToGrid/>
          <w:color w:val="auto"/>
          <w:spacing w:val="0"/>
          <w:kern w:val="2"/>
          <w:sz w:val="32"/>
          <w:szCs w:val="32"/>
          <w:highlight w:val="none"/>
          <w:shd w:val="clear" w:color="auto" w:fill="auto"/>
          <w:lang w:val="zh-TW" w:eastAsia="zh-CN" w:bidi="ar-SA"/>
        </w:rPr>
      </w:pPr>
      <w:r>
        <w:rPr>
          <w:rFonts w:hint="eastAsia" w:ascii="仿宋_GB2312" w:hAnsi="仿宋_GB2312" w:eastAsia="仿宋_GB2312" w:cs="仿宋_GB2312"/>
          <w:bCs w:val="0"/>
          <w:snapToGrid/>
          <w:color w:val="auto"/>
          <w:spacing w:val="0"/>
          <w:kern w:val="2"/>
          <w:sz w:val="32"/>
          <w:szCs w:val="32"/>
          <w:highlight w:val="none"/>
          <w:shd w:val="clear" w:color="auto" w:fill="auto"/>
          <w:lang w:val="zh-TW" w:eastAsia="zh-CN" w:bidi="ar-SA"/>
        </w:rPr>
        <w:t>(四)严格落实固体废物防治措施。运营期生活垃圾</w:t>
      </w:r>
      <w:bookmarkStart w:id="0" w:name="_GoBack"/>
      <w:bookmarkEnd w:id="0"/>
      <w:r>
        <w:rPr>
          <w:rFonts w:hint="eastAsia" w:ascii="仿宋_GB2312" w:hAnsi="仿宋_GB2312" w:eastAsia="仿宋_GB2312" w:cs="仿宋_GB2312"/>
          <w:bCs w:val="0"/>
          <w:snapToGrid/>
          <w:color w:val="auto"/>
          <w:spacing w:val="0"/>
          <w:kern w:val="2"/>
          <w:sz w:val="32"/>
          <w:szCs w:val="32"/>
          <w:highlight w:val="none"/>
          <w:shd w:val="clear" w:color="auto" w:fill="auto"/>
          <w:lang w:val="zh-TW" w:eastAsia="zh-CN" w:bidi="ar-SA"/>
        </w:rPr>
        <w:t>统一收集后，送至环卫部门处理:废油及废蓄电池替换后立即由有资质单位处理，不在厂区内存储。危险废物应满足《危险废物管理计划和管理台账制定技术导则》（HJ 1259-2022）管理要求。</w:t>
      </w:r>
    </w:p>
    <w:p w14:paraId="3F8BE7EE">
      <w:pPr>
        <w:keepNext w:val="0"/>
        <w:keepLines w:val="0"/>
        <w:pageBreakBefore w:val="0"/>
        <w:widowControl/>
        <w:kinsoku w:val="0"/>
        <w:wordWrap/>
        <w:overflowPunct w:val="0"/>
        <w:topLinePunct w:val="0"/>
        <w:autoSpaceDE w:val="0"/>
        <w:autoSpaceDN w:val="0"/>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highlight w:val="none"/>
          <w:shd w:val="clear" w:color="auto" w:fill="auto"/>
        </w:rPr>
      </w:pPr>
      <w:r>
        <w:rPr>
          <w:rFonts w:hint="eastAsia" w:ascii="仿宋_GB2312" w:hAnsi="仿宋_GB2312" w:eastAsia="仿宋_GB2312" w:cs="仿宋_GB2312"/>
          <w:bCs w:val="0"/>
          <w:snapToGrid/>
          <w:color w:val="auto"/>
          <w:spacing w:val="0"/>
          <w:kern w:val="2"/>
          <w:sz w:val="32"/>
          <w:szCs w:val="32"/>
          <w:highlight w:val="none"/>
          <w:shd w:val="clear" w:color="auto" w:fill="auto"/>
          <w:lang w:val="zh-TW" w:eastAsia="zh-CN" w:bidi="ar-SA"/>
        </w:rPr>
        <w:t>(五)加强土壤及地下水环境管理。项目采取分区防渗措施，</w:t>
      </w:r>
      <w:r>
        <w:rPr>
          <w:rFonts w:hint="eastAsia" w:ascii="仿宋_GB2312" w:hAnsi="仿宋_GB2312" w:eastAsia="仿宋_GB2312" w:cs="仿宋_GB2312"/>
          <w:sz w:val="32"/>
          <w:szCs w:val="32"/>
          <w:highlight w:val="none"/>
          <w:shd w:val="clear" w:color="auto" w:fill="auto"/>
          <w:lang w:eastAsia="zh-CN"/>
        </w:rPr>
        <w:t>电站</w:t>
      </w:r>
      <w:r>
        <w:rPr>
          <w:rFonts w:hint="eastAsia" w:ascii="仿宋_GB2312" w:hAnsi="仿宋_GB2312" w:eastAsia="仿宋_GB2312" w:cs="仿宋_GB2312"/>
          <w:sz w:val="32"/>
          <w:szCs w:val="32"/>
          <w:highlight w:val="none"/>
          <w:shd w:val="clear" w:color="auto" w:fill="auto"/>
        </w:rPr>
        <w:t>厂房机组层、变压器基础</w:t>
      </w:r>
      <w:r>
        <w:rPr>
          <w:rFonts w:hint="eastAsia" w:ascii="仿宋_GB2312" w:hAnsi="仿宋_GB2312" w:eastAsia="仿宋_GB2312" w:cs="仿宋_GB2312"/>
          <w:sz w:val="32"/>
          <w:szCs w:val="32"/>
          <w:highlight w:val="none"/>
          <w:shd w:val="clear" w:color="auto" w:fill="auto"/>
          <w:lang w:eastAsia="zh-CN"/>
        </w:rPr>
        <w:t>、</w:t>
      </w:r>
      <w:r>
        <w:rPr>
          <w:rFonts w:hint="eastAsia" w:ascii="仿宋_GB2312" w:hAnsi="仿宋_GB2312" w:eastAsia="仿宋_GB2312" w:cs="仿宋_GB2312"/>
          <w:sz w:val="32"/>
          <w:szCs w:val="32"/>
          <w:highlight w:val="none"/>
          <w:shd w:val="clear" w:color="auto" w:fill="auto"/>
        </w:rPr>
        <w:t>事故油池</w:t>
      </w:r>
      <w:r>
        <w:rPr>
          <w:rFonts w:hint="eastAsia" w:ascii="仿宋_GB2312" w:hAnsi="仿宋_GB2312" w:eastAsia="仿宋_GB2312" w:cs="仿宋_GB2312"/>
          <w:sz w:val="32"/>
          <w:szCs w:val="32"/>
          <w:highlight w:val="none"/>
          <w:shd w:val="clear" w:color="auto" w:fill="auto"/>
          <w:lang w:eastAsia="zh-CN"/>
        </w:rPr>
        <w:t>（</w:t>
      </w:r>
      <w:r>
        <w:rPr>
          <w:rFonts w:hint="eastAsia" w:ascii="仿宋_GB2312" w:hAnsi="仿宋_GB2312" w:eastAsia="仿宋_GB2312" w:cs="仿宋_GB2312"/>
          <w:sz w:val="32"/>
          <w:szCs w:val="32"/>
          <w:highlight w:val="none"/>
          <w:shd w:val="clear" w:color="auto" w:fill="auto"/>
          <w:lang w:val="en-US" w:eastAsia="zh-CN"/>
        </w:rPr>
        <w:t>9m</w:t>
      </w:r>
      <w:r>
        <w:rPr>
          <w:rFonts w:hint="eastAsia" w:ascii="仿宋_GB2312" w:hAnsi="仿宋_GB2312" w:eastAsia="仿宋_GB2312" w:cs="仿宋_GB2312"/>
          <w:sz w:val="32"/>
          <w:szCs w:val="32"/>
          <w:highlight w:val="none"/>
          <w:shd w:val="clear" w:color="auto" w:fill="auto"/>
          <w:vertAlign w:val="superscript"/>
          <w:lang w:val="en-US" w:eastAsia="zh-CN"/>
        </w:rPr>
        <w:t>3</w:t>
      </w:r>
      <w:r>
        <w:rPr>
          <w:rFonts w:hint="eastAsia" w:ascii="仿宋_GB2312" w:hAnsi="仿宋_GB2312" w:eastAsia="仿宋_GB2312" w:cs="仿宋_GB2312"/>
          <w:sz w:val="32"/>
          <w:szCs w:val="32"/>
          <w:highlight w:val="none"/>
          <w:shd w:val="clear" w:color="auto" w:fill="auto"/>
          <w:lang w:eastAsia="zh-CN"/>
        </w:rPr>
        <w:t>）及</w:t>
      </w:r>
      <w:r>
        <w:rPr>
          <w:rFonts w:hint="eastAsia" w:ascii="仿宋_GB2312" w:hAnsi="仿宋_GB2312" w:eastAsia="仿宋_GB2312" w:cs="仿宋_GB2312"/>
          <w:sz w:val="32"/>
          <w:szCs w:val="32"/>
          <w:highlight w:val="none"/>
          <w:shd w:val="clear" w:color="auto" w:fill="auto"/>
        </w:rPr>
        <w:t>化粪池区域</w:t>
      </w:r>
      <w:r>
        <w:rPr>
          <w:rFonts w:hint="eastAsia" w:ascii="仿宋_GB2312" w:hAnsi="仿宋_GB2312" w:eastAsia="仿宋_GB2312" w:cs="仿宋_GB2312"/>
          <w:sz w:val="32"/>
          <w:szCs w:val="32"/>
          <w:highlight w:val="none"/>
          <w:shd w:val="clear" w:color="auto" w:fill="auto"/>
          <w:lang w:eastAsia="zh-CN"/>
        </w:rPr>
        <w:t>作为</w:t>
      </w:r>
      <w:r>
        <w:rPr>
          <w:rFonts w:hint="eastAsia" w:ascii="仿宋_GB2312" w:hAnsi="仿宋_GB2312" w:eastAsia="仿宋_GB2312" w:cs="仿宋_GB2312"/>
          <w:sz w:val="32"/>
          <w:szCs w:val="32"/>
          <w:highlight w:val="none"/>
          <w:shd w:val="clear" w:color="auto" w:fill="auto"/>
        </w:rPr>
        <w:t>重点防渗区</w:t>
      </w:r>
      <w:r>
        <w:rPr>
          <w:rFonts w:hint="eastAsia" w:ascii="仿宋_GB2312" w:hAnsi="仿宋_GB2312" w:eastAsia="仿宋_GB2312" w:cs="仿宋_GB2312"/>
          <w:bCs w:val="0"/>
          <w:snapToGrid/>
          <w:color w:val="auto"/>
          <w:spacing w:val="0"/>
          <w:kern w:val="2"/>
          <w:sz w:val="32"/>
          <w:szCs w:val="32"/>
          <w:highlight w:val="none"/>
          <w:shd w:val="clear" w:color="auto" w:fill="auto"/>
          <w:lang w:val="zh-TW" w:eastAsia="zh-CN" w:bidi="ar-SA"/>
        </w:rPr>
        <w:t>(Mb≥6.0m，K≤1.0X10</w:t>
      </w:r>
      <w:r>
        <w:rPr>
          <w:rFonts w:hint="eastAsia" w:ascii="仿宋_GB2312" w:hAnsi="仿宋_GB2312" w:eastAsia="仿宋_GB2312" w:cs="仿宋_GB2312"/>
          <w:bCs w:val="0"/>
          <w:snapToGrid/>
          <w:color w:val="auto"/>
          <w:spacing w:val="0"/>
          <w:kern w:val="2"/>
          <w:sz w:val="32"/>
          <w:szCs w:val="32"/>
          <w:highlight w:val="none"/>
          <w:shd w:val="clear" w:color="auto" w:fill="auto"/>
          <w:vertAlign w:val="superscript"/>
          <w:lang w:val="en-US" w:eastAsia="zh-CN" w:bidi="ar-SA"/>
        </w:rPr>
        <w:t>-7</w:t>
      </w:r>
      <w:r>
        <w:rPr>
          <w:rFonts w:hint="eastAsia" w:ascii="仿宋_GB2312" w:hAnsi="仿宋_GB2312" w:eastAsia="仿宋_GB2312" w:cs="仿宋_GB2312"/>
          <w:bCs w:val="0"/>
          <w:snapToGrid/>
          <w:color w:val="auto"/>
          <w:spacing w:val="0"/>
          <w:kern w:val="2"/>
          <w:sz w:val="32"/>
          <w:szCs w:val="32"/>
          <w:highlight w:val="none"/>
          <w:shd w:val="clear" w:color="auto" w:fill="auto"/>
          <w:lang w:val="zh-TW" w:eastAsia="zh-CN" w:bidi="ar-SA"/>
        </w:rPr>
        <w:t>cm/s)</w:t>
      </w:r>
      <w:r>
        <w:rPr>
          <w:rFonts w:hint="eastAsia" w:ascii="仿宋_GB2312" w:hAnsi="仿宋_GB2312" w:eastAsia="仿宋_GB2312" w:cs="仿宋_GB2312"/>
          <w:sz w:val="32"/>
          <w:szCs w:val="32"/>
          <w:highlight w:val="none"/>
          <w:shd w:val="clear" w:color="auto" w:fill="auto"/>
          <w:lang w:eastAsia="zh-CN"/>
        </w:rPr>
        <w:t>；厂房附属地面、变压器站其他地面作为</w:t>
      </w:r>
      <w:r>
        <w:rPr>
          <w:rFonts w:hint="eastAsia" w:ascii="仿宋_GB2312" w:hAnsi="仿宋_GB2312" w:eastAsia="仿宋_GB2312" w:cs="仿宋_GB2312"/>
          <w:sz w:val="32"/>
          <w:szCs w:val="32"/>
          <w:highlight w:val="none"/>
          <w:shd w:val="clear" w:color="auto" w:fill="auto"/>
        </w:rPr>
        <w:t>一般防渗区</w:t>
      </w:r>
      <w:r>
        <w:rPr>
          <w:rFonts w:hint="eastAsia" w:ascii="仿宋_GB2312" w:hAnsi="仿宋_GB2312" w:eastAsia="仿宋_GB2312" w:cs="仿宋_GB2312"/>
          <w:bCs w:val="0"/>
          <w:snapToGrid/>
          <w:color w:val="auto"/>
          <w:spacing w:val="0"/>
          <w:kern w:val="2"/>
          <w:sz w:val="32"/>
          <w:szCs w:val="32"/>
          <w:highlight w:val="none"/>
          <w:shd w:val="clear" w:color="auto" w:fill="auto"/>
          <w:lang w:val="zh-TW" w:eastAsia="zh-CN" w:bidi="ar-SA"/>
        </w:rPr>
        <w:t>(Mb≥1.5m，K≤1.0x10</w:t>
      </w:r>
      <w:r>
        <w:rPr>
          <w:rFonts w:hint="eastAsia" w:ascii="仿宋_GB2312" w:hAnsi="仿宋_GB2312" w:eastAsia="仿宋_GB2312" w:cs="仿宋_GB2312"/>
          <w:bCs w:val="0"/>
          <w:snapToGrid/>
          <w:color w:val="auto"/>
          <w:spacing w:val="0"/>
          <w:kern w:val="2"/>
          <w:sz w:val="32"/>
          <w:szCs w:val="32"/>
          <w:highlight w:val="none"/>
          <w:shd w:val="clear" w:color="auto" w:fill="auto"/>
          <w:vertAlign w:val="superscript"/>
          <w:lang w:val="en-US" w:eastAsia="zh-CN" w:bidi="ar-SA"/>
        </w:rPr>
        <w:t>-7</w:t>
      </w:r>
      <w:r>
        <w:rPr>
          <w:rFonts w:hint="eastAsia" w:ascii="仿宋_GB2312" w:hAnsi="仿宋_GB2312" w:eastAsia="仿宋_GB2312" w:cs="仿宋_GB2312"/>
          <w:bCs w:val="0"/>
          <w:snapToGrid/>
          <w:color w:val="auto"/>
          <w:spacing w:val="0"/>
          <w:kern w:val="2"/>
          <w:sz w:val="32"/>
          <w:szCs w:val="32"/>
          <w:highlight w:val="none"/>
          <w:shd w:val="clear" w:color="auto" w:fill="auto"/>
          <w:lang w:val="zh-TW" w:eastAsia="zh-CN" w:bidi="ar-SA"/>
        </w:rPr>
        <w:t>cm/s)</w:t>
      </w:r>
      <w:r>
        <w:rPr>
          <w:rFonts w:hint="eastAsia" w:ascii="仿宋_GB2312" w:hAnsi="仿宋_GB2312" w:eastAsia="仿宋_GB2312" w:cs="仿宋_GB2312"/>
          <w:sz w:val="32"/>
          <w:szCs w:val="32"/>
          <w:highlight w:val="none"/>
          <w:shd w:val="clear" w:color="auto" w:fill="auto"/>
        </w:rPr>
        <w:t>。</w:t>
      </w:r>
    </w:p>
    <w:p w14:paraId="04BDBFEF">
      <w:pPr>
        <w:keepNext w:val="0"/>
        <w:keepLines w:val="0"/>
        <w:pageBreakBefore w:val="0"/>
        <w:widowControl/>
        <w:kinsoku w:val="0"/>
        <w:wordWrap/>
        <w:overflowPunct w:val="0"/>
        <w:topLinePunct w:val="0"/>
        <w:autoSpaceDE w:val="0"/>
        <w:autoSpaceDN w:val="0"/>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highlight w:val="none"/>
          <w:shd w:val="clear" w:color="auto" w:fill="auto"/>
        </w:rPr>
      </w:pPr>
      <w:r>
        <w:rPr>
          <w:rFonts w:hint="eastAsia" w:ascii="仿宋_GB2312" w:hAnsi="仿宋_GB2312" w:eastAsia="仿宋_GB2312" w:cs="仿宋_GB2312"/>
          <w:bCs w:val="0"/>
          <w:snapToGrid/>
          <w:color w:val="auto"/>
          <w:spacing w:val="0"/>
          <w:kern w:val="2"/>
          <w:sz w:val="32"/>
          <w:szCs w:val="32"/>
          <w:highlight w:val="none"/>
          <w:shd w:val="clear" w:color="auto" w:fill="auto"/>
          <w:lang w:val="zh-TW" w:eastAsia="zh-CN" w:bidi="ar-SA"/>
        </w:rPr>
        <w:t>(六)加强生态恢复措施工作。</w:t>
      </w:r>
      <w:r>
        <w:rPr>
          <w:rFonts w:hint="eastAsia" w:ascii="仿宋_GB2312" w:hAnsi="仿宋_GB2312" w:eastAsia="仿宋_GB2312" w:cs="仿宋_GB2312"/>
          <w:bCs w:val="0"/>
          <w:strike w:val="0"/>
          <w:dstrike w:val="0"/>
          <w:snapToGrid/>
          <w:color w:val="auto"/>
          <w:spacing w:val="0"/>
          <w:kern w:val="2"/>
          <w:sz w:val="32"/>
          <w:szCs w:val="32"/>
          <w:highlight w:val="none"/>
          <w:shd w:val="clear" w:color="auto" w:fill="auto"/>
          <w:lang w:val="zh-TW" w:eastAsia="zh-CN" w:bidi="ar-SA"/>
        </w:rPr>
        <w:t>严格控制施工作业范围，禁止超计划占地。施工结束后，及时拆除临时建筑物，妥善处理建筑和生活垃圾，清理和平整场地，对部分永久占地和全部临时占地及时进行植被恢复、绿化美化或复耕。</w:t>
      </w:r>
      <w:r>
        <w:rPr>
          <w:rFonts w:hint="eastAsia" w:ascii="仿宋_GB2312" w:hAnsi="仿宋_GB2312" w:eastAsia="仿宋_GB2312" w:cs="仿宋_GB2312"/>
          <w:bCs w:val="0"/>
          <w:snapToGrid/>
          <w:color w:val="auto"/>
          <w:spacing w:val="0"/>
          <w:kern w:val="2"/>
          <w:sz w:val="32"/>
          <w:szCs w:val="32"/>
          <w:highlight w:val="none"/>
          <w:shd w:val="clear" w:color="auto" w:fill="auto"/>
          <w:lang w:val="zh-TW" w:eastAsia="zh-CN" w:bidi="ar-SA"/>
        </w:rPr>
        <w:t>运营期间</w:t>
      </w:r>
      <w:r>
        <w:rPr>
          <w:rFonts w:hint="eastAsia" w:ascii="仿宋_GB2312" w:hAnsi="仿宋_GB2312" w:eastAsia="仿宋_GB2312" w:cs="仿宋_GB2312"/>
          <w:sz w:val="32"/>
          <w:szCs w:val="32"/>
          <w:highlight w:val="none"/>
          <w:shd w:val="clear" w:color="auto" w:fill="auto"/>
        </w:rPr>
        <w:t>设置2台生态流量自动监测设备</w:t>
      </w:r>
      <w:r>
        <w:rPr>
          <w:rFonts w:hint="eastAsia" w:ascii="仿宋_GB2312" w:hAnsi="仿宋_GB2312" w:eastAsia="仿宋_GB2312" w:cs="仿宋_GB2312"/>
          <w:bCs w:val="0"/>
          <w:snapToGrid/>
          <w:color w:val="auto"/>
          <w:spacing w:val="0"/>
          <w:kern w:val="2"/>
          <w:sz w:val="32"/>
          <w:szCs w:val="32"/>
          <w:highlight w:val="none"/>
          <w:shd w:val="clear" w:color="auto" w:fill="auto"/>
          <w:lang w:val="en-US" w:eastAsia="zh-CN" w:bidi="ar-SA"/>
        </w:rPr>
        <w:t>,</w:t>
      </w:r>
      <w:r>
        <w:rPr>
          <w:rFonts w:hint="eastAsia" w:ascii="仿宋_GB2312" w:hAnsi="仿宋_GB2312" w:eastAsia="仿宋_GB2312" w:cs="仿宋_GB2312"/>
          <w:bCs w:val="0"/>
          <w:snapToGrid/>
          <w:color w:val="auto"/>
          <w:spacing w:val="0"/>
          <w:kern w:val="2"/>
          <w:sz w:val="32"/>
          <w:szCs w:val="32"/>
          <w:highlight w:val="none"/>
          <w:shd w:val="clear" w:color="auto" w:fill="auto"/>
          <w:lang w:val="zh-TW" w:eastAsia="zh-CN" w:bidi="ar-SA"/>
        </w:rPr>
        <w:t>保证</w:t>
      </w:r>
      <w:r>
        <w:rPr>
          <w:rFonts w:hint="eastAsia" w:ascii="仿宋_GB2312" w:hAnsi="仿宋_GB2312" w:eastAsia="仿宋_GB2312" w:cs="仿宋_GB2312"/>
          <w:bCs w:val="0"/>
          <w:snapToGrid/>
          <w:color w:val="auto"/>
          <w:spacing w:val="0"/>
          <w:kern w:val="2"/>
          <w:sz w:val="32"/>
          <w:szCs w:val="32"/>
          <w:highlight w:val="none"/>
          <w:shd w:val="clear" w:color="auto" w:fill="auto"/>
          <w:lang w:val="en-US" w:eastAsia="zh-CN" w:bidi="ar-SA"/>
        </w:rPr>
        <w:t>17.3</w:t>
      </w:r>
      <w:r>
        <w:rPr>
          <w:rFonts w:hint="eastAsia" w:ascii="仿宋_GB2312" w:hAnsi="仿宋_GB2312" w:eastAsia="仿宋_GB2312" w:cs="仿宋_GB2312"/>
          <w:bCs w:val="0"/>
          <w:snapToGrid/>
          <w:color w:val="auto"/>
          <w:spacing w:val="0"/>
          <w:kern w:val="2"/>
          <w:sz w:val="32"/>
          <w:szCs w:val="32"/>
          <w:highlight w:val="none"/>
          <w:shd w:val="clear" w:color="auto" w:fill="auto"/>
          <w:lang w:val="zh-TW" w:eastAsia="zh-CN" w:bidi="ar-SA"/>
        </w:rPr>
        <w:t>m</w:t>
      </w:r>
      <w:r>
        <w:rPr>
          <w:rFonts w:hint="eastAsia" w:ascii="仿宋_GB2312" w:hAnsi="仿宋_GB2312" w:eastAsia="仿宋_GB2312" w:cs="仿宋_GB2312"/>
          <w:bCs w:val="0"/>
          <w:snapToGrid/>
          <w:color w:val="auto"/>
          <w:spacing w:val="0"/>
          <w:kern w:val="2"/>
          <w:sz w:val="32"/>
          <w:szCs w:val="32"/>
          <w:highlight w:val="none"/>
          <w:shd w:val="clear" w:color="auto" w:fill="auto"/>
          <w:vertAlign w:val="superscript"/>
          <w:lang w:val="en-US" w:eastAsia="zh-CN" w:bidi="ar-SA"/>
        </w:rPr>
        <w:t>3</w:t>
      </w:r>
      <w:r>
        <w:rPr>
          <w:rFonts w:hint="eastAsia" w:ascii="仿宋_GB2312" w:hAnsi="仿宋_GB2312" w:eastAsia="仿宋_GB2312" w:cs="仿宋_GB2312"/>
          <w:bCs w:val="0"/>
          <w:snapToGrid/>
          <w:color w:val="auto"/>
          <w:spacing w:val="0"/>
          <w:kern w:val="2"/>
          <w:sz w:val="32"/>
          <w:szCs w:val="32"/>
          <w:highlight w:val="none"/>
          <w:shd w:val="clear" w:color="auto" w:fill="auto"/>
          <w:lang w:val="zh-TW" w:eastAsia="zh-CN" w:bidi="ar-SA"/>
        </w:rPr>
        <w:t>/s生态流量，因上游水工程泄放不足导致入库流量小于生态流量目标时，可按入库流量下泄</w:t>
      </w:r>
      <w:r>
        <w:rPr>
          <w:rFonts w:hint="eastAsia" w:ascii="仿宋_GB2312" w:hAnsi="仿宋_GB2312" w:eastAsia="仿宋_GB2312" w:cs="仿宋_GB2312"/>
          <w:bCs w:val="0"/>
          <w:snapToGrid/>
          <w:color w:val="auto"/>
          <w:spacing w:val="0"/>
          <w:kern w:val="2"/>
          <w:sz w:val="32"/>
          <w:szCs w:val="32"/>
          <w:highlight w:val="none"/>
          <w:shd w:val="clear" w:color="auto" w:fill="auto"/>
          <w:lang w:val="en-US" w:eastAsia="zh-CN" w:bidi="ar-SA"/>
        </w:rPr>
        <w:t>;</w:t>
      </w:r>
      <w:r>
        <w:rPr>
          <w:rFonts w:hint="eastAsia" w:ascii="仿宋_GB2312" w:hAnsi="仿宋_GB2312" w:eastAsia="仿宋_GB2312" w:cs="仿宋_GB2312"/>
          <w:bCs w:val="0"/>
          <w:snapToGrid/>
          <w:color w:val="auto"/>
          <w:spacing w:val="0"/>
          <w:kern w:val="2"/>
          <w:sz w:val="32"/>
          <w:szCs w:val="32"/>
          <w:highlight w:val="none"/>
          <w:shd w:val="clear" w:color="auto" w:fill="auto"/>
          <w:lang w:val="zh-TW" w:eastAsia="zh-CN" w:bidi="ar-SA"/>
        </w:rPr>
        <w:t>电站进口处设置拦网，防止水轮机对鱼类的损伤</w:t>
      </w:r>
      <w:r>
        <w:rPr>
          <w:rFonts w:hint="eastAsia" w:ascii="仿宋_GB2312" w:hAnsi="仿宋_GB2312" w:eastAsia="仿宋_GB2312" w:cs="仿宋_GB2312"/>
          <w:bCs w:val="0"/>
          <w:snapToGrid/>
          <w:color w:val="auto"/>
          <w:spacing w:val="0"/>
          <w:kern w:val="2"/>
          <w:sz w:val="32"/>
          <w:szCs w:val="32"/>
          <w:highlight w:val="none"/>
          <w:shd w:val="clear" w:color="auto" w:fill="auto"/>
          <w:lang w:val="en-US" w:eastAsia="zh-CN" w:bidi="ar-SA"/>
        </w:rPr>
        <w:t>;</w:t>
      </w:r>
      <w:r>
        <w:rPr>
          <w:rFonts w:hint="eastAsia" w:ascii="仿宋_GB2312" w:hAnsi="仿宋_GB2312" w:eastAsia="仿宋_GB2312" w:cs="仿宋_GB2312"/>
          <w:sz w:val="32"/>
          <w:szCs w:val="32"/>
          <w:highlight w:val="none"/>
          <w:shd w:val="clear" w:color="auto" w:fill="auto"/>
        </w:rPr>
        <w:t>植被恢复及生态补偿，绿化面积959m</w:t>
      </w:r>
      <w:r>
        <w:rPr>
          <w:rFonts w:hint="eastAsia" w:ascii="仿宋_GB2312" w:hAnsi="仿宋_GB2312" w:eastAsia="仿宋_GB2312" w:cs="仿宋_GB2312"/>
          <w:sz w:val="32"/>
          <w:szCs w:val="32"/>
          <w:highlight w:val="none"/>
          <w:shd w:val="clear" w:color="auto" w:fill="auto"/>
          <w:vertAlign w:val="superscript"/>
        </w:rPr>
        <w:t>2</w:t>
      </w:r>
      <w:r>
        <w:rPr>
          <w:rFonts w:hint="eastAsia" w:ascii="仿宋_GB2312" w:hAnsi="仿宋_GB2312" w:eastAsia="仿宋_GB2312" w:cs="仿宋_GB2312"/>
          <w:sz w:val="32"/>
          <w:szCs w:val="32"/>
          <w:highlight w:val="none"/>
          <w:shd w:val="clear" w:color="auto" w:fill="auto"/>
        </w:rPr>
        <w:t>；实施鱼类增殖放流补偿措施。</w:t>
      </w:r>
    </w:p>
    <w:p w14:paraId="5BF15DB0">
      <w:pPr>
        <w:keepNext w:val="0"/>
        <w:keepLines w:val="0"/>
        <w:pageBreakBefore w:val="0"/>
        <w:widowControl/>
        <w:kinsoku w:val="0"/>
        <w:wordWrap/>
        <w:overflowPunct w:val="0"/>
        <w:topLinePunct w:val="0"/>
        <w:autoSpaceDE w:val="0"/>
        <w:autoSpaceDN w:val="0"/>
        <w:bidi w:val="0"/>
        <w:adjustRightInd w:val="0"/>
        <w:snapToGrid w:val="0"/>
        <w:spacing w:line="560" w:lineRule="exact"/>
        <w:ind w:firstLine="640" w:firstLineChars="200"/>
        <w:jc w:val="left"/>
        <w:textAlignment w:val="auto"/>
        <w:rPr>
          <w:rFonts w:hint="eastAsia" w:ascii="仿宋_GB2312" w:hAnsi="仿宋_GB2312" w:eastAsia="仿宋_GB2312" w:cs="仿宋_GB2312"/>
          <w:bCs w:val="0"/>
          <w:snapToGrid/>
          <w:color w:val="auto"/>
          <w:spacing w:val="0"/>
          <w:kern w:val="2"/>
          <w:sz w:val="32"/>
          <w:szCs w:val="32"/>
          <w:highlight w:val="none"/>
          <w:shd w:val="clear" w:color="auto" w:fill="auto"/>
          <w:lang w:val="zh-TW" w:eastAsia="zh-CN" w:bidi="ar-SA"/>
        </w:rPr>
      </w:pPr>
      <w:r>
        <w:rPr>
          <w:rFonts w:hint="eastAsia" w:ascii="仿宋_GB2312" w:hAnsi="仿宋_GB2312" w:eastAsia="仿宋_GB2312" w:cs="仿宋_GB2312"/>
          <w:bCs w:val="0"/>
          <w:snapToGrid/>
          <w:color w:val="auto"/>
          <w:spacing w:val="0"/>
          <w:kern w:val="2"/>
          <w:sz w:val="32"/>
          <w:szCs w:val="32"/>
          <w:highlight w:val="none"/>
          <w:shd w:val="clear" w:color="auto" w:fill="auto"/>
          <w:lang w:val="zh-TW" w:eastAsia="zh-CN" w:bidi="ar-SA"/>
        </w:rPr>
        <w:t>(七)严格落实环境风险防控措施。</w:t>
      </w:r>
      <w:r>
        <w:rPr>
          <w:rFonts w:hint="eastAsia" w:ascii="仿宋_GB2312" w:hAnsi="仿宋_GB2312" w:eastAsia="仿宋_GB2312" w:cs="仿宋_GB2312"/>
          <w:bCs w:val="0"/>
          <w:snapToGrid/>
          <w:color w:val="auto"/>
          <w:spacing w:val="0"/>
          <w:kern w:val="2"/>
          <w:sz w:val="32"/>
          <w:szCs w:val="32"/>
          <w:highlight w:val="none"/>
          <w:shd w:val="clear" w:color="auto" w:fill="auto"/>
          <w:lang w:val="en-US" w:eastAsia="zh-CN" w:bidi="ar-SA"/>
        </w:rPr>
        <w:t>设置两个容积为0.5m</w:t>
      </w:r>
      <w:r>
        <w:rPr>
          <w:rFonts w:hint="eastAsia" w:ascii="仿宋_GB2312" w:hAnsi="仿宋_GB2312" w:eastAsia="仿宋_GB2312" w:cs="仿宋_GB2312"/>
          <w:bCs w:val="0"/>
          <w:snapToGrid/>
          <w:color w:val="auto"/>
          <w:spacing w:val="0"/>
          <w:kern w:val="2"/>
          <w:sz w:val="32"/>
          <w:szCs w:val="32"/>
          <w:highlight w:val="none"/>
          <w:shd w:val="clear" w:color="auto" w:fill="auto"/>
          <w:vertAlign w:val="superscript"/>
          <w:lang w:val="en-US" w:eastAsia="zh-CN" w:bidi="ar-SA"/>
        </w:rPr>
        <w:t>3</w:t>
      </w:r>
      <w:r>
        <w:rPr>
          <w:rFonts w:hint="eastAsia" w:ascii="仿宋_GB2312" w:hAnsi="仿宋_GB2312" w:eastAsia="仿宋_GB2312" w:cs="仿宋_GB2312"/>
          <w:bCs w:val="0"/>
          <w:snapToGrid/>
          <w:color w:val="auto"/>
          <w:spacing w:val="0"/>
          <w:kern w:val="2"/>
          <w:sz w:val="32"/>
          <w:szCs w:val="32"/>
          <w:highlight w:val="none"/>
          <w:shd w:val="clear" w:color="auto" w:fill="auto"/>
          <w:lang w:val="en-US" w:eastAsia="zh-CN" w:bidi="ar-SA"/>
        </w:rPr>
        <w:t>的消防砂箱，在变压器卵石坑附近设置事故油池，事故油池的容积为9m³</w:t>
      </w:r>
      <w:r>
        <w:rPr>
          <w:rFonts w:hint="eastAsia" w:ascii="仿宋_GB2312" w:hAnsi="仿宋_GB2312" w:eastAsia="仿宋_GB2312" w:cs="仿宋_GB2312"/>
          <w:bCs w:val="0"/>
          <w:snapToGrid/>
          <w:color w:val="auto"/>
          <w:spacing w:val="0"/>
          <w:kern w:val="2"/>
          <w:sz w:val="32"/>
          <w:szCs w:val="32"/>
          <w:highlight w:val="none"/>
          <w:shd w:val="clear" w:color="auto" w:fill="auto"/>
          <w:lang w:val="zh-TW" w:eastAsia="zh-CN" w:bidi="ar-SA"/>
        </w:rPr>
        <w:t>，防止泄漏物料、事故废水、消防废水对周围水体产生影响。配备灭火器、消防沙等应急救援物资;制定相应的应急预案并定期开展应急演练。</w:t>
      </w:r>
    </w:p>
    <w:p w14:paraId="2BA1550C">
      <w:pPr>
        <w:keepNext w:val="0"/>
        <w:keepLines w:val="0"/>
        <w:pageBreakBefore w:val="0"/>
        <w:widowControl w:val="0"/>
        <w:kinsoku/>
        <w:wordWrap/>
        <w:overflowPunct/>
        <w:topLinePunct w:val="0"/>
        <w:autoSpaceDE w:val="0"/>
        <w:autoSpaceDN w:val="0"/>
        <w:bidi w:val="0"/>
        <w:adjustRightInd w:val="0"/>
        <w:snapToGrid/>
        <w:spacing w:line="560" w:lineRule="exact"/>
        <w:ind w:left="0" w:leftChars="0" w:firstLine="680" w:firstLineChars="200"/>
        <w:jc w:val="both"/>
        <w:textAlignment w:val="auto"/>
        <w:rPr>
          <w:rFonts w:hint="eastAsia" w:ascii="仿宋_GB2312" w:hAnsi="仿宋_GB2312" w:eastAsia="仿宋_GB2312" w:cs="仿宋_GB2312"/>
          <w:sz w:val="32"/>
          <w:szCs w:val="32"/>
          <w:highlight w:val="none"/>
          <w:shd w:val="clear" w:color="auto" w:fill="auto"/>
        </w:rPr>
      </w:pPr>
      <w:r>
        <w:rPr>
          <w:rFonts w:hint="eastAsia" w:ascii="仿宋_GB2312" w:hAnsi="仿宋_GB2312" w:eastAsia="仿宋_GB2312" w:cs="仿宋_GB2312"/>
          <w:sz w:val="32"/>
          <w:szCs w:val="32"/>
          <w:highlight w:val="none"/>
          <w:shd w:val="clear" w:color="auto" w:fill="auto"/>
        </w:rPr>
        <w:t>三、你公司应落实生态环境保护主体责任，严格执行排污许可制度。建立企业内部生态环境管理机构和体系，明确人员、职责和制度，加强生态环境管理，推进各项生态环境保护措施落实。按照相关法律法规和技术标准规范要求，开展环保设备设施安全风险辨识评估和隐患排查治理，落实安全生产各项责任措施。项目建设必须严格执行配套的环境保护设施与主体工程，同时设计、同时施工、同时投产使用的环境保护“三同时”制度，落实各项环境保护措施以及环境保护设施投资，</w:t>
      </w:r>
      <w:r>
        <w:rPr>
          <w:rFonts w:hint="eastAsia" w:ascii="仿宋_GB2312" w:hAnsi="仿宋_GB2312" w:eastAsia="仿宋_GB2312" w:cs="仿宋_GB2312"/>
          <w:bCs w:val="0"/>
          <w:snapToGrid/>
          <w:spacing w:val="0"/>
          <w:kern w:val="2"/>
          <w:sz w:val="32"/>
          <w:szCs w:val="32"/>
          <w:highlight w:val="none"/>
          <w:shd w:val="clear" w:color="auto" w:fill="auto"/>
        </w:rPr>
        <w:t>项目竣工后，须按规定程序实施竣工环境保护验收，并向社会进行公示</w:t>
      </w:r>
      <w:r>
        <w:rPr>
          <w:rFonts w:hint="eastAsia" w:ascii="仿宋_GB2312" w:hAnsi="仿宋_GB2312" w:eastAsia="仿宋_GB2312" w:cs="仿宋_GB2312"/>
          <w:sz w:val="32"/>
          <w:szCs w:val="32"/>
          <w:highlight w:val="none"/>
          <w:shd w:val="clear" w:color="auto" w:fill="auto"/>
        </w:rPr>
        <w:t>。</w:t>
      </w:r>
      <w:r>
        <w:rPr>
          <w:rFonts w:hint="default" w:ascii="Times New Roman" w:hAnsi="Times New Roman" w:eastAsia="仿宋_GB2312" w:cs="Times New Roman"/>
          <w:color w:val="auto"/>
          <w:sz w:val="32"/>
          <w:szCs w:val="32"/>
          <w:highlight w:val="none"/>
          <w:shd w:val="clear" w:color="auto" w:fill="auto"/>
          <w:lang w:val="en-US" w:eastAsia="zh-CN"/>
        </w:rPr>
        <w:t>做好工程相关科普知识的宣传工作。配合当地政府及有关部门对公众进行必要的解释和说明，取得公众对工程建设的理解和支持。本项目引发的生态环境信访问题，由建设单位负责妥善解决。</w:t>
      </w:r>
    </w:p>
    <w:p w14:paraId="639786C5">
      <w:pPr>
        <w:pStyle w:val="48"/>
        <w:keepNext w:val="0"/>
        <w:keepLines w:val="0"/>
        <w:pageBreakBefore w:val="0"/>
        <w:wordWrap/>
        <w:topLinePunct w:val="0"/>
        <w:bidi w:val="0"/>
        <w:spacing w:line="560" w:lineRule="exact"/>
        <w:ind w:firstLine="640"/>
        <w:textAlignment w:val="auto"/>
        <w:rPr>
          <w:rFonts w:hint="eastAsia" w:ascii="仿宋_GB2312" w:hAnsi="仿宋_GB2312" w:eastAsia="仿宋_GB2312" w:cs="仿宋_GB2312"/>
          <w:spacing w:val="0"/>
          <w:kern w:val="2"/>
          <w:sz w:val="32"/>
          <w:szCs w:val="32"/>
          <w:highlight w:val="none"/>
          <w:shd w:val="clear" w:color="auto" w:fill="auto"/>
          <w:lang w:val="en-US"/>
        </w:rPr>
      </w:pPr>
      <w:r>
        <w:rPr>
          <w:rFonts w:hint="eastAsia" w:ascii="仿宋_GB2312" w:hAnsi="仿宋_GB2312" w:eastAsia="仿宋_GB2312" w:cs="仿宋_GB2312"/>
          <w:spacing w:val="0"/>
          <w:kern w:val="2"/>
          <w:sz w:val="32"/>
          <w:szCs w:val="32"/>
          <w:highlight w:val="none"/>
          <w:shd w:val="clear" w:color="auto" w:fill="auto"/>
          <w:lang w:val="en-US"/>
        </w:rPr>
        <w:t>四、环境影响报告</w:t>
      </w:r>
      <w:r>
        <w:rPr>
          <w:rFonts w:hint="eastAsia" w:ascii="仿宋_GB2312" w:hAnsi="仿宋_GB2312" w:eastAsia="仿宋_GB2312" w:cs="仿宋_GB2312"/>
          <w:spacing w:val="0"/>
          <w:kern w:val="2"/>
          <w:sz w:val="32"/>
          <w:szCs w:val="32"/>
          <w:highlight w:val="none"/>
          <w:shd w:val="clear" w:color="auto" w:fill="auto"/>
          <w:lang w:val="en-US" w:eastAsia="zh-CN"/>
        </w:rPr>
        <w:t>书</w:t>
      </w:r>
      <w:r>
        <w:rPr>
          <w:rFonts w:hint="eastAsia" w:ascii="仿宋_GB2312" w:hAnsi="仿宋_GB2312" w:eastAsia="仿宋_GB2312" w:cs="仿宋_GB2312"/>
          <w:spacing w:val="0"/>
          <w:kern w:val="2"/>
          <w:sz w:val="32"/>
          <w:szCs w:val="32"/>
          <w:highlight w:val="none"/>
          <w:shd w:val="clear" w:color="auto" w:fill="auto"/>
          <w:lang w:val="en-US"/>
        </w:rPr>
        <w:t>批准后，该项目的性质、规模、地点、生产工艺或者污染防治措施发生重大变动，且可能导致环境影响显著变化(特别是不利环境影响加重)，应当重新报批该项目环境影响文件。</w:t>
      </w:r>
    </w:p>
    <w:p w14:paraId="04FD13C3">
      <w:pPr>
        <w:pStyle w:val="48"/>
        <w:keepNext w:val="0"/>
        <w:keepLines w:val="0"/>
        <w:pageBreakBefore w:val="0"/>
        <w:wordWrap/>
        <w:topLinePunct w:val="0"/>
        <w:bidi w:val="0"/>
        <w:spacing w:line="560" w:lineRule="exact"/>
        <w:ind w:firstLine="640"/>
        <w:textAlignment w:val="auto"/>
        <w:rPr>
          <w:rFonts w:hint="eastAsia" w:ascii="仿宋_GB2312" w:hAnsi="仿宋_GB2312" w:eastAsia="仿宋_GB2312" w:cs="仿宋_GB2312"/>
          <w:spacing w:val="0"/>
          <w:kern w:val="2"/>
          <w:sz w:val="32"/>
          <w:szCs w:val="32"/>
          <w:highlight w:val="none"/>
          <w:shd w:val="clear" w:color="auto" w:fill="auto"/>
          <w:lang w:val="en-US"/>
        </w:rPr>
      </w:pPr>
      <w:r>
        <w:rPr>
          <w:rFonts w:hint="eastAsia" w:ascii="仿宋_GB2312" w:hAnsi="仿宋_GB2312" w:eastAsia="仿宋_GB2312" w:cs="仿宋_GB2312"/>
          <w:spacing w:val="0"/>
          <w:kern w:val="2"/>
          <w:sz w:val="32"/>
          <w:szCs w:val="32"/>
          <w:highlight w:val="none"/>
          <w:shd w:val="clear" w:color="auto" w:fill="auto"/>
          <w:lang w:val="en-US"/>
        </w:rPr>
        <w:t>五、项目日常环境监督检查工作由本溪市生态环境保护综合行政执法队负责。</w:t>
      </w:r>
    </w:p>
    <w:p w14:paraId="59777DB3">
      <w:pPr>
        <w:keepNext w:val="0"/>
        <w:keepLines w:val="0"/>
        <w:pageBreakBefore w:val="0"/>
        <w:kinsoku/>
        <w:wordWrap/>
        <w:overflowPunct/>
        <w:topLinePunct w:val="0"/>
        <w:bidi w:val="0"/>
        <w:spacing w:line="560" w:lineRule="exact"/>
        <w:ind w:left="0" w:leftChars="0" w:firstLine="2397" w:firstLineChars="705"/>
        <w:jc w:val="center"/>
        <w:textAlignment w:val="auto"/>
        <w:rPr>
          <w:rFonts w:hint="eastAsia" w:ascii="仿宋_GB2312" w:hAnsi="仿宋_GB2312" w:eastAsia="仿宋_GB2312" w:cs="仿宋_GB2312"/>
          <w:color w:val="auto"/>
          <w:sz w:val="32"/>
          <w:szCs w:val="32"/>
          <w:highlight w:val="none"/>
          <w:shd w:val="clear" w:color="auto" w:fill="auto"/>
        </w:rPr>
      </w:pPr>
    </w:p>
    <w:p w14:paraId="2B30642F">
      <w:pPr>
        <w:keepNext w:val="0"/>
        <w:keepLines w:val="0"/>
        <w:pageBreakBefore w:val="0"/>
        <w:kinsoku/>
        <w:wordWrap/>
        <w:overflowPunct/>
        <w:topLinePunct w:val="0"/>
        <w:bidi w:val="0"/>
        <w:spacing w:line="560" w:lineRule="exact"/>
        <w:ind w:left="0" w:leftChars="0" w:firstLine="2397" w:firstLineChars="705"/>
        <w:jc w:val="center"/>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本溪市生态环境局</w:t>
      </w:r>
    </w:p>
    <w:p w14:paraId="1C5F6A38">
      <w:pPr>
        <w:keepNext w:val="0"/>
        <w:keepLines w:val="0"/>
        <w:pageBreakBefore w:val="0"/>
        <w:kinsoku/>
        <w:wordWrap/>
        <w:overflowPunct/>
        <w:topLinePunct w:val="0"/>
        <w:bidi w:val="0"/>
        <w:spacing w:line="560" w:lineRule="exact"/>
        <w:ind w:left="0" w:leftChars="0" w:firstLine="2397" w:firstLineChars="705"/>
        <w:jc w:val="center"/>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2026</w:t>
      </w:r>
      <w:r>
        <w:rPr>
          <w:rFonts w:hint="eastAsia" w:ascii="仿宋_GB2312" w:hAnsi="仿宋_GB2312" w:eastAsia="仿宋_GB2312" w:cs="仿宋_GB2312"/>
          <w:color w:val="auto"/>
          <w:sz w:val="32"/>
          <w:szCs w:val="32"/>
          <w:highlight w:val="none"/>
          <w:shd w:val="clear" w:color="auto" w:fill="auto"/>
        </w:rPr>
        <w:t>年</w:t>
      </w:r>
      <w:r>
        <w:rPr>
          <w:rFonts w:hint="eastAsia" w:ascii="仿宋_GB2312" w:hAnsi="仿宋_GB2312" w:eastAsia="仿宋_GB2312" w:cs="仿宋_GB2312"/>
          <w:color w:val="auto"/>
          <w:sz w:val="32"/>
          <w:szCs w:val="32"/>
          <w:highlight w:val="none"/>
          <w:shd w:val="clear" w:color="auto" w:fill="auto"/>
          <w:lang w:val="en-US" w:eastAsia="zh-CN"/>
        </w:rPr>
        <w:t>7</w:t>
      </w:r>
      <w:r>
        <w:rPr>
          <w:rFonts w:hint="eastAsia" w:ascii="仿宋_GB2312" w:hAnsi="仿宋_GB2312" w:eastAsia="仿宋_GB2312" w:cs="仿宋_GB2312"/>
          <w:color w:val="auto"/>
          <w:sz w:val="32"/>
          <w:szCs w:val="32"/>
          <w:highlight w:val="none"/>
          <w:shd w:val="clear" w:color="auto" w:fill="auto"/>
        </w:rPr>
        <w:t>月</w:t>
      </w:r>
      <w:r>
        <w:rPr>
          <w:rFonts w:hint="eastAsia" w:ascii="仿宋_GB2312" w:hAnsi="仿宋_GB2312" w:eastAsia="仿宋_GB2312" w:cs="仿宋_GB2312"/>
          <w:color w:val="auto"/>
          <w:sz w:val="32"/>
          <w:szCs w:val="32"/>
          <w:highlight w:val="none"/>
          <w:shd w:val="clear" w:color="auto" w:fill="auto"/>
          <w:lang w:val="en-US" w:eastAsia="zh-CN"/>
        </w:rPr>
        <w:t>3</w:t>
      </w:r>
      <w:r>
        <w:rPr>
          <w:rFonts w:hint="eastAsia" w:ascii="仿宋_GB2312" w:hAnsi="仿宋_GB2312" w:eastAsia="仿宋_GB2312" w:cs="仿宋_GB2312"/>
          <w:color w:val="auto"/>
          <w:sz w:val="32"/>
          <w:szCs w:val="32"/>
          <w:highlight w:val="none"/>
          <w:shd w:val="clear" w:color="auto" w:fill="auto"/>
        </w:rPr>
        <w:t>日</w:t>
      </w:r>
    </w:p>
    <w:p w14:paraId="4FB4B292">
      <w:pPr>
        <w:pStyle w:val="2"/>
        <w:keepNext w:val="0"/>
        <w:keepLines w:val="0"/>
        <w:pageBreakBefore w:val="0"/>
        <w:wordWrap/>
        <w:topLinePunct w:val="0"/>
        <w:bidi w:val="0"/>
        <w:spacing w:line="560" w:lineRule="exact"/>
        <w:textAlignment w:val="auto"/>
        <w:rPr>
          <w:rFonts w:hint="eastAsia"/>
        </w:rPr>
      </w:pPr>
    </w:p>
    <w:p w14:paraId="25E0529C">
      <w:pPr>
        <w:keepNext w:val="0"/>
        <w:keepLines w:val="0"/>
        <w:pageBreakBefore w:val="0"/>
        <w:kinsoku/>
        <w:wordWrap/>
        <w:overflowPunct/>
        <w:topLinePunct w:val="0"/>
        <w:bidi w:val="0"/>
        <w:snapToGrid w:val="0"/>
        <w:spacing w:line="560" w:lineRule="exact"/>
        <w:ind w:left="0" w:leftChars="0" w:firstLine="680" w:firstLineChars="200"/>
        <w:textAlignment w:val="auto"/>
        <w:rPr>
          <w:rFonts w:hint="eastAsia" w:ascii="仿宋_GB2312" w:hAnsi="仿宋_GB2312" w:eastAsia="仿宋_GB2312" w:cs="仿宋_GB2312"/>
          <w:color w:val="auto"/>
          <w:sz w:val="32"/>
          <w:szCs w:val="32"/>
          <w:highlight w:val="none"/>
          <w:shd w:val="clear" w:color="auto" w:fill="auto"/>
          <w:lang w:eastAsia="zh-CN"/>
        </w:rPr>
      </w:pPr>
      <w:r>
        <w:rPr>
          <w:rFonts w:hint="eastAsia" w:ascii="仿宋_GB2312" w:hAnsi="仿宋_GB2312" w:eastAsia="仿宋_GB2312" w:cs="仿宋_GB2312"/>
          <w:color w:val="auto"/>
          <w:sz w:val="32"/>
          <w:szCs w:val="32"/>
          <w:highlight w:val="none"/>
          <w:shd w:val="clear" w:color="auto" w:fill="auto"/>
          <w:lang w:eastAsia="zh-CN"/>
        </w:rPr>
        <w:t>(</w:t>
      </w:r>
      <w:r>
        <w:rPr>
          <w:rFonts w:hint="eastAsia" w:ascii="仿宋_GB2312" w:hAnsi="仿宋_GB2312" w:eastAsia="仿宋_GB2312" w:cs="仿宋_GB2312"/>
          <w:color w:val="auto"/>
          <w:sz w:val="32"/>
          <w:szCs w:val="32"/>
          <w:highlight w:val="none"/>
          <w:shd w:val="clear" w:color="auto" w:fill="auto"/>
        </w:rPr>
        <w:t>此件公开发布</w:t>
      </w:r>
      <w:r>
        <w:rPr>
          <w:rFonts w:hint="eastAsia" w:ascii="仿宋_GB2312" w:hAnsi="仿宋_GB2312" w:eastAsia="仿宋_GB2312" w:cs="仿宋_GB2312"/>
          <w:color w:val="auto"/>
          <w:sz w:val="32"/>
          <w:szCs w:val="32"/>
          <w:highlight w:val="none"/>
          <w:shd w:val="clear" w:color="auto" w:fill="auto"/>
          <w:lang w:eastAsia="zh-CN"/>
        </w:rPr>
        <w:t>)</w:t>
      </w:r>
    </w:p>
    <w:p w14:paraId="445E2FFB">
      <w:pPr>
        <w:pStyle w:val="2"/>
        <w:rPr>
          <w:rFonts w:hint="eastAsia"/>
          <w:lang w:eastAsia="zh-CN"/>
        </w:rPr>
      </w:pPr>
    </w:p>
    <w:p w14:paraId="50EEB9F8">
      <w:pPr>
        <w:keepNext w:val="0"/>
        <w:keepLines w:val="0"/>
        <w:pageBreakBefore w:val="0"/>
        <w:kinsoku/>
        <w:wordWrap/>
        <w:overflowPunct/>
        <w:topLinePunct w:val="0"/>
        <w:bidi w:val="0"/>
        <w:snapToGrid w:val="0"/>
        <w:spacing w:line="560" w:lineRule="exact"/>
        <w:ind w:left="1105" w:leftChars="0" w:hanging="1105" w:hangingChars="325"/>
        <w:textAlignment w:val="auto"/>
        <w:rPr>
          <w:rFonts w:hint="eastAsia" w:ascii="仿宋_GB2312" w:hAnsi="仿宋_GB2312" w:eastAsia="仿宋_GB2312" w:cs="仿宋_GB2312"/>
          <w:color w:val="auto"/>
          <w:sz w:val="32"/>
          <w:szCs w:val="32"/>
          <w:highlight w:val="none"/>
          <w:shd w:val="clear" w:color="auto" w:fill="auto"/>
          <w:lang w:eastAsia="zh-CN"/>
        </w:rPr>
      </w:pPr>
      <w:r>
        <w:rPr>
          <w:rFonts w:hint="eastAsia" w:ascii="仿宋_GB2312" w:hAnsi="仿宋_GB2312" w:eastAsia="仿宋_GB2312" w:cs="仿宋_GB2312"/>
          <w:color w:val="auto"/>
          <w:sz w:val="32"/>
          <w:szCs w:val="32"/>
          <w:highlight w:val="none"/>
          <w:shd w:val="clear" w:color="auto" w:fill="auto"/>
        </w:rPr>
        <w:t>抄送：本溪市生态环境保护综合行政执法队、</w:t>
      </w:r>
      <w:r>
        <w:rPr>
          <w:rFonts w:hint="eastAsia" w:ascii="仿宋_GB2312" w:hAnsi="仿宋_GB2312" w:eastAsia="仿宋_GB2312" w:cs="仿宋_GB2312"/>
          <w:color w:val="auto"/>
          <w:sz w:val="32"/>
          <w:szCs w:val="32"/>
          <w:highlight w:val="none"/>
          <w:shd w:val="clear" w:color="auto" w:fill="auto"/>
          <w:lang w:val="en-US" w:eastAsia="zh-CN"/>
        </w:rPr>
        <w:t>本溪市生态环境服务中心、</w:t>
      </w:r>
      <w:r>
        <w:rPr>
          <w:rFonts w:hint="eastAsia" w:ascii="仿宋_GB2312" w:hAnsi="仿宋_GB2312" w:eastAsia="仿宋_GB2312" w:cs="仿宋_GB2312"/>
          <w:color w:val="000000"/>
          <w:sz w:val="32"/>
          <w:szCs w:val="32"/>
          <w:highlight w:val="none"/>
          <w:shd w:val="clear" w:color="auto" w:fill="auto"/>
          <w:lang w:val="en-US" w:eastAsia="zh-CN"/>
        </w:rPr>
        <w:t>辽宁清远环境能源科技有限公司</w:t>
      </w:r>
    </w:p>
    <w:sectPr>
      <w:footerReference r:id="rId4" w:type="first"/>
      <w:footerReference r:id="rId3" w:type="default"/>
      <w:pgSz w:w="11907" w:h="16840"/>
      <w:pgMar w:top="1440" w:right="1797" w:bottom="1600" w:left="1797" w:header="851" w:footer="1134" w:gutter="0"/>
      <w:cols w:space="720" w:num="1"/>
      <w:titlePg/>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仿宋_GB2312">
    <w:altName w:val="仿宋"/>
    <w:panose1 w:val="02010609030101010101"/>
    <w:charset w:val="86"/>
    <w:family w:val="auto"/>
    <w:pitch w:val="default"/>
    <w:sig w:usb0="00000000" w:usb1="00000000" w:usb2="00000000" w:usb3="00000000" w:csb0="00040000" w:csb1="00000000"/>
  </w:font>
  <w:font w:name="华文行楷">
    <w:altName w:val="微软雅黑"/>
    <w:panose1 w:val="02010800040101010101"/>
    <w:charset w:val="86"/>
    <w:family w:val="auto"/>
    <w:pitch w:val="default"/>
    <w:sig w:usb0="00000000" w:usb1="00000000" w:usb2="00000000" w:usb3="00000000" w:csb0="00040000" w:csb1="00000000"/>
  </w:font>
  <w:font w:name="Calibri">
    <w:panose1 w:val="020F0502020204030204"/>
    <w:charset w:val="00"/>
    <w:family w:val="swiss"/>
    <w:pitch w:val="default"/>
    <w:sig w:usb0="E00002FF" w:usb1="4000ACFF" w:usb2="00000001" w:usb3="00000000" w:csb0="2000019F" w:csb1="00000000"/>
  </w:font>
  <w:font w:name="iconfont">
    <w:altName w:val="FFont-Family"/>
    <w:panose1 w:val="00000000000000000000"/>
    <w:charset w:val="00"/>
    <w:family w:val="auto"/>
    <w:pitch w:val="default"/>
    <w:sig w:usb0="00000000" w:usb1="00000000" w:usb2="00000000" w:usb3="00000000" w:csb0="00000000" w:csb1="00000000"/>
  </w:font>
  <w:font w:name="C059">
    <w:altName w:val="FFont-Family"/>
    <w:panose1 w:val="00000500000000000000"/>
    <w:charset w:val="00"/>
    <w:family w:val="auto"/>
    <w:pitch w:val="default"/>
    <w:sig w:usb0="00000000" w:usb1="00000000" w:usb2="00000000" w:usb3="00000000" w:csb0="600000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1DECF">
    <w:pPr>
      <w:pStyle w:val="14"/>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6C51EB">
                          <w:pPr>
                            <w:pStyle w:val="1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16C51EB">
                    <w:pPr>
                      <w:pStyle w:val="1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6A465">
    <w:pPr>
      <w:pStyle w:val="1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9A78CA">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79A78CA">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673577"/>
    <w:multiLevelType w:val="singleLevel"/>
    <w:tmpl w:val="23673577"/>
    <w:lvl w:ilvl="0" w:tentative="0">
      <w:start w:val="1"/>
      <w:numFmt w:val="decimal"/>
      <w:pStyle w:val="38"/>
      <w:suff w:val="nothing"/>
      <w:lvlText w:val="%1、"/>
      <w:lvlJc w:val="left"/>
      <w:pPr>
        <w:ind w:left="-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QzYzZhOTQ3NTdiYmUxNDdjMjkxZGQ2OTUwYjg4NjIifQ=="/>
  </w:docVars>
  <w:rsids>
    <w:rsidRoot w:val="1796435B"/>
    <w:rsid w:val="0005596D"/>
    <w:rsid w:val="000A2AA9"/>
    <w:rsid w:val="000D5EC6"/>
    <w:rsid w:val="000F014B"/>
    <w:rsid w:val="00100A44"/>
    <w:rsid w:val="00121F33"/>
    <w:rsid w:val="00122184"/>
    <w:rsid w:val="0013671F"/>
    <w:rsid w:val="00141B63"/>
    <w:rsid w:val="00143087"/>
    <w:rsid w:val="00152DB0"/>
    <w:rsid w:val="00235743"/>
    <w:rsid w:val="0025557F"/>
    <w:rsid w:val="002721FC"/>
    <w:rsid w:val="002D24CC"/>
    <w:rsid w:val="00302E94"/>
    <w:rsid w:val="0039054A"/>
    <w:rsid w:val="00434940"/>
    <w:rsid w:val="00490130"/>
    <w:rsid w:val="004A07F0"/>
    <w:rsid w:val="004C1A30"/>
    <w:rsid w:val="00536F00"/>
    <w:rsid w:val="005C2A7D"/>
    <w:rsid w:val="005C4520"/>
    <w:rsid w:val="00693428"/>
    <w:rsid w:val="006B153E"/>
    <w:rsid w:val="006E6370"/>
    <w:rsid w:val="008629CF"/>
    <w:rsid w:val="008C7379"/>
    <w:rsid w:val="008D3533"/>
    <w:rsid w:val="008D5548"/>
    <w:rsid w:val="00932262"/>
    <w:rsid w:val="00972023"/>
    <w:rsid w:val="009F517A"/>
    <w:rsid w:val="00A00642"/>
    <w:rsid w:val="00B513B6"/>
    <w:rsid w:val="00B5544D"/>
    <w:rsid w:val="00B82B10"/>
    <w:rsid w:val="00BF399E"/>
    <w:rsid w:val="00C212FE"/>
    <w:rsid w:val="00C27F5D"/>
    <w:rsid w:val="00C65306"/>
    <w:rsid w:val="00CE1454"/>
    <w:rsid w:val="00D04025"/>
    <w:rsid w:val="00D10361"/>
    <w:rsid w:val="00D21309"/>
    <w:rsid w:val="00E14769"/>
    <w:rsid w:val="00E72B00"/>
    <w:rsid w:val="00E919E4"/>
    <w:rsid w:val="00EA7BA7"/>
    <w:rsid w:val="00EB577A"/>
    <w:rsid w:val="00ED515A"/>
    <w:rsid w:val="00F77E0F"/>
    <w:rsid w:val="00FE4037"/>
    <w:rsid w:val="012B1E42"/>
    <w:rsid w:val="012B3485"/>
    <w:rsid w:val="0147701E"/>
    <w:rsid w:val="018402E7"/>
    <w:rsid w:val="018502B5"/>
    <w:rsid w:val="01A43D0E"/>
    <w:rsid w:val="01F307D6"/>
    <w:rsid w:val="02112401"/>
    <w:rsid w:val="023326FA"/>
    <w:rsid w:val="02435241"/>
    <w:rsid w:val="02EB73E1"/>
    <w:rsid w:val="02EC2C31"/>
    <w:rsid w:val="03033A8D"/>
    <w:rsid w:val="032E7B21"/>
    <w:rsid w:val="03575C81"/>
    <w:rsid w:val="035C69EB"/>
    <w:rsid w:val="03873BFC"/>
    <w:rsid w:val="03C02CEB"/>
    <w:rsid w:val="03F874F3"/>
    <w:rsid w:val="043C314F"/>
    <w:rsid w:val="044A3294"/>
    <w:rsid w:val="04562356"/>
    <w:rsid w:val="04AE18D1"/>
    <w:rsid w:val="04BC7BAF"/>
    <w:rsid w:val="04D50624"/>
    <w:rsid w:val="04DB5D92"/>
    <w:rsid w:val="05193D43"/>
    <w:rsid w:val="059C2AE4"/>
    <w:rsid w:val="05AC7BBD"/>
    <w:rsid w:val="05D35D57"/>
    <w:rsid w:val="0624352B"/>
    <w:rsid w:val="06993BF9"/>
    <w:rsid w:val="06D044E1"/>
    <w:rsid w:val="06FF24E5"/>
    <w:rsid w:val="0712113E"/>
    <w:rsid w:val="07131B19"/>
    <w:rsid w:val="071F2981"/>
    <w:rsid w:val="076063E3"/>
    <w:rsid w:val="076B441E"/>
    <w:rsid w:val="079A1EA6"/>
    <w:rsid w:val="07DC6755"/>
    <w:rsid w:val="082C33D6"/>
    <w:rsid w:val="083D4AEB"/>
    <w:rsid w:val="08583943"/>
    <w:rsid w:val="0863785A"/>
    <w:rsid w:val="087E4613"/>
    <w:rsid w:val="088C0A16"/>
    <w:rsid w:val="089963F4"/>
    <w:rsid w:val="08B72D2E"/>
    <w:rsid w:val="08BC4217"/>
    <w:rsid w:val="08C1561F"/>
    <w:rsid w:val="08F0405E"/>
    <w:rsid w:val="08F301FA"/>
    <w:rsid w:val="096A420C"/>
    <w:rsid w:val="097906FF"/>
    <w:rsid w:val="09F41F94"/>
    <w:rsid w:val="0A051C47"/>
    <w:rsid w:val="0A723503"/>
    <w:rsid w:val="0AA02A98"/>
    <w:rsid w:val="0AE636BA"/>
    <w:rsid w:val="0B362BA8"/>
    <w:rsid w:val="0B675FDC"/>
    <w:rsid w:val="0B8B050F"/>
    <w:rsid w:val="0BC775EF"/>
    <w:rsid w:val="0BF73EE3"/>
    <w:rsid w:val="0C27068D"/>
    <w:rsid w:val="0C4548C9"/>
    <w:rsid w:val="0C5E598A"/>
    <w:rsid w:val="0C9B6BDE"/>
    <w:rsid w:val="0D1129FD"/>
    <w:rsid w:val="0D1E3D11"/>
    <w:rsid w:val="0D3D0438"/>
    <w:rsid w:val="0D8D297C"/>
    <w:rsid w:val="0DA40281"/>
    <w:rsid w:val="0DBA0D48"/>
    <w:rsid w:val="0DE54E65"/>
    <w:rsid w:val="0E274C11"/>
    <w:rsid w:val="0E2D331F"/>
    <w:rsid w:val="0E3A4191"/>
    <w:rsid w:val="0E4C2E8E"/>
    <w:rsid w:val="0EA47C31"/>
    <w:rsid w:val="0EB31E80"/>
    <w:rsid w:val="0EE02FCE"/>
    <w:rsid w:val="0F25758E"/>
    <w:rsid w:val="0F36663F"/>
    <w:rsid w:val="0F403D21"/>
    <w:rsid w:val="0F917E25"/>
    <w:rsid w:val="100E5690"/>
    <w:rsid w:val="10820EE8"/>
    <w:rsid w:val="10E41D25"/>
    <w:rsid w:val="10EC5351"/>
    <w:rsid w:val="10F57E48"/>
    <w:rsid w:val="115E01DA"/>
    <w:rsid w:val="11803F9C"/>
    <w:rsid w:val="11F23CD4"/>
    <w:rsid w:val="12394F79"/>
    <w:rsid w:val="12704669"/>
    <w:rsid w:val="12974ADF"/>
    <w:rsid w:val="129E02B8"/>
    <w:rsid w:val="12BC340B"/>
    <w:rsid w:val="130C1D8B"/>
    <w:rsid w:val="13C10435"/>
    <w:rsid w:val="13C20DC8"/>
    <w:rsid w:val="13E405F4"/>
    <w:rsid w:val="13F35D1A"/>
    <w:rsid w:val="13FA463A"/>
    <w:rsid w:val="14411E19"/>
    <w:rsid w:val="144C07BE"/>
    <w:rsid w:val="144C3DF9"/>
    <w:rsid w:val="148008EF"/>
    <w:rsid w:val="148B5FBC"/>
    <w:rsid w:val="14AB3737"/>
    <w:rsid w:val="14D049D5"/>
    <w:rsid w:val="14E44445"/>
    <w:rsid w:val="15187863"/>
    <w:rsid w:val="156104D9"/>
    <w:rsid w:val="156B2B04"/>
    <w:rsid w:val="15EA512F"/>
    <w:rsid w:val="15EC317D"/>
    <w:rsid w:val="15EF0DCB"/>
    <w:rsid w:val="16816734"/>
    <w:rsid w:val="16897AA8"/>
    <w:rsid w:val="16CD64BA"/>
    <w:rsid w:val="17116A77"/>
    <w:rsid w:val="1720221C"/>
    <w:rsid w:val="172B0B5F"/>
    <w:rsid w:val="172B374B"/>
    <w:rsid w:val="173C7F33"/>
    <w:rsid w:val="17487070"/>
    <w:rsid w:val="1796435B"/>
    <w:rsid w:val="17E52A56"/>
    <w:rsid w:val="18027CCB"/>
    <w:rsid w:val="1806146D"/>
    <w:rsid w:val="1820053E"/>
    <w:rsid w:val="182D164E"/>
    <w:rsid w:val="18797208"/>
    <w:rsid w:val="18DB44C1"/>
    <w:rsid w:val="19201A4E"/>
    <w:rsid w:val="196447A9"/>
    <w:rsid w:val="19840FB8"/>
    <w:rsid w:val="19EC5D2C"/>
    <w:rsid w:val="19F0117F"/>
    <w:rsid w:val="1A1E63CF"/>
    <w:rsid w:val="1AFB7C4D"/>
    <w:rsid w:val="1B010714"/>
    <w:rsid w:val="1B0A19BB"/>
    <w:rsid w:val="1B393251"/>
    <w:rsid w:val="1BCD288A"/>
    <w:rsid w:val="1BE22134"/>
    <w:rsid w:val="1BEB45CE"/>
    <w:rsid w:val="1CBF2475"/>
    <w:rsid w:val="1CC46D5E"/>
    <w:rsid w:val="1D267DE3"/>
    <w:rsid w:val="1D983B4C"/>
    <w:rsid w:val="1DD928A8"/>
    <w:rsid w:val="1DEE2BDF"/>
    <w:rsid w:val="1E1975C7"/>
    <w:rsid w:val="1E1D38F7"/>
    <w:rsid w:val="1E272038"/>
    <w:rsid w:val="1E39435D"/>
    <w:rsid w:val="1E49784A"/>
    <w:rsid w:val="1E625D79"/>
    <w:rsid w:val="1E655C76"/>
    <w:rsid w:val="1E7352C5"/>
    <w:rsid w:val="1EE933EB"/>
    <w:rsid w:val="1F333E85"/>
    <w:rsid w:val="1FCB08A1"/>
    <w:rsid w:val="1FCE2663"/>
    <w:rsid w:val="1FD61E08"/>
    <w:rsid w:val="1FDC6D7A"/>
    <w:rsid w:val="20277593"/>
    <w:rsid w:val="20322137"/>
    <w:rsid w:val="20E23C78"/>
    <w:rsid w:val="2101752F"/>
    <w:rsid w:val="21337ED9"/>
    <w:rsid w:val="21352D06"/>
    <w:rsid w:val="214E2B5A"/>
    <w:rsid w:val="216F2DE6"/>
    <w:rsid w:val="216F7005"/>
    <w:rsid w:val="21936E58"/>
    <w:rsid w:val="21962D28"/>
    <w:rsid w:val="219F6246"/>
    <w:rsid w:val="21C66054"/>
    <w:rsid w:val="21F10161"/>
    <w:rsid w:val="22983C4D"/>
    <w:rsid w:val="22AD0C62"/>
    <w:rsid w:val="22ED6098"/>
    <w:rsid w:val="233521D5"/>
    <w:rsid w:val="235B04DD"/>
    <w:rsid w:val="23A5288A"/>
    <w:rsid w:val="241B24EC"/>
    <w:rsid w:val="24883A94"/>
    <w:rsid w:val="24C671ED"/>
    <w:rsid w:val="24FA1ECF"/>
    <w:rsid w:val="251C0943"/>
    <w:rsid w:val="25575773"/>
    <w:rsid w:val="259B0AB8"/>
    <w:rsid w:val="25A16BBC"/>
    <w:rsid w:val="25E00B77"/>
    <w:rsid w:val="25F91D3B"/>
    <w:rsid w:val="25FD273C"/>
    <w:rsid w:val="26062970"/>
    <w:rsid w:val="26487620"/>
    <w:rsid w:val="26A821CC"/>
    <w:rsid w:val="26C17FC8"/>
    <w:rsid w:val="26DA3B12"/>
    <w:rsid w:val="26E16DB9"/>
    <w:rsid w:val="26FF2D69"/>
    <w:rsid w:val="26FFC737"/>
    <w:rsid w:val="27036581"/>
    <w:rsid w:val="270F6A91"/>
    <w:rsid w:val="275360B2"/>
    <w:rsid w:val="2779341F"/>
    <w:rsid w:val="27A16033"/>
    <w:rsid w:val="27FFFF78"/>
    <w:rsid w:val="28A71F0D"/>
    <w:rsid w:val="28B46187"/>
    <w:rsid w:val="28E55E8C"/>
    <w:rsid w:val="28EA0DA1"/>
    <w:rsid w:val="29257339"/>
    <w:rsid w:val="29AD18A3"/>
    <w:rsid w:val="2A0F2D3A"/>
    <w:rsid w:val="2A261057"/>
    <w:rsid w:val="2B5E6AB9"/>
    <w:rsid w:val="2B6C1593"/>
    <w:rsid w:val="2B8A1DF5"/>
    <w:rsid w:val="2BB138D1"/>
    <w:rsid w:val="2BD13068"/>
    <w:rsid w:val="2BF821DF"/>
    <w:rsid w:val="2C0C4FAB"/>
    <w:rsid w:val="2CBF28F0"/>
    <w:rsid w:val="2CDC2BCF"/>
    <w:rsid w:val="2CE518FD"/>
    <w:rsid w:val="2CFE05A2"/>
    <w:rsid w:val="2D2A665D"/>
    <w:rsid w:val="2D7678C5"/>
    <w:rsid w:val="2DC14CC4"/>
    <w:rsid w:val="2DE61A6C"/>
    <w:rsid w:val="2E80471D"/>
    <w:rsid w:val="2EB227E3"/>
    <w:rsid w:val="2EC762E2"/>
    <w:rsid w:val="2EF8506F"/>
    <w:rsid w:val="2F6A55B8"/>
    <w:rsid w:val="2FB755AA"/>
    <w:rsid w:val="2FBB4E44"/>
    <w:rsid w:val="2FD91648"/>
    <w:rsid w:val="2FFB5400"/>
    <w:rsid w:val="307F0D4F"/>
    <w:rsid w:val="309E6E18"/>
    <w:rsid w:val="30EF5F72"/>
    <w:rsid w:val="30F72AF3"/>
    <w:rsid w:val="315E0057"/>
    <w:rsid w:val="316A07AA"/>
    <w:rsid w:val="324B1084"/>
    <w:rsid w:val="32922F50"/>
    <w:rsid w:val="32A10C83"/>
    <w:rsid w:val="32EE0F67"/>
    <w:rsid w:val="32F32A21"/>
    <w:rsid w:val="32F421E0"/>
    <w:rsid w:val="330C28EA"/>
    <w:rsid w:val="331C0B79"/>
    <w:rsid w:val="3363011D"/>
    <w:rsid w:val="33634ED9"/>
    <w:rsid w:val="33D97E69"/>
    <w:rsid w:val="33FD3A7A"/>
    <w:rsid w:val="34552F55"/>
    <w:rsid w:val="34657EA4"/>
    <w:rsid w:val="349B511E"/>
    <w:rsid w:val="34C25A6D"/>
    <w:rsid w:val="34DB6452"/>
    <w:rsid w:val="356E0B85"/>
    <w:rsid w:val="35C64E84"/>
    <w:rsid w:val="35ED0490"/>
    <w:rsid w:val="35F3293B"/>
    <w:rsid w:val="3632641D"/>
    <w:rsid w:val="364D2448"/>
    <w:rsid w:val="365443B2"/>
    <w:rsid w:val="367B7967"/>
    <w:rsid w:val="36915D20"/>
    <w:rsid w:val="36E7716E"/>
    <w:rsid w:val="372D1186"/>
    <w:rsid w:val="37757933"/>
    <w:rsid w:val="37EA0C97"/>
    <w:rsid w:val="37F63FA5"/>
    <w:rsid w:val="38141050"/>
    <w:rsid w:val="381A5280"/>
    <w:rsid w:val="3825542A"/>
    <w:rsid w:val="3829737E"/>
    <w:rsid w:val="384016A7"/>
    <w:rsid w:val="387D7E92"/>
    <w:rsid w:val="38A923D4"/>
    <w:rsid w:val="390153E5"/>
    <w:rsid w:val="39114820"/>
    <w:rsid w:val="397B0459"/>
    <w:rsid w:val="39843836"/>
    <w:rsid w:val="398C5B0A"/>
    <w:rsid w:val="39963CB2"/>
    <w:rsid w:val="39A43CE3"/>
    <w:rsid w:val="39E7009F"/>
    <w:rsid w:val="39FB720A"/>
    <w:rsid w:val="3A087A14"/>
    <w:rsid w:val="3A3C6A5B"/>
    <w:rsid w:val="3A5E21D7"/>
    <w:rsid w:val="3A910545"/>
    <w:rsid w:val="3A95280D"/>
    <w:rsid w:val="3B2075C0"/>
    <w:rsid w:val="3B3840B1"/>
    <w:rsid w:val="3BA3206B"/>
    <w:rsid w:val="3BCE402B"/>
    <w:rsid w:val="3BEE647B"/>
    <w:rsid w:val="3BF17763"/>
    <w:rsid w:val="3C162A79"/>
    <w:rsid w:val="3C1A7270"/>
    <w:rsid w:val="3C213BF5"/>
    <w:rsid w:val="3C477FB1"/>
    <w:rsid w:val="3CF90C34"/>
    <w:rsid w:val="3CFEDA6A"/>
    <w:rsid w:val="3D2E4C07"/>
    <w:rsid w:val="3D360CBC"/>
    <w:rsid w:val="3D513EB5"/>
    <w:rsid w:val="3D9BC9CD"/>
    <w:rsid w:val="3DBB0A2E"/>
    <w:rsid w:val="3DC47D28"/>
    <w:rsid w:val="3DC64D6D"/>
    <w:rsid w:val="3DD6559A"/>
    <w:rsid w:val="3E0D68B8"/>
    <w:rsid w:val="3E2E36AF"/>
    <w:rsid w:val="3E326604"/>
    <w:rsid w:val="3E4573F0"/>
    <w:rsid w:val="3E6E73FF"/>
    <w:rsid w:val="3E732E20"/>
    <w:rsid w:val="3EA67CD0"/>
    <w:rsid w:val="3EA94EFD"/>
    <w:rsid w:val="3EB1045F"/>
    <w:rsid w:val="3EB768A1"/>
    <w:rsid w:val="3EDE4585"/>
    <w:rsid w:val="3EDFD13F"/>
    <w:rsid w:val="3F9159FA"/>
    <w:rsid w:val="3F9D5EA2"/>
    <w:rsid w:val="3FC05C56"/>
    <w:rsid w:val="3FF73A41"/>
    <w:rsid w:val="40046CA8"/>
    <w:rsid w:val="40296F4A"/>
    <w:rsid w:val="403D64A9"/>
    <w:rsid w:val="405E3BCF"/>
    <w:rsid w:val="40786B47"/>
    <w:rsid w:val="40B17F15"/>
    <w:rsid w:val="412F06F1"/>
    <w:rsid w:val="414D090F"/>
    <w:rsid w:val="417E44A9"/>
    <w:rsid w:val="419B050B"/>
    <w:rsid w:val="41B76CB4"/>
    <w:rsid w:val="41F73FFF"/>
    <w:rsid w:val="42A033BF"/>
    <w:rsid w:val="42B0734B"/>
    <w:rsid w:val="42EA4E42"/>
    <w:rsid w:val="432B6695"/>
    <w:rsid w:val="43523D3C"/>
    <w:rsid w:val="435272F0"/>
    <w:rsid w:val="435979DC"/>
    <w:rsid w:val="438F3163"/>
    <w:rsid w:val="43AA411E"/>
    <w:rsid w:val="43B2156B"/>
    <w:rsid w:val="43D65659"/>
    <w:rsid w:val="4413747D"/>
    <w:rsid w:val="444E57F2"/>
    <w:rsid w:val="44AF3E5C"/>
    <w:rsid w:val="453F0CD6"/>
    <w:rsid w:val="456D21BF"/>
    <w:rsid w:val="4592640D"/>
    <w:rsid w:val="45A24D25"/>
    <w:rsid w:val="45AC718B"/>
    <w:rsid w:val="45C02133"/>
    <w:rsid w:val="45D37EC6"/>
    <w:rsid w:val="45EC4BB2"/>
    <w:rsid w:val="461D59B4"/>
    <w:rsid w:val="462036D5"/>
    <w:rsid w:val="464078D3"/>
    <w:rsid w:val="46A368AE"/>
    <w:rsid w:val="46C626A7"/>
    <w:rsid w:val="46DD15C6"/>
    <w:rsid w:val="46EB7B00"/>
    <w:rsid w:val="47044DA5"/>
    <w:rsid w:val="474F4E44"/>
    <w:rsid w:val="479F062A"/>
    <w:rsid w:val="48245124"/>
    <w:rsid w:val="482E528F"/>
    <w:rsid w:val="483325A8"/>
    <w:rsid w:val="485711CD"/>
    <w:rsid w:val="485A1EE7"/>
    <w:rsid w:val="48694BF1"/>
    <w:rsid w:val="486F752A"/>
    <w:rsid w:val="487703B1"/>
    <w:rsid w:val="489B2349"/>
    <w:rsid w:val="48CB0CFF"/>
    <w:rsid w:val="48CF0C35"/>
    <w:rsid w:val="491004AC"/>
    <w:rsid w:val="49125027"/>
    <w:rsid w:val="494565CC"/>
    <w:rsid w:val="49470F79"/>
    <w:rsid w:val="49483CB7"/>
    <w:rsid w:val="495C5EEE"/>
    <w:rsid w:val="49952D80"/>
    <w:rsid w:val="49C550C7"/>
    <w:rsid w:val="49DA1036"/>
    <w:rsid w:val="4A061107"/>
    <w:rsid w:val="4A6B1E80"/>
    <w:rsid w:val="4A784A78"/>
    <w:rsid w:val="4B09298A"/>
    <w:rsid w:val="4B325411"/>
    <w:rsid w:val="4B3C64FF"/>
    <w:rsid w:val="4BDA0DE0"/>
    <w:rsid w:val="4C31567B"/>
    <w:rsid w:val="4C8233D1"/>
    <w:rsid w:val="4C916512"/>
    <w:rsid w:val="4CB66B41"/>
    <w:rsid w:val="4CD07C03"/>
    <w:rsid w:val="4CED0B60"/>
    <w:rsid w:val="4CF95FDB"/>
    <w:rsid w:val="4D4A5F5E"/>
    <w:rsid w:val="4DBE3E5E"/>
    <w:rsid w:val="4E106B45"/>
    <w:rsid w:val="4E35691E"/>
    <w:rsid w:val="4E7A212F"/>
    <w:rsid w:val="4E7A3E71"/>
    <w:rsid w:val="4E847A59"/>
    <w:rsid w:val="4EF546F2"/>
    <w:rsid w:val="4EFE3710"/>
    <w:rsid w:val="4F284A1F"/>
    <w:rsid w:val="4F6C4EA5"/>
    <w:rsid w:val="50000D7C"/>
    <w:rsid w:val="500032CC"/>
    <w:rsid w:val="502E5634"/>
    <w:rsid w:val="504F45A9"/>
    <w:rsid w:val="505E289D"/>
    <w:rsid w:val="50711030"/>
    <w:rsid w:val="50760BB0"/>
    <w:rsid w:val="5088591F"/>
    <w:rsid w:val="516205C2"/>
    <w:rsid w:val="517E6B14"/>
    <w:rsid w:val="51BA3042"/>
    <w:rsid w:val="520F3B0B"/>
    <w:rsid w:val="521F78DE"/>
    <w:rsid w:val="52302EF2"/>
    <w:rsid w:val="523044ED"/>
    <w:rsid w:val="52654E30"/>
    <w:rsid w:val="52957EF4"/>
    <w:rsid w:val="52B15FA1"/>
    <w:rsid w:val="52D75082"/>
    <w:rsid w:val="52F61F59"/>
    <w:rsid w:val="54031DFA"/>
    <w:rsid w:val="54040192"/>
    <w:rsid w:val="54084674"/>
    <w:rsid w:val="541741D6"/>
    <w:rsid w:val="54460748"/>
    <w:rsid w:val="54722B28"/>
    <w:rsid w:val="547814E5"/>
    <w:rsid w:val="54A668B4"/>
    <w:rsid w:val="54A8633F"/>
    <w:rsid w:val="54ED079A"/>
    <w:rsid w:val="55091AA3"/>
    <w:rsid w:val="5528771B"/>
    <w:rsid w:val="552A3826"/>
    <w:rsid w:val="555770FA"/>
    <w:rsid w:val="55632085"/>
    <w:rsid w:val="55CF7191"/>
    <w:rsid w:val="55DB72FA"/>
    <w:rsid w:val="5611428B"/>
    <w:rsid w:val="56597161"/>
    <w:rsid w:val="56743689"/>
    <w:rsid w:val="56912749"/>
    <w:rsid w:val="574855E8"/>
    <w:rsid w:val="576552F4"/>
    <w:rsid w:val="578D0F4B"/>
    <w:rsid w:val="57A5314F"/>
    <w:rsid w:val="57B63E99"/>
    <w:rsid w:val="57DB5CB4"/>
    <w:rsid w:val="57E645FA"/>
    <w:rsid w:val="58164938"/>
    <w:rsid w:val="581FD9B2"/>
    <w:rsid w:val="58363156"/>
    <w:rsid w:val="58771241"/>
    <w:rsid w:val="58B5558C"/>
    <w:rsid w:val="5A160B46"/>
    <w:rsid w:val="5A1D3D5C"/>
    <w:rsid w:val="5A750FED"/>
    <w:rsid w:val="5A8011D0"/>
    <w:rsid w:val="5A822A56"/>
    <w:rsid w:val="5AA65CD3"/>
    <w:rsid w:val="5AE1404F"/>
    <w:rsid w:val="5B0311A3"/>
    <w:rsid w:val="5B1533D9"/>
    <w:rsid w:val="5B1E5BCC"/>
    <w:rsid w:val="5B3E568E"/>
    <w:rsid w:val="5BAD274A"/>
    <w:rsid w:val="5BD74C6E"/>
    <w:rsid w:val="5BE50BA6"/>
    <w:rsid w:val="5C2E0695"/>
    <w:rsid w:val="5C3929A3"/>
    <w:rsid w:val="5C6C394F"/>
    <w:rsid w:val="5CA02A22"/>
    <w:rsid w:val="5CDC759A"/>
    <w:rsid w:val="5CE15514"/>
    <w:rsid w:val="5CE26E22"/>
    <w:rsid w:val="5CFC02A3"/>
    <w:rsid w:val="5D105DFA"/>
    <w:rsid w:val="5D1E45B7"/>
    <w:rsid w:val="5D34291B"/>
    <w:rsid w:val="5D5061F6"/>
    <w:rsid w:val="5D767C22"/>
    <w:rsid w:val="5DBBFC28"/>
    <w:rsid w:val="5DC539D3"/>
    <w:rsid w:val="5DCB3ACF"/>
    <w:rsid w:val="5DE4494F"/>
    <w:rsid w:val="5DF70D68"/>
    <w:rsid w:val="5E1F43E2"/>
    <w:rsid w:val="5ED03A93"/>
    <w:rsid w:val="5F0D013B"/>
    <w:rsid w:val="5F2D3A5E"/>
    <w:rsid w:val="5FA61509"/>
    <w:rsid w:val="5FB96CF3"/>
    <w:rsid w:val="5FBE08A4"/>
    <w:rsid w:val="5FD01646"/>
    <w:rsid w:val="5FFBF4D4"/>
    <w:rsid w:val="5FFFBEB7"/>
    <w:rsid w:val="60457581"/>
    <w:rsid w:val="60943284"/>
    <w:rsid w:val="60A429B1"/>
    <w:rsid w:val="60F8107F"/>
    <w:rsid w:val="6116474A"/>
    <w:rsid w:val="61762AD0"/>
    <w:rsid w:val="61A508D3"/>
    <w:rsid w:val="61AB5CF3"/>
    <w:rsid w:val="61B551C2"/>
    <w:rsid w:val="61E5788F"/>
    <w:rsid w:val="620C5D31"/>
    <w:rsid w:val="62204A3D"/>
    <w:rsid w:val="6241266D"/>
    <w:rsid w:val="628030DA"/>
    <w:rsid w:val="62984579"/>
    <w:rsid w:val="62C007E7"/>
    <w:rsid w:val="62DD3137"/>
    <w:rsid w:val="630B680E"/>
    <w:rsid w:val="630E2C39"/>
    <w:rsid w:val="631275F7"/>
    <w:rsid w:val="636228EB"/>
    <w:rsid w:val="63B55EEC"/>
    <w:rsid w:val="640D742F"/>
    <w:rsid w:val="643979E4"/>
    <w:rsid w:val="645F01E2"/>
    <w:rsid w:val="647E5D3F"/>
    <w:rsid w:val="649B5961"/>
    <w:rsid w:val="64C216F4"/>
    <w:rsid w:val="64D846F3"/>
    <w:rsid w:val="64E92302"/>
    <w:rsid w:val="654A25F5"/>
    <w:rsid w:val="656568E6"/>
    <w:rsid w:val="65757CA3"/>
    <w:rsid w:val="657A3942"/>
    <w:rsid w:val="65B732B6"/>
    <w:rsid w:val="66571D74"/>
    <w:rsid w:val="666D1130"/>
    <w:rsid w:val="670A75A8"/>
    <w:rsid w:val="671A6FD5"/>
    <w:rsid w:val="67244646"/>
    <w:rsid w:val="674865FC"/>
    <w:rsid w:val="674F5770"/>
    <w:rsid w:val="67A01CFD"/>
    <w:rsid w:val="67A9009A"/>
    <w:rsid w:val="68CA1553"/>
    <w:rsid w:val="68DD74D8"/>
    <w:rsid w:val="68EB7E6E"/>
    <w:rsid w:val="691B69B6"/>
    <w:rsid w:val="691F232A"/>
    <w:rsid w:val="69F10234"/>
    <w:rsid w:val="69FB1639"/>
    <w:rsid w:val="6A0C7949"/>
    <w:rsid w:val="6A1178C7"/>
    <w:rsid w:val="6A6F63E6"/>
    <w:rsid w:val="6ADE6F38"/>
    <w:rsid w:val="6AE0311F"/>
    <w:rsid w:val="6AFD7857"/>
    <w:rsid w:val="6AFE4849"/>
    <w:rsid w:val="6B182A49"/>
    <w:rsid w:val="6B3A6A4D"/>
    <w:rsid w:val="6B4D2AB4"/>
    <w:rsid w:val="6B5228EC"/>
    <w:rsid w:val="6BB34A49"/>
    <w:rsid w:val="6BCD15B6"/>
    <w:rsid w:val="6C026FBD"/>
    <w:rsid w:val="6C046B37"/>
    <w:rsid w:val="6C146412"/>
    <w:rsid w:val="6C1A6167"/>
    <w:rsid w:val="6C2D60E6"/>
    <w:rsid w:val="6C3118E9"/>
    <w:rsid w:val="6C46674A"/>
    <w:rsid w:val="6C6104BC"/>
    <w:rsid w:val="6CA24CCE"/>
    <w:rsid w:val="6CCE55B8"/>
    <w:rsid w:val="6D110A00"/>
    <w:rsid w:val="6D61634E"/>
    <w:rsid w:val="6D6F2F8C"/>
    <w:rsid w:val="6DA73A96"/>
    <w:rsid w:val="6E0355E0"/>
    <w:rsid w:val="6E041C86"/>
    <w:rsid w:val="6E712470"/>
    <w:rsid w:val="6EDF2BD2"/>
    <w:rsid w:val="6EEA0E9F"/>
    <w:rsid w:val="6EF74724"/>
    <w:rsid w:val="6F8C2F28"/>
    <w:rsid w:val="6FAE190D"/>
    <w:rsid w:val="6FF24B22"/>
    <w:rsid w:val="700B75C7"/>
    <w:rsid w:val="70361200"/>
    <w:rsid w:val="703A5210"/>
    <w:rsid w:val="706A7933"/>
    <w:rsid w:val="710234E6"/>
    <w:rsid w:val="7148130E"/>
    <w:rsid w:val="71804EA4"/>
    <w:rsid w:val="718B55F7"/>
    <w:rsid w:val="72086C48"/>
    <w:rsid w:val="720C2BDC"/>
    <w:rsid w:val="72122136"/>
    <w:rsid w:val="72411EE6"/>
    <w:rsid w:val="725FC1D1"/>
    <w:rsid w:val="72A90315"/>
    <w:rsid w:val="72C90FC9"/>
    <w:rsid w:val="72F64917"/>
    <w:rsid w:val="730F4E23"/>
    <w:rsid w:val="73143AAC"/>
    <w:rsid w:val="734D6776"/>
    <w:rsid w:val="7377440F"/>
    <w:rsid w:val="73C44722"/>
    <w:rsid w:val="74155FFE"/>
    <w:rsid w:val="745443A8"/>
    <w:rsid w:val="7460720F"/>
    <w:rsid w:val="74996462"/>
    <w:rsid w:val="74B113BF"/>
    <w:rsid w:val="74C841A4"/>
    <w:rsid w:val="74EB1043"/>
    <w:rsid w:val="75214D75"/>
    <w:rsid w:val="75372CDA"/>
    <w:rsid w:val="75460511"/>
    <w:rsid w:val="75674200"/>
    <w:rsid w:val="75F307DE"/>
    <w:rsid w:val="75F7AC67"/>
    <w:rsid w:val="75F96634"/>
    <w:rsid w:val="768C2AEF"/>
    <w:rsid w:val="76946952"/>
    <w:rsid w:val="76C41A5E"/>
    <w:rsid w:val="77587BF9"/>
    <w:rsid w:val="777D6539"/>
    <w:rsid w:val="77A14A92"/>
    <w:rsid w:val="77B21B30"/>
    <w:rsid w:val="77EF5E1E"/>
    <w:rsid w:val="77FF51B6"/>
    <w:rsid w:val="78306CA6"/>
    <w:rsid w:val="78D67AA0"/>
    <w:rsid w:val="79870D9A"/>
    <w:rsid w:val="79984052"/>
    <w:rsid w:val="79AC07A9"/>
    <w:rsid w:val="79FDF4D4"/>
    <w:rsid w:val="7A1015CC"/>
    <w:rsid w:val="7A2A74A2"/>
    <w:rsid w:val="7A3A29FC"/>
    <w:rsid w:val="7A4D63F4"/>
    <w:rsid w:val="7A5F3547"/>
    <w:rsid w:val="7A6608C9"/>
    <w:rsid w:val="7A9FE812"/>
    <w:rsid w:val="7AA55685"/>
    <w:rsid w:val="7AD95625"/>
    <w:rsid w:val="7B23626E"/>
    <w:rsid w:val="7B5A1BAF"/>
    <w:rsid w:val="7B6F40A6"/>
    <w:rsid w:val="7B77A722"/>
    <w:rsid w:val="7BA774D1"/>
    <w:rsid w:val="7BCD76C7"/>
    <w:rsid w:val="7BDFB861"/>
    <w:rsid w:val="7BE7387E"/>
    <w:rsid w:val="7BEEF386"/>
    <w:rsid w:val="7BF84864"/>
    <w:rsid w:val="7BFEB8E5"/>
    <w:rsid w:val="7C217284"/>
    <w:rsid w:val="7CB4284F"/>
    <w:rsid w:val="7D394375"/>
    <w:rsid w:val="7D40373A"/>
    <w:rsid w:val="7D503113"/>
    <w:rsid w:val="7D746944"/>
    <w:rsid w:val="7DCC76C3"/>
    <w:rsid w:val="7DECC4DB"/>
    <w:rsid w:val="7DF07FE1"/>
    <w:rsid w:val="7E135D43"/>
    <w:rsid w:val="7E3239CA"/>
    <w:rsid w:val="7E4C5A53"/>
    <w:rsid w:val="7E6D4936"/>
    <w:rsid w:val="7E7D27A3"/>
    <w:rsid w:val="7E863FE4"/>
    <w:rsid w:val="7EAA3560"/>
    <w:rsid w:val="7EBA2597"/>
    <w:rsid w:val="7F086945"/>
    <w:rsid w:val="7F63F4EF"/>
    <w:rsid w:val="7F8D39DD"/>
    <w:rsid w:val="7FAD2C5D"/>
    <w:rsid w:val="7FBB0DA4"/>
    <w:rsid w:val="7FF36B12"/>
    <w:rsid w:val="7FF53CDE"/>
    <w:rsid w:val="99E322AA"/>
    <w:rsid w:val="B7EF9BAA"/>
    <w:rsid w:val="B7FF11B3"/>
    <w:rsid w:val="BFBFE7F1"/>
    <w:rsid w:val="BFD5FA3A"/>
    <w:rsid w:val="BFDFE9E8"/>
    <w:rsid w:val="BFEF361A"/>
    <w:rsid w:val="BFFA94BA"/>
    <w:rsid w:val="BFFF69F4"/>
    <w:rsid w:val="C2DE4B60"/>
    <w:rsid w:val="D55AF8CC"/>
    <w:rsid w:val="D5BBEE18"/>
    <w:rsid w:val="D7ED9C0D"/>
    <w:rsid w:val="DF7B5BDA"/>
    <w:rsid w:val="DFFF23B6"/>
    <w:rsid w:val="E6F5E8E5"/>
    <w:rsid w:val="ED37AEBC"/>
    <w:rsid w:val="EDBF2CAB"/>
    <w:rsid w:val="EEEDEEB1"/>
    <w:rsid w:val="EEFCD345"/>
    <w:rsid w:val="EFE9687F"/>
    <w:rsid w:val="F18F8FF3"/>
    <w:rsid w:val="F1BB5933"/>
    <w:rsid w:val="F7DC3998"/>
    <w:rsid w:val="FAEF7066"/>
    <w:rsid w:val="FAFFA212"/>
    <w:rsid w:val="FC7DBE5E"/>
    <w:rsid w:val="FCEF5FB8"/>
    <w:rsid w:val="FD72B3DA"/>
    <w:rsid w:val="FDDF42C3"/>
    <w:rsid w:val="FE3FB2AE"/>
    <w:rsid w:val="FEAF9706"/>
    <w:rsid w:val="FFF4E215"/>
    <w:rsid w:val="FFFF4D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bCs/>
      <w:snapToGrid w:val="0"/>
      <w:spacing w:val="10"/>
      <w:sz w:val="28"/>
      <w:szCs w:val="24"/>
      <w:lang w:val="en-US" w:eastAsia="zh-CN" w:bidi="ar-SA"/>
    </w:rPr>
  </w:style>
  <w:style w:type="paragraph" w:styleId="4">
    <w:name w:val="heading 1"/>
    <w:basedOn w:val="1"/>
    <w:next w:val="1"/>
    <w:autoRedefine/>
    <w:qFormat/>
    <w:uiPriority w:val="99"/>
    <w:pPr>
      <w:keepNext/>
      <w:overflowPunct w:val="0"/>
      <w:snapToGrid w:val="0"/>
      <w:spacing w:before="120" w:after="160" w:line="259" w:lineRule="auto"/>
      <w:ind w:left="432" w:hanging="432"/>
      <w:outlineLvl w:val="0"/>
    </w:pPr>
    <w:rPr>
      <w:rFonts w:eastAsia="黑体"/>
      <w:b/>
      <w:color w:val="000000"/>
      <w:kern w:val="44"/>
      <w:sz w:val="30"/>
      <w:szCs w:val="30"/>
    </w:rPr>
  </w:style>
  <w:style w:type="paragraph" w:styleId="5">
    <w:name w:val="heading 3"/>
    <w:basedOn w:val="1"/>
    <w:next w:val="1"/>
    <w:autoRedefine/>
    <w:qFormat/>
    <w:uiPriority w:val="0"/>
    <w:pPr>
      <w:keepNext/>
      <w:keepLines/>
      <w:spacing w:before="260" w:after="260" w:line="416" w:lineRule="auto"/>
      <w:outlineLvl w:val="2"/>
    </w:pPr>
    <w:rPr>
      <w:b/>
      <w:sz w:val="32"/>
      <w:szCs w:val="32"/>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autoRedefine/>
    <w:qFormat/>
    <w:uiPriority w:val="0"/>
    <w:pPr>
      <w:widowControl/>
      <w:snapToGrid w:val="0"/>
      <w:spacing w:before="60" w:after="160" w:line="259" w:lineRule="auto"/>
      <w:ind w:right="113"/>
    </w:pPr>
    <w:rPr>
      <w:sz w:val="18"/>
      <w:szCs w:val="20"/>
    </w:rPr>
  </w:style>
  <w:style w:type="paragraph" w:styleId="3">
    <w:name w:val="index 5"/>
    <w:basedOn w:val="1"/>
    <w:next w:val="1"/>
    <w:qFormat/>
    <w:uiPriority w:val="0"/>
    <w:pPr>
      <w:ind w:left="1680"/>
    </w:pPr>
  </w:style>
  <w:style w:type="paragraph" w:styleId="6">
    <w:name w:val="List 3"/>
    <w:basedOn w:val="1"/>
    <w:next w:val="1"/>
    <w:autoRedefine/>
    <w:qFormat/>
    <w:uiPriority w:val="0"/>
    <w:pPr>
      <w:ind w:left="100" w:leftChars="400" w:hanging="200" w:hangingChars="200"/>
    </w:pPr>
  </w:style>
  <w:style w:type="paragraph" w:styleId="7">
    <w:name w:val="Normal Indent"/>
    <w:basedOn w:val="1"/>
    <w:next w:val="1"/>
    <w:autoRedefine/>
    <w:qFormat/>
    <w:uiPriority w:val="0"/>
    <w:pPr>
      <w:ind w:firstLine="420" w:firstLineChars="200"/>
    </w:pPr>
    <w:rPr>
      <w:rFonts w:ascii="Arial" w:hAnsi="Arial" w:cs="Arial"/>
      <w:sz w:val="21"/>
    </w:rPr>
  </w:style>
  <w:style w:type="paragraph" w:styleId="8">
    <w:name w:val="annotation text"/>
    <w:basedOn w:val="1"/>
    <w:autoRedefine/>
    <w:qFormat/>
    <w:uiPriority w:val="0"/>
    <w:pPr>
      <w:jc w:val="left"/>
    </w:pPr>
  </w:style>
  <w:style w:type="paragraph" w:styleId="9">
    <w:name w:val="Body Text Indent"/>
    <w:basedOn w:val="1"/>
    <w:autoRedefine/>
    <w:qFormat/>
    <w:uiPriority w:val="0"/>
    <w:pPr>
      <w:adjustRightInd w:val="0"/>
      <w:snapToGrid w:val="0"/>
      <w:spacing w:line="300" w:lineRule="auto"/>
      <w:ind w:firstLine="680" w:firstLineChars="200"/>
    </w:pPr>
    <w:rPr>
      <w:rFonts w:ascii="仿宋_GB2312" w:hAnsi="宋体" w:eastAsia="仿宋_GB2312"/>
      <w:sz w:val="32"/>
    </w:rPr>
  </w:style>
  <w:style w:type="paragraph" w:styleId="10">
    <w:name w:val="Plain Text"/>
    <w:basedOn w:val="1"/>
    <w:next w:val="11"/>
    <w:autoRedefine/>
    <w:qFormat/>
    <w:uiPriority w:val="0"/>
    <w:rPr>
      <w:rFonts w:ascii="宋体" w:hAnsi="Courier New" w:cs="Courier New"/>
      <w:sz w:val="21"/>
      <w:szCs w:val="21"/>
    </w:rPr>
  </w:style>
  <w:style w:type="paragraph" w:styleId="11">
    <w:name w:val="toc 1"/>
    <w:basedOn w:val="1"/>
    <w:next w:val="1"/>
    <w:autoRedefine/>
    <w:semiHidden/>
    <w:qFormat/>
    <w:uiPriority w:val="0"/>
    <w:pPr>
      <w:tabs>
        <w:tab w:val="right" w:leader="dot" w:pos="8296"/>
      </w:tabs>
      <w:spacing w:before="120" w:after="120"/>
      <w:jc w:val="left"/>
    </w:pPr>
    <w:rPr>
      <w:rFonts w:eastAsia="仿宋_GB2312"/>
      <w:caps/>
      <w:snapToGrid/>
      <w:color w:val="000000"/>
      <w:spacing w:val="0"/>
      <w:kern w:val="2"/>
      <w:sz w:val="24"/>
    </w:rPr>
  </w:style>
  <w:style w:type="paragraph" w:styleId="12">
    <w:name w:val="Body Text Indent 2"/>
    <w:basedOn w:val="1"/>
    <w:next w:val="13"/>
    <w:autoRedefine/>
    <w:qFormat/>
    <w:uiPriority w:val="0"/>
    <w:pPr>
      <w:spacing w:line="500" w:lineRule="exact"/>
      <w:ind w:left="72" w:hanging="72" w:hangingChars="30"/>
      <w:jc w:val="left"/>
    </w:pPr>
    <w:rPr>
      <w:rFonts w:ascii="宋体" w:hAnsi="宋体"/>
      <w:sz w:val="24"/>
    </w:rPr>
  </w:style>
  <w:style w:type="paragraph" w:styleId="13">
    <w:name w:val="Body Text First Indent"/>
    <w:basedOn w:val="2"/>
    <w:next w:val="1"/>
    <w:autoRedefine/>
    <w:qFormat/>
    <w:uiPriority w:val="0"/>
    <w:pPr>
      <w:overflowPunct w:val="0"/>
      <w:autoSpaceDE w:val="0"/>
      <w:autoSpaceDN w:val="0"/>
      <w:adjustRightInd w:val="0"/>
      <w:spacing w:line="360" w:lineRule="auto"/>
      <w:ind w:firstLine="539" w:firstLineChars="200"/>
      <w:textAlignment w:val="baseline"/>
    </w:pPr>
    <w:rPr>
      <w:sz w:val="28"/>
    </w:rPr>
  </w:style>
  <w:style w:type="paragraph" w:styleId="14">
    <w:name w:val="footer"/>
    <w:basedOn w:val="1"/>
    <w:next w:val="1"/>
    <w:autoRedefine/>
    <w:qFormat/>
    <w:uiPriority w:val="99"/>
    <w:pPr>
      <w:tabs>
        <w:tab w:val="center" w:pos="4153"/>
        <w:tab w:val="right" w:pos="8306"/>
      </w:tabs>
      <w:snapToGrid w:val="0"/>
      <w:jc w:val="left"/>
    </w:pPr>
    <w:rPr>
      <w:sz w:val="18"/>
      <w:szCs w:val="18"/>
    </w:rPr>
  </w:style>
  <w:style w:type="paragraph" w:styleId="15">
    <w:name w:val="header"/>
    <w:basedOn w:val="1"/>
    <w:next w:val="16"/>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16">
    <w:name w:val="样式5"/>
    <w:basedOn w:val="7"/>
    <w:next w:val="1"/>
    <w:autoRedefine/>
    <w:qFormat/>
    <w:uiPriority w:val="0"/>
    <w:pPr>
      <w:spacing w:line="380" w:lineRule="exact"/>
      <w:ind w:firstLine="566" w:firstLineChars="202"/>
    </w:pPr>
    <w:rPr>
      <w:rFonts w:ascii="Times New Roman" w:hAnsi="Times New Roman" w:eastAsia="华文行楷" w:cs="Times New Roman"/>
      <w:sz w:val="28"/>
    </w:rPr>
  </w:style>
  <w:style w:type="paragraph" w:styleId="17">
    <w:name w:val="table of figures"/>
    <w:basedOn w:val="1"/>
    <w:next w:val="1"/>
    <w:autoRedefine/>
    <w:unhideWhenUsed/>
    <w:qFormat/>
    <w:uiPriority w:val="99"/>
    <w:pPr>
      <w:ind w:left="200" w:leftChars="200" w:hanging="200" w:hangingChars="200"/>
    </w:pPr>
  </w:style>
  <w:style w:type="paragraph" w:styleId="18">
    <w:name w:val="Normal (Web)"/>
    <w:basedOn w:val="1"/>
    <w:autoRedefine/>
    <w:qFormat/>
    <w:uiPriority w:val="0"/>
    <w:rPr>
      <w:sz w:val="24"/>
    </w:rPr>
  </w:style>
  <w:style w:type="paragraph" w:styleId="19">
    <w:name w:val="Body Text First Indent 2"/>
    <w:basedOn w:val="9"/>
    <w:next w:val="13"/>
    <w:autoRedefine/>
    <w:unhideWhenUsed/>
    <w:qFormat/>
    <w:uiPriority w:val="0"/>
    <w:pPr>
      <w:spacing w:line="240" w:lineRule="auto"/>
      <w:ind w:firstLine="561"/>
    </w:pPr>
    <w:rPr>
      <w:b/>
      <w:iCs/>
      <w:sz w:val="28"/>
      <w:szCs w:val="28"/>
    </w:rPr>
  </w:style>
  <w:style w:type="table" w:styleId="21">
    <w:name w:val="Table Grid"/>
    <w:basedOn w:val="20"/>
    <w:autoRedefine/>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autoRedefine/>
    <w:qFormat/>
    <w:uiPriority w:val="0"/>
    <w:rPr>
      <w:b/>
    </w:rPr>
  </w:style>
  <w:style w:type="character" w:styleId="24">
    <w:name w:val="FollowedHyperlink"/>
    <w:basedOn w:val="22"/>
    <w:autoRedefine/>
    <w:qFormat/>
    <w:uiPriority w:val="0"/>
    <w:rPr>
      <w:color w:val="800080"/>
      <w:u w:val="none"/>
    </w:rPr>
  </w:style>
  <w:style w:type="character" w:styleId="25">
    <w:name w:val="Emphasis"/>
    <w:basedOn w:val="22"/>
    <w:autoRedefine/>
    <w:qFormat/>
    <w:uiPriority w:val="0"/>
    <w:rPr>
      <w:i/>
    </w:rPr>
  </w:style>
  <w:style w:type="character" w:styleId="26">
    <w:name w:val="Hyperlink"/>
    <w:basedOn w:val="22"/>
    <w:autoRedefine/>
    <w:qFormat/>
    <w:uiPriority w:val="0"/>
    <w:rPr>
      <w:color w:val="0000FF"/>
      <w:u w:val="none"/>
    </w:rPr>
  </w:style>
  <w:style w:type="paragraph" w:customStyle="1" w:styleId="27">
    <w:name w:val="Normal (Web)1"/>
    <w:basedOn w:val="1"/>
    <w:next w:val="28"/>
    <w:autoRedefine/>
    <w:qFormat/>
    <w:uiPriority w:val="0"/>
    <w:pPr>
      <w:widowControl/>
    </w:pPr>
    <w:rPr>
      <w:rFonts w:ascii="宋体" w:eastAsia="宋体" w:cs="Times New Roman"/>
      <w:sz w:val="24"/>
      <w:szCs w:val="21"/>
    </w:rPr>
  </w:style>
  <w:style w:type="paragraph" w:customStyle="1" w:styleId="28">
    <w:name w:val="Date1"/>
    <w:basedOn w:val="1"/>
    <w:next w:val="1"/>
    <w:autoRedefine/>
    <w:qFormat/>
    <w:uiPriority w:val="0"/>
    <w:pPr>
      <w:adjustRightInd w:val="0"/>
      <w:spacing w:line="240" w:lineRule="auto"/>
    </w:pPr>
    <w:rPr>
      <w:sz w:val="21"/>
      <w:szCs w:val="20"/>
    </w:rPr>
  </w:style>
  <w:style w:type="paragraph" w:customStyle="1" w:styleId="29">
    <w:name w:val="toc 75"/>
    <w:next w:val="1"/>
    <w:autoRedefine/>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30">
    <w:name w:val="_Style 4"/>
    <w:autoRedefine/>
    <w:qFormat/>
    <w:uiPriority w:val="1"/>
    <w:pPr>
      <w:widowControl w:val="0"/>
      <w:jc w:val="both"/>
    </w:pPr>
    <w:rPr>
      <w:rFonts w:ascii="Times New Roman" w:hAnsi="Times New Roman" w:eastAsia="仿宋_GB2312" w:cs="Times New Roman"/>
      <w:kern w:val="2"/>
      <w:sz w:val="24"/>
      <w:szCs w:val="22"/>
      <w:lang w:val="en-US" w:eastAsia="zh-CN" w:bidi="ar-SA"/>
    </w:rPr>
  </w:style>
  <w:style w:type="paragraph" w:customStyle="1" w:styleId="31">
    <w:name w:val="Default"/>
    <w:basedOn w:val="32"/>
    <w:next w:val="1"/>
    <w:autoRedefine/>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customStyle="1" w:styleId="32">
    <w:name w:val="纯文本1"/>
    <w:basedOn w:val="1"/>
    <w:next w:val="10"/>
    <w:autoRedefine/>
    <w:qFormat/>
    <w:uiPriority w:val="0"/>
    <w:rPr>
      <w:rFonts w:ascii="宋体" w:hAnsi="Courier New" w:cs="Courier New"/>
      <w:sz w:val="21"/>
      <w:szCs w:val="21"/>
    </w:rPr>
  </w:style>
  <w:style w:type="paragraph" w:customStyle="1" w:styleId="33">
    <w:name w:val="样式 正文首行缩进 + 首行缩进:  2 字符1"/>
    <w:basedOn w:val="13"/>
    <w:next w:val="11"/>
    <w:autoRedefine/>
    <w:qFormat/>
    <w:uiPriority w:val="0"/>
    <w:pPr>
      <w:spacing w:after="0" w:line="360" w:lineRule="auto"/>
      <w:ind w:firstLine="480" w:firstLineChars="200"/>
    </w:pPr>
    <w:rPr>
      <w:sz w:val="24"/>
    </w:rPr>
  </w:style>
  <w:style w:type="paragraph" w:customStyle="1" w:styleId="34">
    <w:name w:val="样式 正文11 + 首行缩进:  2 字符"/>
    <w:basedOn w:val="1"/>
    <w:autoRedefine/>
    <w:qFormat/>
    <w:uiPriority w:val="0"/>
    <w:pPr>
      <w:spacing w:line="500" w:lineRule="exact"/>
      <w:ind w:firstLine="560" w:firstLineChars="200"/>
    </w:pPr>
    <w:rPr>
      <w:rFonts w:ascii="宋体" w:hAnsi="宋体" w:cs="宋体"/>
      <w:b/>
      <w:color w:val="FF0000"/>
      <w:sz w:val="28"/>
    </w:rPr>
  </w:style>
  <w:style w:type="paragraph" w:customStyle="1" w:styleId="35">
    <w:name w:val="正文（缩进）"/>
    <w:basedOn w:val="1"/>
    <w:autoRedefine/>
    <w:qFormat/>
    <w:uiPriority w:val="99"/>
    <w:pPr>
      <w:spacing w:line="360" w:lineRule="auto"/>
      <w:ind w:firstLine="480" w:firstLineChars="200"/>
    </w:pPr>
    <w:rPr>
      <w:sz w:val="24"/>
    </w:rPr>
  </w:style>
  <w:style w:type="paragraph" w:customStyle="1" w:styleId="36">
    <w:name w:val="0正文"/>
    <w:basedOn w:val="9"/>
    <w:next w:val="19"/>
    <w:autoRedefine/>
    <w:unhideWhenUsed/>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paragraph" w:customStyle="1" w:styleId="37">
    <w:name w:val="样式 标题 1一级标题 + 段前: 0.5 行 段后: 0.5 行"/>
    <w:basedOn w:val="4"/>
    <w:autoRedefine/>
    <w:qFormat/>
    <w:uiPriority w:val="0"/>
    <w:pPr>
      <w:spacing w:line="320" w:lineRule="exact"/>
      <w:outlineLvl w:val="9"/>
    </w:pPr>
    <w:rPr>
      <w:rFonts w:eastAsia="宋体"/>
      <w:spacing w:val="-6"/>
      <w:sz w:val="21"/>
      <w:szCs w:val="21"/>
    </w:rPr>
  </w:style>
  <w:style w:type="paragraph" w:customStyle="1" w:styleId="38">
    <w:name w:val="报告正文"/>
    <w:basedOn w:val="1"/>
    <w:next w:val="1"/>
    <w:autoRedefine/>
    <w:qFormat/>
    <w:uiPriority w:val="0"/>
    <w:pPr>
      <w:numPr>
        <w:ilvl w:val="0"/>
        <w:numId w:val="1"/>
      </w:numPr>
      <w:spacing w:line="360" w:lineRule="auto"/>
      <w:ind w:firstLine="720" w:firstLineChars="200"/>
    </w:pPr>
  </w:style>
  <w:style w:type="paragraph" w:customStyle="1" w:styleId="3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40">
    <w:name w:val="fr4"/>
    <w:basedOn w:val="22"/>
    <w:autoRedefine/>
    <w:qFormat/>
    <w:uiPriority w:val="0"/>
  </w:style>
  <w:style w:type="character" w:customStyle="1" w:styleId="41">
    <w:name w:val="last-child"/>
    <w:basedOn w:val="22"/>
    <w:autoRedefine/>
    <w:qFormat/>
    <w:uiPriority w:val="0"/>
  </w:style>
  <w:style w:type="character" w:customStyle="1" w:styleId="42">
    <w:name w:val="before"/>
    <w:basedOn w:val="22"/>
    <w:autoRedefine/>
    <w:qFormat/>
    <w:uiPriority w:val="0"/>
    <w:rPr>
      <w:rFonts w:hint="default" w:ascii="iconfont" w:hAnsi="iconfont" w:eastAsia="iconfont" w:cs="iconfont"/>
      <w:color w:val="CCCCCC"/>
    </w:rPr>
  </w:style>
  <w:style w:type="character" w:customStyle="1" w:styleId="43">
    <w:name w:val="before1"/>
    <w:basedOn w:val="22"/>
    <w:autoRedefine/>
    <w:qFormat/>
    <w:uiPriority w:val="0"/>
    <w:rPr>
      <w:shd w:val="clear" w:color="auto" w:fill="39548B"/>
    </w:rPr>
  </w:style>
  <w:style w:type="character" w:customStyle="1" w:styleId="44">
    <w:name w:val="on"/>
    <w:basedOn w:val="22"/>
    <w:autoRedefine/>
    <w:qFormat/>
    <w:uiPriority w:val="0"/>
  </w:style>
  <w:style w:type="paragraph" w:customStyle="1" w:styleId="45">
    <w:name w:val="p0"/>
    <w:basedOn w:val="1"/>
    <w:autoRedefine/>
    <w:qFormat/>
    <w:uiPriority w:val="0"/>
    <w:pPr>
      <w:widowControl/>
    </w:pPr>
    <w:rPr>
      <w:szCs w:val="21"/>
    </w:rPr>
  </w:style>
  <w:style w:type="paragraph" w:customStyle="1" w:styleId="46">
    <w:name w:val="样式1"/>
    <w:basedOn w:val="47"/>
    <w:autoRedefine/>
    <w:qFormat/>
    <w:uiPriority w:val="0"/>
    <w:pPr>
      <w:widowControl/>
      <w:spacing w:before="80" w:after="80" w:line="540" w:lineRule="exact"/>
      <w:ind w:left="-2"/>
    </w:pPr>
    <w:rPr>
      <w:rFonts w:ascii="Arial" w:hAnsi="Arial"/>
      <w:bCs/>
      <w:kern w:val="0"/>
      <w:szCs w:val="48"/>
    </w:rPr>
  </w:style>
  <w:style w:type="paragraph" w:customStyle="1" w:styleId="47">
    <w:name w:val="a-文本缩2"/>
    <w:autoRedefine/>
    <w:qFormat/>
    <w:uiPriority w:val="0"/>
    <w:pPr>
      <w:widowControl w:val="0"/>
      <w:adjustRightInd w:val="0"/>
      <w:snapToGrid w:val="0"/>
      <w:spacing w:line="360" w:lineRule="auto"/>
      <w:ind w:firstLine="480" w:firstLineChars="200"/>
      <w:jc w:val="both"/>
    </w:pPr>
    <w:rPr>
      <w:rFonts w:ascii="Times New Roman" w:hAnsi="Times New Roman" w:eastAsia="宋体" w:cs="Times New Roman"/>
      <w:kern w:val="2"/>
      <w:sz w:val="24"/>
      <w:szCs w:val="21"/>
      <w:lang w:val="en-US" w:eastAsia="zh-CN" w:bidi="ar-SA"/>
    </w:rPr>
  </w:style>
  <w:style w:type="paragraph" w:customStyle="1" w:styleId="48">
    <w:name w:val="【正文】"/>
    <w:basedOn w:val="1"/>
    <w:next w:val="1"/>
    <w:autoRedefine/>
    <w:qFormat/>
    <w:uiPriority w:val="0"/>
    <w:pPr>
      <w:spacing w:line="360" w:lineRule="auto"/>
      <w:ind w:firstLine="200" w:firstLineChars="200"/>
    </w:pPr>
    <w:rPr>
      <w:spacing w:val="17"/>
      <w:sz w:val="24"/>
      <w:szCs w:val="20"/>
      <w:lang w:val="zh-CN"/>
    </w:rPr>
  </w:style>
  <w:style w:type="character" w:customStyle="1" w:styleId="49">
    <w:name w:val="fontstyle01"/>
    <w:basedOn w:val="22"/>
    <w:autoRedefine/>
    <w:qFormat/>
    <w:uiPriority w:val="0"/>
    <w:rPr>
      <w:rFonts w:hint="eastAsia" w:ascii="宋体" w:hAnsi="宋体" w:eastAsia="宋体"/>
      <w:color w:val="000000"/>
      <w:sz w:val="24"/>
      <w:szCs w:val="24"/>
    </w:rPr>
  </w:style>
  <w:style w:type="character" w:customStyle="1" w:styleId="50">
    <w:name w:val="NormalCharacter"/>
    <w:autoRedefine/>
    <w:semiHidden/>
    <w:qFormat/>
    <w:uiPriority w:val="0"/>
    <w:rPr>
      <w:kern w:val="2"/>
      <w:sz w:val="21"/>
      <w:szCs w:val="24"/>
      <w:lang w:val="en-US" w:eastAsia="zh-CN" w:bidi="ar-SA"/>
    </w:rPr>
  </w:style>
  <w:style w:type="character" w:customStyle="1" w:styleId="51">
    <w:name w:val="样式 小四 黑色 行距: 1.5 倍行距 Char"/>
    <w:qFormat/>
    <w:uiPriority w:val="0"/>
    <w:rPr>
      <w:rFonts w:cs="宋体"/>
      <w:color w:val="000000"/>
      <w:sz w:val="24"/>
      <w:szCs w:val="20"/>
    </w:rPr>
  </w:style>
  <w:style w:type="paragraph" w:styleId="5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2349</Words>
  <Characters>2498</Characters>
  <Lines>18</Lines>
  <Paragraphs>5</Paragraphs>
  <TotalTime>3</TotalTime>
  <ScaleCrop>false</ScaleCrop>
  <LinksUpToDate>false</LinksUpToDate>
  <CharactersWithSpaces>2499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2022-08-16T15:15:00Z</dcterms:created>
  <dc:creator>海霞</dc:creator>
  <cp:lastModifiedBy>快乐的七爷</cp:lastModifiedBy>
  <cp:lastPrinted>2026-07-03T14:07:00Z</cp:lastPrinted>
  <dcterms:modified xsi:type="dcterms:W3CDTF">2026-07-17T05:47:49Z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DC142C25D3DD4057894B576BC4F840D0_13</vt:lpwstr>
  </property>
  <property fmtid="{D5CDD505-2E9C-101B-9397-08002B2CF9AE}" pid="4" name="KSOTemplateDocerSaveRecord">
    <vt:lpwstr>eyJoZGlkIjoiMmE2YTM5OWUzZWFhNzRkNDVmOWYyYzg1NDFhYTJiNWQiLCJ1c2VySWQiOiIyODQ4Mjg5ODkifQ==</vt:lpwstr>
  </property>
</Properties>
</file>