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94FC5">
      <w:pPr>
        <w:keepNext w:val="0"/>
        <w:keepLines w:val="0"/>
        <w:pageBreakBefore w:val="0"/>
        <w:widowControl/>
        <w:kinsoku/>
        <w:wordWrap/>
        <w:overflowPunct/>
        <w:topLinePunct w:val="0"/>
        <w:bidi w:val="0"/>
        <w:spacing w:line="560" w:lineRule="exact"/>
        <w:jc w:val="right"/>
        <w:textAlignment w:val="auto"/>
        <w:rPr>
          <w:rFonts w:hint="default" w:ascii="Times New Roman" w:hAnsi="Times New Roman" w:eastAsia="仿宋_GB2312" w:cs="Times New Roman"/>
          <w:color w:val="auto"/>
          <w:sz w:val="32"/>
          <w:szCs w:val="32"/>
          <w:highlight w:val="none"/>
        </w:rPr>
      </w:pPr>
    </w:p>
    <w:p w14:paraId="138C0E4D">
      <w:pPr>
        <w:keepNext w:val="0"/>
        <w:keepLines w:val="0"/>
        <w:pageBreakBefore w:val="0"/>
        <w:widowControl/>
        <w:kinsoku/>
        <w:wordWrap/>
        <w:overflowPunct/>
        <w:topLinePunct w:val="0"/>
        <w:bidi w:val="0"/>
        <w:spacing w:line="560" w:lineRule="exact"/>
        <w:jc w:val="right"/>
        <w:textAlignment w:val="auto"/>
        <w:rPr>
          <w:rFonts w:hint="default" w:ascii="Times New Roman" w:hAnsi="Times New Roman" w:eastAsia="仿宋_GB2312" w:cs="Times New Roman"/>
          <w:color w:val="auto"/>
          <w:sz w:val="32"/>
          <w:szCs w:val="32"/>
          <w:highlight w:val="none"/>
        </w:rPr>
      </w:pPr>
    </w:p>
    <w:p w14:paraId="615DD0C2">
      <w:pPr>
        <w:pStyle w:val="10"/>
        <w:keepNext w:val="0"/>
        <w:keepLines w:val="0"/>
        <w:pageBreakBefore w:val="0"/>
        <w:kinsoku/>
        <w:wordWrap/>
        <w:overflowPunct/>
        <w:topLinePunct w:val="0"/>
        <w:bidi w:val="0"/>
        <w:spacing w:line="560" w:lineRule="exact"/>
        <w:ind w:left="78" w:hanging="78"/>
        <w:textAlignment w:val="auto"/>
        <w:rPr>
          <w:rFonts w:hint="default" w:ascii="Times New Roman" w:hAnsi="Times New Roman" w:eastAsia="仿宋_GB2312" w:cs="Times New Roman"/>
          <w:color w:val="auto"/>
          <w:sz w:val="32"/>
          <w:szCs w:val="32"/>
          <w:highlight w:val="none"/>
        </w:rPr>
      </w:pPr>
    </w:p>
    <w:p w14:paraId="53DC4B59">
      <w:pPr>
        <w:keepNext w:val="0"/>
        <w:keepLines w:val="0"/>
        <w:pageBreakBefore w:val="0"/>
        <w:widowControl/>
        <w:kinsoku/>
        <w:wordWrap/>
        <w:overflowPunct/>
        <w:topLinePunct w:val="0"/>
        <w:bidi w:val="0"/>
        <w:spacing w:line="560" w:lineRule="exact"/>
        <w:jc w:val="right"/>
        <w:textAlignment w:val="auto"/>
        <w:rPr>
          <w:rFonts w:hint="default" w:ascii="Times New Roman" w:hAnsi="Times New Roman" w:eastAsia="仿宋_GB2312" w:cs="Times New Roman"/>
          <w:color w:val="auto"/>
          <w:sz w:val="32"/>
          <w:szCs w:val="32"/>
          <w:highlight w:val="none"/>
        </w:rPr>
      </w:pPr>
    </w:p>
    <w:p w14:paraId="09955BB3">
      <w:pPr>
        <w:keepNext w:val="0"/>
        <w:keepLines w:val="0"/>
        <w:pageBreakBefore w:val="0"/>
        <w:widowControl/>
        <w:kinsoku/>
        <w:wordWrap/>
        <w:overflowPunct/>
        <w:topLinePunct w:val="0"/>
        <w:bidi w:val="0"/>
        <w:spacing w:line="560" w:lineRule="exact"/>
        <w:jc w:val="right"/>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本环建表字〔202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18</w:t>
      </w:r>
      <w:r>
        <w:rPr>
          <w:rFonts w:hint="default" w:ascii="Times New Roman" w:hAnsi="Times New Roman" w:eastAsia="仿宋_GB2312" w:cs="Times New Roman"/>
          <w:color w:val="auto"/>
          <w:sz w:val="32"/>
          <w:szCs w:val="32"/>
          <w:highlight w:val="none"/>
          <w:shd w:val="clear" w:color="auto" w:fill="auto"/>
        </w:rPr>
        <w:t>号</w:t>
      </w:r>
    </w:p>
    <w:p w14:paraId="09BC1BD6">
      <w:pPr>
        <w:keepNext w:val="0"/>
        <w:keepLines w:val="0"/>
        <w:pageBreakBefore w:val="0"/>
        <w:widowControl/>
        <w:kinsoku/>
        <w:wordWrap/>
        <w:overflowPunct/>
        <w:topLinePunct w:val="0"/>
        <w:bidi w:val="0"/>
        <w:spacing w:line="560" w:lineRule="exact"/>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rPr>
      </w:pPr>
      <w:r>
        <w:rPr>
          <w:rFonts w:hint="eastAsia" w:ascii="方正小标宋简体" w:hAnsi="方正小标宋简体" w:eastAsia="方正小标宋简体" w:cs="方正小标宋简体"/>
          <w:b w:val="0"/>
          <w:bCs w:val="0"/>
          <w:color w:val="auto"/>
          <w:sz w:val="44"/>
          <w:szCs w:val="44"/>
          <w:highlight w:val="none"/>
          <w:lang w:eastAsia="zh-CN"/>
        </w:rPr>
        <w:t>关于《</w:t>
      </w:r>
      <w:r>
        <w:rPr>
          <w:rFonts w:hint="eastAsia" w:ascii="方正小标宋简体" w:hAnsi="方正小标宋简体" w:eastAsia="方正小标宋简体" w:cs="方正小标宋简体"/>
          <w:b w:val="0"/>
          <w:bCs w:val="0"/>
          <w:color w:val="auto"/>
          <w:sz w:val="44"/>
          <w:szCs w:val="44"/>
          <w:highlight w:val="none"/>
          <w:lang w:val="en-US" w:eastAsia="zh-CN"/>
        </w:rPr>
        <w:t>本溪玉晶玻璃有限公司厂区自用混凝土搅拌站建设项目</w:t>
      </w:r>
      <w:r>
        <w:rPr>
          <w:rFonts w:hint="eastAsia" w:ascii="方正小标宋简体" w:hAnsi="方正小标宋简体" w:eastAsia="方正小标宋简体" w:cs="方正小标宋简体"/>
          <w:b w:val="0"/>
          <w:bCs w:val="0"/>
          <w:color w:val="auto"/>
          <w:sz w:val="44"/>
          <w:szCs w:val="44"/>
          <w:highlight w:val="none"/>
        </w:rPr>
        <w:t>环境影响报告表</w:t>
      </w:r>
      <w:r>
        <w:rPr>
          <w:rFonts w:hint="eastAsia" w:ascii="方正小标宋简体" w:hAnsi="方正小标宋简体" w:eastAsia="方正小标宋简体" w:cs="方正小标宋简体"/>
          <w:b w:val="0"/>
          <w:bCs w:val="0"/>
          <w:color w:val="auto"/>
          <w:sz w:val="44"/>
          <w:szCs w:val="44"/>
          <w:highlight w:val="none"/>
          <w:lang w:eastAsia="zh-CN"/>
        </w:rPr>
        <w:t>》的批复</w:t>
      </w:r>
    </w:p>
    <w:p w14:paraId="40E6F0C8">
      <w:pPr>
        <w:pStyle w:val="23"/>
        <w:keepNext w:val="0"/>
        <w:keepLines w:val="0"/>
        <w:pageBreakBefore w:val="0"/>
        <w:kinsoku/>
        <w:wordWrap/>
        <w:topLinePunct w:val="0"/>
        <w:bidi w:val="0"/>
        <w:spacing w:line="560" w:lineRule="exact"/>
        <w:ind w:left="0" w:leftChars="0" w:firstLine="0" w:firstLineChars="0"/>
        <w:textAlignment w:val="auto"/>
        <w:rPr>
          <w:rFonts w:hint="default" w:ascii="Times New Roman" w:hAnsi="Times New Roman" w:eastAsia="仿宋_GB2312" w:cs="Times New Roman"/>
          <w:b w:val="0"/>
          <w:bCs/>
          <w:color w:val="auto"/>
          <w:sz w:val="32"/>
          <w:szCs w:val="32"/>
          <w:highlight w:val="none"/>
          <w:lang w:val="en-US" w:eastAsia="zh-CN"/>
        </w:rPr>
      </w:pPr>
    </w:p>
    <w:p w14:paraId="024092C1">
      <w:pPr>
        <w:pStyle w:val="23"/>
        <w:keepNext w:val="0"/>
        <w:keepLines w:val="0"/>
        <w:pageBreakBefore w:val="0"/>
        <w:kinsoku/>
        <w:wordWrap/>
        <w:topLinePunct w:val="0"/>
        <w:bidi w:val="0"/>
        <w:spacing w:line="560" w:lineRule="exact"/>
        <w:ind w:left="0" w:leftChars="0" w:firstLine="0" w:firstLineChars="0"/>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lang w:val="en-US" w:eastAsia="zh-CN"/>
        </w:rPr>
        <w:t>本溪玉晶玻璃有限公司</w:t>
      </w:r>
      <w:r>
        <w:rPr>
          <w:rFonts w:hint="default" w:ascii="Times New Roman" w:hAnsi="Times New Roman" w:eastAsia="仿宋_GB2312" w:cs="Times New Roman"/>
          <w:b w:val="0"/>
          <w:bCs/>
          <w:color w:val="auto"/>
          <w:sz w:val="32"/>
          <w:szCs w:val="32"/>
          <w:highlight w:val="none"/>
        </w:rPr>
        <w:t>：</w:t>
      </w:r>
    </w:p>
    <w:p w14:paraId="71242EFC">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你</w:t>
      </w:r>
      <w:r>
        <w:rPr>
          <w:rFonts w:hint="default" w:ascii="Times New Roman" w:hAnsi="Times New Roman" w:eastAsia="仿宋_GB2312" w:cs="Times New Roman"/>
          <w:b w:val="0"/>
          <w:bCs/>
          <w:color w:val="auto"/>
          <w:sz w:val="32"/>
          <w:szCs w:val="32"/>
          <w:highlight w:val="none"/>
          <w:lang w:val="en-US" w:eastAsia="zh-CN"/>
        </w:rPr>
        <w:t>公司</w:t>
      </w:r>
      <w:r>
        <w:rPr>
          <w:rFonts w:hint="default" w:ascii="Times New Roman" w:hAnsi="Times New Roman" w:eastAsia="仿宋_GB2312" w:cs="Times New Roman"/>
          <w:b w:val="0"/>
          <w:bCs/>
          <w:color w:val="auto"/>
          <w:sz w:val="32"/>
          <w:szCs w:val="32"/>
          <w:highlight w:val="none"/>
        </w:rPr>
        <w:t>报送的《</w:t>
      </w:r>
      <w:r>
        <w:rPr>
          <w:rFonts w:hint="default" w:ascii="Times New Roman" w:hAnsi="Times New Roman" w:eastAsia="仿宋_GB2312" w:cs="Times New Roman"/>
          <w:b w:val="0"/>
          <w:bCs/>
          <w:color w:val="auto"/>
          <w:sz w:val="32"/>
          <w:szCs w:val="32"/>
          <w:highlight w:val="none"/>
          <w:lang w:val="en-US" w:eastAsia="zh-CN"/>
        </w:rPr>
        <w:t>本溪玉晶玻璃有限公司厂区自用混凝土搅拌站建设项目</w:t>
      </w:r>
      <w:r>
        <w:rPr>
          <w:rFonts w:hint="default" w:ascii="Times New Roman" w:hAnsi="Times New Roman" w:eastAsia="仿宋_GB2312" w:cs="Times New Roman"/>
          <w:b w:val="0"/>
          <w:bCs/>
          <w:color w:val="auto"/>
          <w:sz w:val="32"/>
          <w:szCs w:val="32"/>
          <w:highlight w:val="none"/>
        </w:rPr>
        <w:t>环境影响报告表》（以下简称“</w:t>
      </w:r>
      <w:r>
        <w:rPr>
          <w:rFonts w:hint="default" w:ascii="Times New Roman" w:hAnsi="Times New Roman" w:eastAsia="仿宋_GB2312" w:cs="Times New Roman"/>
          <w:b w:val="0"/>
          <w:bCs/>
          <w:color w:val="auto"/>
          <w:sz w:val="32"/>
          <w:szCs w:val="32"/>
          <w:highlight w:val="none"/>
          <w:lang w:val="en-US" w:eastAsia="zh-CN"/>
        </w:rPr>
        <w:t>报告表</w:t>
      </w:r>
      <w:r>
        <w:rPr>
          <w:rFonts w:hint="default" w:ascii="Times New Roman" w:hAnsi="Times New Roman" w:eastAsia="仿宋_GB2312" w:cs="Times New Roman"/>
          <w:b w:val="0"/>
          <w:bCs/>
          <w:color w:val="auto"/>
          <w:sz w:val="32"/>
          <w:szCs w:val="32"/>
          <w:highlight w:val="none"/>
        </w:rPr>
        <w:t>”）已收悉。</w:t>
      </w:r>
      <w:r>
        <w:rPr>
          <w:rFonts w:hint="default" w:ascii="Times New Roman" w:hAnsi="Times New Roman" w:eastAsia="仿宋_GB2312" w:cs="Times New Roman"/>
          <w:b w:val="0"/>
          <w:bCs/>
          <w:color w:val="auto"/>
          <w:sz w:val="32"/>
          <w:szCs w:val="32"/>
          <w:highlight w:val="none"/>
          <w:lang w:val="en-US" w:eastAsia="zh-CN"/>
        </w:rPr>
        <w:t>根据环评专家评审意见及技术评估报告结论</w:t>
      </w:r>
      <w:r>
        <w:rPr>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lang w:val="en-US" w:eastAsia="zh-CN"/>
        </w:rPr>
        <w:t>经我局2026年建设项目审查委员会第三次会议讨论同意，现</w:t>
      </w:r>
      <w:r>
        <w:rPr>
          <w:rFonts w:hint="default" w:ascii="Times New Roman" w:hAnsi="Times New Roman" w:eastAsia="仿宋_GB2312" w:cs="Times New Roman"/>
          <w:b w:val="0"/>
          <w:bCs/>
          <w:color w:val="auto"/>
          <w:sz w:val="32"/>
          <w:szCs w:val="32"/>
          <w:highlight w:val="none"/>
        </w:rPr>
        <w:t>批复如下：</w:t>
      </w:r>
    </w:p>
    <w:p w14:paraId="4F2C7253">
      <w:pPr>
        <w:keepNext w:val="0"/>
        <w:keepLines w:val="0"/>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b w:val="0"/>
          <w:bCs/>
          <w:snapToGrid w:val="0"/>
          <w:color w:val="auto"/>
          <w:sz w:val="32"/>
          <w:szCs w:val="32"/>
          <w:highlight w:val="none"/>
          <w:lang w:val="zh-CN" w:eastAsia="zh-CN"/>
        </w:rPr>
      </w:pPr>
      <w:r>
        <w:rPr>
          <w:rFonts w:hint="default" w:ascii="Times New Roman" w:hAnsi="Times New Roman" w:eastAsia="仿宋_GB2312" w:cs="Times New Roman"/>
          <w:b w:val="0"/>
          <w:bCs/>
          <w:snapToGrid/>
          <w:color w:val="auto"/>
          <w:spacing w:val="0"/>
          <w:kern w:val="2"/>
          <w:sz w:val="32"/>
          <w:szCs w:val="32"/>
          <w:highlight w:val="none"/>
        </w:rPr>
        <w:t>一、</w:t>
      </w:r>
      <w:r>
        <w:rPr>
          <w:rFonts w:hint="default" w:ascii="Times New Roman" w:hAnsi="Times New Roman" w:eastAsia="仿宋_GB2312" w:cs="Times New Roman"/>
          <w:b w:val="0"/>
          <w:bCs/>
          <w:color w:val="auto"/>
          <w:sz w:val="32"/>
          <w:szCs w:val="32"/>
          <w:highlight w:val="none"/>
          <w:lang w:eastAsia="zh-CN"/>
        </w:rPr>
        <w:t>项目</w:t>
      </w:r>
      <w:r>
        <w:rPr>
          <w:rFonts w:hint="default" w:ascii="Times New Roman" w:hAnsi="Times New Roman" w:eastAsia="仿宋_GB2312" w:cs="Times New Roman"/>
          <w:b w:val="0"/>
          <w:bCs/>
          <w:snapToGrid w:val="0"/>
          <w:color w:val="auto"/>
          <w:sz w:val="32"/>
          <w:szCs w:val="32"/>
          <w:highlight w:val="none"/>
          <w:lang w:val="en-US" w:eastAsia="zh-CN"/>
        </w:rPr>
        <w:t>位于辽宁省本溪观音阁经济开发区高官工业园区玉晶玻璃厂院内</w:t>
      </w:r>
      <w:r>
        <w:rPr>
          <w:rFonts w:hint="default" w:ascii="Times New Roman" w:hAnsi="Times New Roman" w:eastAsia="仿宋_GB2312" w:cs="Times New Roman"/>
          <w:b w:val="0"/>
          <w:bCs/>
          <w:snapToGrid w:val="0"/>
          <w:color w:val="auto"/>
          <w:sz w:val="32"/>
          <w:szCs w:val="32"/>
          <w:highlight w:val="none"/>
          <w:lang w:val="zh-CN" w:eastAsia="zh-CN"/>
        </w:rPr>
        <w:t>，</w:t>
      </w:r>
      <w:r>
        <w:rPr>
          <w:rFonts w:hint="default" w:ascii="Times New Roman" w:hAnsi="Times New Roman" w:eastAsia="仿宋_GB2312" w:cs="Times New Roman"/>
          <w:b w:val="0"/>
          <w:bCs/>
          <w:color w:val="auto"/>
          <w:sz w:val="32"/>
          <w:szCs w:val="32"/>
          <w:highlight w:val="none"/>
        </w:rPr>
        <w:t>占地面积</w:t>
      </w:r>
      <w:r>
        <w:rPr>
          <w:rFonts w:hint="default" w:ascii="Times New Roman" w:hAnsi="Times New Roman" w:eastAsia="仿宋_GB2312" w:cs="Times New Roman"/>
          <w:b w:val="0"/>
          <w:bCs/>
          <w:color w:val="auto"/>
          <w:sz w:val="32"/>
          <w:szCs w:val="32"/>
          <w:highlight w:val="none"/>
          <w:lang w:val="en-US" w:eastAsia="zh-CN"/>
        </w:rPr>
        <w:t>6600</w:t>
      </w:r>
      <w:r>
        <w:rPr>
          <w:rFonts w:hint="default" w:ascii="Times New Roman" w:hAnsi="Times New Roman" w:eastAsia="仿宋_GB2312" w:cs="Times New Roman"/>
          <w:b w:val="0"/>
          <w:bCs/>
          <w:color w:val="auto"/>
          <w:sz w:val="32"/>
          <w:szCs w:val="32"/>
          <w:highlight w:val="none"/>
        </w:rPr>
        <w:t>m</w:t>
      </w:r>
      <w:r>
        <w:rPr>
          <w:rFonts w:hint="default" w:ascii="Times New Roman" w:hAnsi="Times New Roman" w:eastAsia="仿宋_GB2312" w:cs="Times New Roman"/>
          <w:b w:val="0"/>
          <w:bCs/>
          <w:color w:val="auto"/>
          <w:sz w:val="32"/>
          <w:szCs w:val="32"/>
          <w:highlight w:val="none"/>
          <w:vertAlign w:val="superscript"/>
        </w:rPr>
        <w:t>2</w:t>
      </w:r>
      <w:r>
        <w:rPr>
          <w:rFonts w:hint="default" w:ascii="Times New Roman" w:hAnsi="Times New Roman" w:eastAsia="仿宋_GB2312" w:cs="Times New Roman"/>
          <w:b w:val="0"/>
          <w:bCs/>
          <w:color w:val="auto"/>
          <w:sz w:val="32"/>
          <w:szCs w:val="32"/>
          <w:highlight w:val="none"/>
        </w:rPr>
        <w:t>，项目总投资</w:t>
      </w:r>
      <w:r>
        <w:rPr>
          <w:rFonts w:hint="default" w:ascii="Times New Roman" w:hAnsi="Times New Roman" w:eastAsia="仿宋_GB2312" w:cs="Times New Roman"/>
          <w:b w:val="0"/>
          <w:bCs/>
          <w:color w:val="auto"/>
          <w:sz w:val="32"/>
          <w:szCs w:val="32"/>
          <w:highlight w:val="none"/>
          <w:lang w:val="en-US" w:eastAsia="zh-CN"/>
        </w:rPr>
        <w:t>85</w:t>
      </w:r>
      <w:r>
        <w:rPr>
          <w:rFonts w:hint="default" w:ascii="Times New Roman" w:hAnsi="Times New Roman" w:eastAsia="仿宋_GB2312" w:cs="Times New Roman"/>
          <w:b w:val="0"/>
          <w:bCs/>
          <w:color w:val="auto"/>
          <w:sz w:val="32"/>
          <w:szCs w:val="32"/>
          <w:highlight w:val="none"/>
        </w:rPr>
        <w:t>万元，环保投资</w:t>
      </w:r>
      <w:r>
        <w:rPr>
          <w:rFonts w:hint="default" w:ascii="Times New Roman" w:hAnsi="Times New Roman" w:eastAsia="仿宋_GB2312" w:cs="Times New Roman"/>
          <w:b w:val="0"/>
          <w:bCs/>
          <w:color w:val="auto"/>
          <w:sz w:val="32"/>
          <w:szCs w:val="32"/>
          <w:highlight w:val="none"/>
          <w:lang w:val="en-US" w:eastAsia="zh-CN"/>
        </w:rPr>
        <w:t>20</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b w:val="0"/>
          <w:bCs/>
          <w:color w:val="auto"/>
          <w:sz w:val="32"/>
          <w:szCs w:val="32"/>
          <w:highlight w:val="none"/>
          <w:lang w:val="en-US" w:eastAsia="zh-CN"/>
        </w:rPr>
        <w:t>环保投资占比23.5</w:t>
      </w:r>
      <w:r>
        <w:rPr>
          <w:rFonts w:hint="default" w:ascii="Times New Roman" w:hAnsi="Times New Roman" w:eastAsia="仿宋_GB2312" w:cs="Times New Roman"/>
          <w:b w:val="0"/>
          <w:bCs/>
          <w:color w:val="auto"/>
          <w:sz w:val="32"/>
          <w:szCs w:val="32"/>
          <w:highlight w:val="none"/>
        </w:rPr>
        <w:t>%</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项目新建</w:t>
      </w:r>
      <w:r>
        <w:rPr>
          <w:rFonts w:hint="default" w:ascii="Times New Roman" w:hAnsi="Times New Roman" w:eastAsia="仿宋_GB2312" w:cs="Times New Roman"/>
          <w:bCs/>
          <w:snapToGrid w:val="0"/>
          <w:color w:val="auto"/>
          <w:sz w:val="32"/>
          <w:szCs w:val="32"/>
          <w:highlight w:val="none"/>
          <w:lang w:val="en-US" w:eastAsia="zh-CN"/>
        </w:rPr>
        <w:t>1条180型号混凝土搅拌生产线、封闭式</w:t>
      </w:r>
      <w:r>
        <w:rPr>
          <w:rFonts w:hint="default" w:ascii="Times New Roman" w:hAnsi="Times New Roman" w:eastAsia="仿宋_GB2312" w:cs="Times New Roman"/>
          <w:bCs/>
          <w:snapToGrid w:val="0"/>
          <w:color w:val="auto"/>
          <w:sz w:val="32"/>
          <w:szCs w:val="32"/>
          <w:highlight w:val="none"/>
          <w:lang w:val="zh-CN" w:eastAsia="zh-CN"/>
        </w:rPr>
        <w:t>搅拌楼、筒仓、原料库</w:t>
      </w:r>
      <w:r>
        <w:rPr>
          <w:rFonts w:hint="default" w:ascii="Times New Roman" w:hAnsi="Times New Roman" w:eastAsia="仿宋_GB2312" w:cs="Times New Roman"/>
          <w:bCs/>
          <w:snapToGrid w:val="0"/>
          <w:color w:val="auto"/>
          <w:sz w:val="32"/>
          <w:szCs w:val="32"/>
          <w:highlight w:val="none"/>
          <w:lang w:val="en-US" w:eastAsia="zh-CN"/>
        </w:rPr>
        <w:t>等</w:t>
      </w:r>
      <w:r>
        <w:rPr>
          <w:rFonts w:hint="default" w:ascii="Times New Roman" w:hAnsi="Times New Roman" w:eastAsia="仿宋_GB2312" w:cs="Times New Roman"/>
          <w:bCs/>
          <w:snapToGrid w:val="0"/>
          <w:color w:val="auto"/>
          <w:sz w:val="32"/>
          <w:szCs w:val="32"/>
          <w:highlight w:val="none"/>
          <w:lang w:val="zh-CN" w:eastAsia="zh-CN"/>
        </w:rPr>
        <w:t>配套附属设施</w:t>
      </w:r>
      <w:r>
        <w:rPr>
          <w:rFonts w:hint="default" w:ascii="Times New Roman" w:hAnsi="Times New Roman" w:eastAsia="仿宋_GB2312" w:cs="Times New Roman"/>
          <w:bCs/>
          <w:snapToGrid w:val="0"/>
          <w:color w:val="auto"/>
          <w:sz w:val="32"/>
          <w:szCs w:val="32"/>
          <w:highlight w:val="none"/>
          <w:lang w:val="en-US" w:eastAsia="zh-CN"/>
        </w:rPr>
        <w:t>。项目建成后</w:t>
      </w:r>
      <w:r>
        <w:rPr>
          <w:rFonts w:hint="eastAsia" w:ascii="Times New Roman" w:hAnsi="Times New Roman" w:eastAsia="仿宋_GB2312" w:cs="Times New Roman"/>
          <w:bCs/>
          <w:snapToGrid w:val="0"/>
          <w:color w:val="auto"/>
          <w:sz w:val="32"/>
          <w:szCs w:val="32"/>
          <w:highlight w:val="none"/>
          <w:lang w:val="en-US" w:eastAsia="zh-CN"/>
        </w:rPr>
        <w:t>，形成</w:t>
      </w:r>
      <w:r>
        <w:rPr>
          <w:rFonts w:hint="default" w:ascii="Times New Roman" w:hAnsi="Times New Roman" w:eastAsia="仿宋_GB2312" w:cs="Times New Roman"/>
          <w:bCs/>
          <w:snapToGrid w:val="0"/>
          <w:color w:val="auto"/>
          <w:sz w:val="32"/>
          <w:szCs w:val="32"/>
          <w:highlight w:val="none"/>
          <w:lang w:val="en-US" w:eastAsia="zh-CN"/>
        </w:rPr>
        <w:t>年产预拌混凝土30万吨</w:t>
      </w:r>
      <w:r>
        <w:rPr>
          <w:rFonts w:hint="eastAsia" w:ascii="Times New Roman" w:hAnsi="Times New Roman" w:eastAsia="仿宋_GB2312" w:cs="Times New Roman"/>
          <w:bCs/>
          <w:snapToGrid w:val="0"/>
          <w:color w:val="auto"/>
          <w:sz w:val="32"/>
          <w:szCs w:val="32"/>
          <w:highlight w:val="none"/>
          <w:lang w:val="en-US" w:eastAsia="zh-CN"/>
        </w:rPr>
        <w:t>的生产能力</w:t>
      </w:r>
      <w:r>
        <w:rPr>
          <w:rFonts w:hint="default" w:ascii="Times New Roman" w:hAnsi="Times New Roman" w:eastAsia="仿宋_GB2312" w:cs="Times New Roman"/>
          <w:bCs/>
          <w:snapToGrid w:val="0"/>
          <w:color w:val="auto"/>
          <w:sz w:val="32"/>
          <w:szCs w:val="32"/>
          <w:highlight w:val="none"/>
          <w:lang w:val="en-US" w:eastAsia="zh-CN"/>
        </w:rPr>
        <w:t>，本商品为自用性质，不外售，</w:t>
      </w:r>
      <w:r>
        <w:rPr>
          <w:rFonts w:hint="eastAsia" w:eastAsia="仿宋_GB2312" w:cs="Times New Roman"/>
          <w:bCs/>
          <w:snapToGrid w:val="0"/>
          <w:color w:val="auto"/>
          <w:sz w:val="32"/>
          <w:szCs w:val="32"/>
          <w:highlight w:val="none"/>
          <w:lang w:val="en-US" w:eastAsia="zh-CN"/>
        </w:rPr>
        <w:t>待厂区现有工程修缮改建完成后拆除</w:t>
      </w:r>
      <w:r>
        <w:rPr>
          <w:rFonts w:hint="default" w:ascii="Times New Roman" w:hAnsi="Times New Roman" w:eastAsia="仿宋_GB2312" w:cs="Times New Roman"/>
          <w:bCs/>
          <w:snapToGrid w:val="0"/>
          <w:color w:val="auto"/>
          <w:sz w:val="32"/>
          <w:szCs w:val="32"/>
          <w:highlight w:val="none"/>
          <w:lang w:val="en-US" w:eastAsia="zh-CN"/>
        </w:rPr>
        <w:t>。</w:t>
      </w:r>
      <w:bookmarkStart w:id="0" w:name="_GoBack"/>
      <w:bookmarkEnd w:id="0"/>
    </w:p>
    <w:p w14:paraId="552A0B55">
      <w:pPr>
        <w:keepNext w:val="0"/>
        <w:keepLines w:val="0"/>
        <w:pageBreakBefore w:val="0"/>
        <w:kinsoku/>
        <w:wordWrap/>
        <w:overflowPunct w:val="0"/>
        <w:topLinePunct w:val="0"/>
        <w:autoSpaceDE w:val="0"/>
        <w:autoSpaceDN w:val="0"/>
        <w:bidi w:val="0"/>
        <w:adjustRightInd w:val="0"/>
        <w:snapToGrid w:val="0"/>
        <w:spacing w:line="560" w:lineRule="exact"/>
        <w:ind w:firstLine="680"/>
        <w:textAlignment w:val="auto"/>
        <w:rPr>
          <w:rFonts w:hint="default" w:ascii="Times New Roman" w:hAnsi="Times New Roman" w:eastAsia="仿宋_GB2312" w:cs="Times New Roman"/>
          <w:b w:val="0"/>
          <w:bCs/>
          <w:snapToGrid w:val="0"/>
          <w:color w:val="auto"/>
          <w:sz w:val="32"/>
          <w:szCs w:val="32"/>
          <w:highlight w:val="none"/>
          <w:lang w:val="en-US" w:eastAsia="zh-CN"/>
        </w:rPr>
      </w:pPr>
      <w:r>
        <w:rPr>
          <w:rFonts w:hint="default" w:ascii="Times New Roman" w:hAnsi="Times New Roman" w:eastAsia="仿宋_GB2312" w:cs="Times New Roman"/>
          <w:b w:val="0"/>
          <w:bCs/>
          <w:snapToGrid w:val="0"/>
          <w:color w:val="auto"/>
          <w:sz w:val="32"/>
          <w:szCs w:val="32"/>
          <w:highlight w:val="none"/>
          <w:lang w:val="en-US" w:eastAsia="zh-CN"/>
        </w:rPr>
        <w:t>根据《产业结构调整指导目录》（2024年本），本项目属于“允许类”项目，符合国家产业政策。在严格落实报告表和本批复提出的各项生态环境保护措施和环境风险防控措施后，从生态环境角度，同意环境影响报告表中所列建设项目地点、生产规模和环境保护措施进行建设。</w:t>
      </w:r>
    </w:p>
    <w:p w14:paraId="77E16100">
      <w:pPr>
        <w:keepNext w:val="0"/>
        <w:keepLines w:val="0"/>
        <w:pageBreakBefore w:val="0"/>
        <w:kinsoku/>
        <w:wordWrap/>
        <w:overflowPunct w:val="0"/>
        <w:topLinePunct w:val="0"/>
        <w:autoSpaceDE w:val="0"/>
        <w:autoSpaceDN w:val="0"/>
        <w:bidi w:val="0"/>
        <w:adjustRightInd w:val="0"/>
        <w:snapToGrid w:val="0"/>
        <w:spacing w:line="560" w:lineRule="exact"/>
        <w:ind w:firstLine="680"/>
        <w:textAlignment w:val="auto"/>
        <w:rPr>
          <w:rFonts w:hint="default" w:ascii="Times New Roman" w:hAnsi="Times New Roman" w:eastAsia="仿宋_GB2312" w:cs="Times New Roman"/>
          <w:b w:val="0"/>
          <w:bCs/>
          <w:snapToGrid w:val="0"/>
          <w:color w:val="auto"/>
          <w:sz w:val="32"/>
          <w:szCs w:val="32"/>
          <w:highlight w:val="none"/>
          <w:lang w:val="en-US" w:eastAsia="zh-CN"/>
        </w:rPr>
      </w:pPr>
      <w:r>
        <w:rPr>
          <w:rFonts w:hint="default" w:ascii="Times New Roman" w:hAnsi="Times New Roman" w:eastAsia="仿宋_GB2312" w:cs="Times New Roman"/>
          <w:b w:val="0"/>
          <w:bCs/>
          <w:snapToGrid w:val="0"/>
          <w:color w:val="auto"/>
          <w:sz w:val="32"/>
          <w:szCs w:val="32"/>
          <w:highlight w:val="none"/>
          <w:lang w:val="en-US" w:eastAsia="zh-CN"/>
        </w:rPr>
        <w:t>二、项目建设应严格落实《报告表》提出的各项环境保护措施和风险防控措施，重点做好以下工作:</w:t>
      </w:r>
    </w:p>
    <w:p w14:paraId="166DDC0D">
      <w:pPr>
        <w:keepNext w:val="0"/>
        <w:keepLines w:val="0"/>
        <w:pageBreakBefore w:val="0"/>
        <w:widowControl w:val="0"/>
        <w:kinsoku/>
        <w:wordWrap/>
        <w:overflowPunct/>
        <w:topLinePunct w:val="0"/>
        <w:autoSpaceDE/>
        <w:autoSpaceDN/>
        <w:bidi w:val="0"/>
        <w:adjustRightInd w:val="0"/>
        <w:snapToGrid w:val="0"/>
        <w:spacing w:line="560" w:lineRule="exact"/>
        <w:ind w:firstLine="680" w:firstLineChars="200"/>
        <w:jc w:val="both"/>
        <w:textAlignment w:val="auto"/>
        <w:rPr>
          <w:rFonts w:hint="default" w:ascii="Times New Roman" w:hAnsi="Times New Roman" w:eastAsia="仿宋_GB2312" w:cs="Times New Roman"/>
          <w:b w:val="0"/>
          <w:bCs/>
          <w:snapToGrid w:val="0"/>
          <w:color w:val="auto"/>
          <w:sz w:val="32"/>
          <w:szCs w:val="32"/>
          <w:highlight w:val="none"/>
          <w:lang w:val="zh-CN" w:eastAsia="zh-CN"/>
        </w:rPr>
      </w:pPr>
      <w:r>
        <w:rPr>
          <w:rFonts w:hint="default" w:ascii="Times New Roman" w:hAnsi="Times New Roman" w:eastAsia="仿宋_GB2312" w:cs="Times New Roman"/>
          <w:b w:val="0"/>
          <w:bCs/>
          <w:snapToGrid w:val="0"/>
          <w:color w:val="auto"/>
          <w:sz w:val="32"/>
          <w:szCs w:val="32"/>
          <w:highlight w:val="none"/>
          <w:lang w:val="en-US" w:eastAsia="zh-CN"/>
        </w:rPr>
        <w:t>(一)严格落实施工期污染防治措施。</w:t>
      </w:r>
      <w:r>
        <w:rPr>
          <w:rFonts w:hint="default" w:ascii="Times New Roman" w:hAnsi="Times New Roman" w:eastAsia="仿宋_GB2312" w:cs="Times New Roman"/>
          <w:color w:val="auto"/>
          <w:sz w:val="32"/>
          <w:szCs w:val="32"/>
          <w:highlight w:val="none"/>
          <w:shd w:val="clear" w:color="auto" w:fill="auto"/>
          <w:lang w:val="en-US" w:eastAsia="zh-CN"/>
        </w:rPr>
        <w:t>通过</w:t>
      </w:r>
      <w:r>
        <w:rPr>
          <w:rFonts w:hint="default" w:ascii="Times New Roman" w:hAnsi="Times New Roman" w:eastAsia="仿宋_GB2312" w:cs="Times New Roman"/>
          <w:b w:val="0"/>
          <w:bCs/>
          <w:color w:val="auto"/>
          <w:sz w:val="32"/>
          <w:szCs w:val="32"/>
          <w:highlight w:val="none"/>
          <w:shd w:val="clear" w:color="auto" w:fill="auto"/>
          <w:lang w:val="en-US" w:eastAsia="zh-CN" w:bidi="ar"/>
        </w:rPr>
        <w:t>设置不低于1.8米高连续、封闭的围挡，采用物料堆放覆盖、工地湿法作业、路面硬化、出入车辆清洗、渣土车辆密闭运输，定时洒水抑尘，同时加强文明施工、合理规划运输路线等措施后，</w:t>
      </w:r>
      <w:r>
        <w:rPr>
          <w:rFonts w:hint="default" w:ascii="Times New Roman" w:hAnsi="Times New Roman" w:eastAsia="仿宋_GB2312" w:cs="Times New Roman"/>
          <w:color w:val="auto"/>
          <w:sz w:val="32"/>
          <w:szCs w:val="32"/>
          <w:highlight w:val="none"/>
          <w:shd w:val="clear" w:color="auto" w:fill="auto"/>
          <w:lang w:val="en-US" w:eastAsia="zh-CN"/>
        </w:rPr>
        <w:t>施工扬尘应满足《施工及堆料场地扬尘排放标准》（DB21/2642-2016）表1中郊区及农村地区排放浓度限值的要求;生活污水依托厂区现有生活污水设施;选用低噪声施工机械、设置围挡，合理安排施工时间，施工期厂界噪声应满足《建筑施工噪声排放标准》（GB12523-2025）排放限值要求；施工建筑垃圾清运至市政部门指定地点处理。生活垃圾集中收集由环卫部门及时清运。</w:t>
      </w:r>
    </w:p>
    <w:p w14:paraId="2271E905">
      <w:pPr>
        <w:keepNext w:val="0"/>
        <w:keepLines w:val="0"/>
        <w:pageBreakBefore w:val="0"/>
        <w:kinsoku/>
        <w:wordWrap/>
        <w:overflowPunct/>
        <w:topLinePunct w:val="0"/>
        <w:autoSpaceDE/>
        <w:autoSpaceDN/>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bCs/>
          <w:color w:val="auto"/>
          <w:sz w:val="32"/>
          <w:szCs w:val="32"/>
          <w:highlight w:val="none"/>
          <w:shd w:val="clear" w:color="auto" w:fill="auto"/>
          <w:lang w:val="en-US" w:eastAsia="zh-CN"/>
        </w:rPr>
      </w:pPr>
      <w:r>
        <w:rPr>
          <w:rFonts w:hint="default" w:ascii="Times New Roman" w:hAnsi="Times New Roman" w:eastAsia="仿宋_GB2312" w:cs="Times New Roman"/>
          <w:b w:val="0"/>
          <w:bCs/>
          <w:snapToGrid w:val="0"/>
          <w:color w:val="auto"/>
          <w:sz w:val="32"/>
          <w:szCs w:val="32"/>
          <w:highlight w:val="none"/>
          <w:lang w:val="zh-CN" w:eastAsia="zh-CN"/>
        </w:rPr>
        <w:t>(二)严格落实大气污染防治措施。</w:t>
      </w: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水泥、粉煤灰筒仓（共计4个）产生的颗粒物经仓顶布袋除尘器（2个）处理后，由21米高的排放筒（DA002-DA003）排放（筒仓高度为18m）；</w:t>
      </w:r>
      <w:r>
        <w:rPr>
          <w:rFonts w:hint="default" w:ascii="Times New Roman" w:hAnsi="Times New Roman" w:eastAsia="仿宋_GB2312" w:cs="Times New Roman"/>
          <w:bCs/>
          <w:snapToGrid w:val="0"/>
          <w:color w:val="auto"/>
          <w:spacing w:val="10"/>
          <w:kern w:val="0"/>
          <w:sz w:val="32"/>
          <w:szCs w:val="32"/>
          <w:highlight w:val="none"/>
          <w:lang w:val="en-US" w:eastAsia="zh-CN" w:bidi="ar"/>
        </w:rPr>
        <w:t>混合搅拌过程均在封闭搅拌楼内中进行，颗粒物经布袋除尘器处理后，由1根15m高排气筒排放（DA001）排放；</w:t>
      </w: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颗粒物排放浓度应满足《水泥工业大气污染物排放标准》（GB4915-2013）及其修改单表2中大气污染物特别排放</w:t>
      </w:r>
      <w:r>
        <w:rPr>
          <w:rFonts w:hint="default" w:ascii="Times New Roman" w:hAnsi="Times New Roman" w:eastAsia="仿宋_GB2312" w:cs="Times New Roman"/>
          <w:b w:val="0"/>
          <w:bCs/>
          <w:snapToGrid w:val="0"/>
          <w:color w:val="auto"/>
          <w:spacing w:val="10"/>
          <w:kern w:val="0"/>
          <w:sz w:val="32"/>
          <w:szCs w:val="32"/>
          <w:highlight w:val="none"/>
          <w:lang w:val="zh-CN" w:eastAsia="zh-CN" w:bidi="ar"/>
        </w:rPr>
        <w:t>限值要求</w:t>
      </w: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w:t>
      </w:r>
      <w:r>
        <w:rPr>
          <w:rFonts w:hint="default" w:ascii="Times New Roman" w:hAnsi="Times New Roman" w:eastAsia="仿宋_GB2312" w:cs="Times New Roman"/>
          <w:color w:val="auto"/>
          <w:kern w:val="2"/>
          <w:sz w:val="32"/>
          <w:szCs w:val="32"/>
          <w:highlight w:val="none"/>
          <w:shd w:val="clear" w:color="auto" w:fill="auto"/>
          <w:lang w:val="en-US" w:eastAsia="zh-CN" w:bidi="ar-SA"/>
        </w:rPr>
        <w:t>项目采用</w:t>
      </w:r>
      <w:r>
        <w:rPr>
          <w:rFonts w:hint="default" w:ascii="Times New Roman" w:hAnsi="Times New Roman" w:eastAsia="仿宋_GB2312" w:cs="Times New Roman"/>
          <w:bCs w:val="0"/>
          <w:color w:val="auto"/>
          <w:sz w:val="32"/>
          <w:szCs w:val="32"/>
          <w:highlight w:val="none"/>
          <w:shd w:val="clear" w:color="auto" w:fill="auto"/>
          <w:lang w:val="en-US" w:eastAsia="zh-CN"/>
        </w:rPr>
        <w:t>封闭式搅拌楼、封闭式料仓、</w:t>
      </w:r>
      <w:r>
        <w:rPr>
          <w:rFonts w:hint="default" w:ascii="Times New Roman" w:hAnsi="Times New Roman" w:eastAsia="仿宋_GB2312" w:cs="Times New Roman"/>
          <w:color w:val="auto"/>
          <w:kern w:val="2"/>
          <w:sz w:val="32"/>
          <w:szCs w:val="32"/>
          <w:highlight w:val="none"/>
          <w:shd w:val="clear" w:color="auto" w:fill="auto"/>
          <w:lang w:val="en-US" w:eastAsia="zh-CN" w:bidi="ar-SA"/>
        </w:rPr>
        <w:t>原料采用封闭式输送带运输，原料仓库堆存、装卸产生的粉尘及车辆运输扬尘，经洒水等降尘措施后，厂界颗粒物无组织排放浓度应满足《水泥工业大气污染物排放标准》（GB4915-2013）及其修改单表3大气污染物无组织排放限值要求。</w:t>
      </w:r>
    </w:p>
    <w:p w14:paraId="40C9B4B0">
      <w:pPr>
        <w:keepNext w:val="0"/>
        <w:keepLines w:val="0"/>
        <w:pageBreakBefore w:val="0"/>
        <w:widowControl w:val="0"/>
        <w:kinsoku/>
        <w:wordWrap/>
        <w:overflowPunct/>
        <w:topLinePunct w:val="0"/>
        <w:autoSpaceDE/>
        <w:autoSpaceDN/>
        <w:bidi w:val="0"/>
        <w:adjustRightInd/>
        <w:snapToGrid/>
        <w:spacing w:line="560" w:lineRule="exact"/>
        <w:ind w:firstLine="680" w:firstLineChars="200"/>
        <w:jc w:val="left"/>
        <w:textAlignment w:val="auto"/>
        <w:rPr>
          <w:rFonts w:hint="default" w:ascii="Times New Roman" w:hAnsi="Times New Roman" w:eastAsia="仿宋_GB2312" w:cs="Times New Roman"/>
          <w:b w:val="0"/>
          <w:bCs w:val="0"/>
          <w:color w:val="auto"/>
          <w:sz w:val="32"/>
          <w:szCs w:val="32"/>
          <w:highlight w:val="none"/>
          <w:shd w:val="clear" w:color="auto" w:fill="auto"/>
          <w:lang w:val="en-US" w:eastAsia="zh-CN"/>
        </w:rPr>
      </w:pPr>
      <w:r>
        <w:rPr>
          <w:rFonts w:hint="default" w:ascii="Times New Roman" w:hAnsi="Times New Roman" w:eastAsia="仿宋_GB2312" w:cs="Times New Roman"/>
          <w:b w:val="0"/>
          <w:bCs/>
          <w:snapToGrid w:val="0"/>
          <w:color w:val="auto"/>
          <w:sz w:val="32"/>
          <w:szCs w:val="32"/>
          <w:highlight w:val="none"/>
          <w:lang w:val="en-US" w:eastAsia="zh-CN"/>
        </w:rPr>
        <w:t>（三）</w:t>
      </w:r>
      <w:r>
        <w:rPr>
          <w:rFonts w:hint="default" w:ascii="Times New Roman" w:hAnsi="Times New Roman" w:eastAsia="仿宋_GB2312" w:cs="Times New Roman"/>
          <w:b w:val="0"/>
          <w:bCs/>
          <w:snapToGrid w:val="0"/>
          <w:color w:val="auto"/>
          <w:sz w:val="32"/>
          <w:szCs w:val="32"/>
          <w:highlight w:val="none"/>
          <w:lang w:val="zh-CN" w:eastAsia="zh-CN"/>
        </w:rPr>
        <w:t>严格落实水污染防治措施。项目运营期，产生的搅拌机清洗废水、罐车清洗废水以及车辆清洗废水统一汇入TW001沉淀池（容积120m³）进行初步处理；处理后</w:t>
      </w:r>
      <w:r>
        <w:rPr>
          <w:rFonts w:hint="default" w:ascii="Times New Roman" w:hAnsi="Times New Roman" w:eastAsia="仿宋_GB2312" w:cs="Times New Roman"/>
          <w:b w:val="0"/>
          <w:bCs/>
          <w:snapToGrid w:val="0"/>
          <w:color w:val="auto"/>
          <w:sz w:val="32"/>
          <w:szCs w:val="32"/>
          <w:highlight w:val="none"/>
          <w:lang w:val="en-US" w:eastAsia="zh-CN"/>
        </w:rPr>
        <w:t>的</w:t>
      </w:r>
      <w:r>
        <w:rPr>
          <w:rFonts w:hint="default" w:ascii="Times New Roman" w:hAnsi="Times New Roman" w:eastAsia="仿宋_GB2312" w:cs="Times New Roman"/>
          <w:b w:val="0"/>
          <w:bCs/>
          <w:snapToGrid w:val="0"/>
          <w:color w:val="auto"/>
          <w:sz w:val="32"/>
          <w:szCs w:val="32"/>
          <w:highlight w:val="none"/>
          <w:lang w:val="zh-CN" w:eastAsia="zh-CN"/>
        </w:rPr>
        <w:t>废水</w:t>
      </w:r>
      <w:r>
        <w:rPr>
          <w:rFonts w:hint="default" w:ascii="Times New Roman" w:hAnsi="Times New Roman" w:eastAsia="仿宋_GB2312" w:cs="Times New Roman"/>
          <w:b w:val="0"/>
          <w:bCs/>
          <w:snapToGrid w:val="0"/>
          <w:color w:val="auto"/>
          <w:sz w:val="32"/>
          <w:szCs w:val="32"/>
          <w:highlight w:val="none"/>
          <w:lang w:val="en-US" w:eastAsia="zh-CN"/>
        </w:rPr>
        <w:t>经</w:t>
      </w:r>
      <w:r>
        <w:rPr>
          <w:rFonts w:hint="default" w:ascii="Times New Roman" w:hAnsi="Times New Roman" w:eastAsia="仿宋_GB2312" w:cs="Times New Roman"/>
          <w:b w:val="0"/>
          <w:bCs/>
          <w:snapToGrid w:val="0"/>
          <w:color w:val="auto"/>
          <w:sz w:val="32"/>
          <w:szCs w:val="32"/>
          <w:highlight w:val="none"/>
          <w:lang w:val="zh-CN" w:eastAsia="zh-CN"/>
        </w:rPr>
        <w:t>TW002澄清池（容积120m³）深度澄清处理</w:t>
      </w:r>
      <w:r>
        <w:rPr>
          <w:rFonts w:hint="default" w:ascii="Times New Roman" w:hAnsi="Times New Roman" w:eastAsia="仿宋_GB2312" w:cs="Times New Roman"/>
          <w:b w:val="0"/>
          <w:bCs/>
          <w:snapToGrid w:val="0"/>
          <w:color w:val="auto"/>
          <w:sz w:val="32"/>
          <w:szCs w:val="32"/>
          <w:highlight w:val="none"/>
          <w:lang w:val="en-US" w:eastAsia="zh-CN"/>
        </w:rPr>
        <w:t>后，全部</w:t>
      </w:r>
      <w:r>
        <w:rPr>
          <w:rFonts w:hint="default" w:ascii="Times New Roman" w:hAnsi="Times New Roman" w:eastAsia="仿宋_GB2312" w:cs="Times New Roman"/>
          <w:b w:val="0"/>
          <w:bCs/>
          <w:snapToGrid w:val="0"/>
          <w:color w:val="auto"/>
          <w:sz w:val="32"/>
          <w:szCs w:val="32"/>
          <w:highlight w:val="none"/>
          <w:lang w:val="zh-CN" w:eastAsia="zh-CN"/>
        </w:rPr>
        <w:t>回用于生产工序，</w:t>
      </w:r>
      <w:r>
        <w:rPr>
          <w:rFonts w:hint="default" w:ascii="Times New Roman" w:hAnsi="Times New Roman" w:eastAsia="仿宋_GB2312" w:cs="Times New Roman"/>
          <w:b w:val="0"/>
          <w:bCs/>
          <w:snapToGrid w:val="0"/>
          <w:color w:val="auto"/>
          <w:sz w:val="32"/>
          <w:szCs w:val="32"/>
          <w:highlight w:val="none"/>
          <w:lang w:val="en-US" w:eastAsia="zh-CN"/>
        </w:rPr>
        <w:t>不外排</w:t>
      </w:r>
      <w:r>
        <w:rPr>
          <w:rFonts w:hint="default" w:ascii="Times New Roman" w:hAnsi="Times New Roman" w:eastAsia="仿宋_GB2312" w:cs="Times New Roman"/>
          <w:b w:val="0"/>
          <w:bCs/>
          <w:snapToGrid w:val="0"/>
          <w:color w:val="auto"/>
          <w:sz w:val="32"/>
          <w:szCs w:val="32"/>
          <w:highlight w:val="none"/>
          <w:lang w:val="zh-CN" w:eastAsia="zh-CN"/>
        </w:rPr>
        <w:t>。初期雨水</w:t>
      </w:r>
      <w:r>
        <w:rPr>
          <w:rFonts w:hint="default" w:ascii="Times New Roman" w:hAnsi="Times New Roman" w:eastAsia="仿宋_GB2312" w:cs="Times New Roman"/>
          <w:b w:val="0"/>
          <w:bCs/>
          <w:snapToGrid w:val="0"/>
          <w:color w:val="auto"/>
          <w:sz w:val="32"/>
          <w:szCs w:val="32"/>
          <w:highlight w:val="none"/>
          <w:lang w:val="en-US" w:eastAsia="zh-CN"/>
        </w:rPr>
        <w:t>经</w:t>
      </w:r>
      <w:r>
        <w:rPr>
          <w:rFonts w:hint="default" w:ascii="Times New Roman" w:hAnsi="Times New Roman" w:eastAsia="仿宋_GB2312" w:cs="Times New Roman"/>
          <w:b w:val="0"/>
          <w:bCs/>
          <w:snapToGrid w:val="0"/>
          <w:color w:val="auto"/>
          <w:sz w:val="32"/>
          <w:szCs w:val="32"/>
          <w:highlight w:val="none"/>
          <w:lang w:val="zh-CN" w:eastAsia="zh-CN"/>
        </w:rPr>
        <w:t>初期雨水收集池TW003（容积120m³）</w:t>
      </w:r>
      <w:r>
        <w:rPr>
          <w:rFonts w:hint="default" w:ascii="Times New Roman" w:hAnsi="Times New Roman" w:eastAsia="仿宋_GB2312" w:cs="Times New Roman"/>
          <w:b w:val="0"/>
          <w:bCs/>
          <w:snapToGrid w:val="0"/>
          <w:color w:val="auto"/>
          <w:sz w:val="32"/>
          <w:szCs w:val="32"/>
          <w:highlight w:val="none"/>
          <w:lang w:val="en-US" w:eastAsia="zh-CN"/>
        </w:rPr>
        <w:t>收集、</w:t>
      </w:r>
      <w:r>
        <w:rPr>
          <w:rFonts w:hint="default" w:ascii="Times New Roman" w:hAnsi="Times New Roman" w:eastAsia="仿宋_GB2312" w:cs="Times New Roman"/>
          <w:b w:val="0"/>
          <w:bCs/>
          <w:snapToGrid w:val="0"/>
          <w:color w:val="auto"/>
          <w:sz w:val="32"/>
          <w:szCs w:val="32"/>
          <w:highlight w:val="none"/>
          <w:lang w:val="zh-CN" w:eastAsia="zh-CN"/>
        </w:rPr>
        <w:t>沉淀后，用于厂区道路洒水抑尘，</w:t>
      </w:r>
      <w:r>
        <w:rPr>
          <w:rFonts w:hint="default" w:ascii="Times New Roman" w:hAnsi="Times New Roman" w:eastAsia="仿宋_GB2312" w:cs="Times New Roman"/>
          <w:b w:val="0"/>
          <w:bCs/>
          <w:snapToGrid w:val="0"/>
          <w:color w:val="auto"/>
          <w:sz w:val="32"/>
          <w:szCs w:val="32"/>
          <w:highlight w:val="none"/>
          <w:lang w:val="en-US" w:eastAsia="zh-CN"/>
        </w:rPr>
        <w:t>不外排</w:t>
      </w:r>
      <w:r>
        <w:rPr>
          <w:rFonts w:hint="default" w:ascii="Times New Roman" w:hAnsi="Times New Roman" w:eastAsia="仿宋_GB2312" w:cs="Times New Roman"/>
          <w:b w:val="0"/>
          <w:bCs/>
          <w:snapToGrid w:val="0"/>
          <w:color w:val="auto"/>
          <w:sz w:val="32"/>
          <w:szCs w:val="32"/>
          <w:highlight w:val="none"/>
          <w:lang w:val="zh-CN" w:eastAsia="zh-CN"/>
        </w:rPr>
        <w:t>。</w:t>
      </w:r>
    </w:p>
    <w:p w14:paraId="4D6412B6">
      <w:pPr>
        <w:keepNext w:val="0"/>
        <w:keepLines w:val="0"/>
        <w:pageBreakBefore w:val="0"/>
        <w:kinsoku/>
        <w:wordWrap/>
        <w:topLinePunct w:val="0"/>
        <w:bidi w:val="0"/>
        <w:spacing w:line="560" w:lineRule="exact"/>
        <w:ind w:firstLine="680" w:firstLineChars="200"/>
        <w:textAlignment w:val="auto"/>
        <w:rPr>
          <w:rFonts w:hint="default" w:ascii="Times New Roman" w:hAnsi="Times New Roman" w:eastAsia="仿宋_GB2312" w:cs="Times New Roman"/>
          <w:b w:val="0"/>
          <w:bCs/>
          <w:snapToGrid w:val="0"/>
          <w:color w:val="auto"/>
          <w:spacing w:val="10"/>
          <w:kern w:val="0"/>
          <w:sz w:val="32"/>
          <w:szCs w:val="32"/>
          <w:highlight w:val="none"/>
          <w:lang w:val="en-US" w:eastAsia="zh-CN" w:bidi="ar"/>
        </w:rPr>
      </w:pP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(四)严格落实噪声污染防治措施。项目运营期通过选用低噪声的设备、基础减振及厂房隔声等综合降噪措施后，</w:t>
      </w:r>
      <w:r>
        <w:rPr>
          <w:rFonts w:hint="default" w:ascii="Times New Roman" w:hAnsi="Times New Roman" w:eastAsia="仿宋_GB2312" w:cs="Times New Roman"/>
          <w:color w:val="auto"/>
          <w:sz w:val="32"/>
          <w:szCs w:val="32"/>
          <w:highlight w:val="none"/>
          <w:lang w:bidi="ar"/>
        </w:rPr>
        <w:t>厂界</w:t>
      </w:r>
      <w:r>
        <w:rPr>
          <w:rFonts w:hint="default" w:ascii="Times New Roman" w:hAnsi="Times New Roman" w:eastAsia="仿宋_GB2312" w:cs="Times New Roman"/>
          <w:color w:val="auto"/>
          <w:sz w:val="32"/>
          <w:szCs w:val="32"/>
          <w:highlight w:val="none"/>
          <w:lang w:val="en-US" w:eastAsia="zh-CN" w:bidi="ar"/>
        </w:rPr>
        <w:t>西侧</w:t>
      </w:r>
      <w:r>
        <w:rPr>
          <w:rFonts w:hint="default" w:ascii="Times New Roman" w:hAnsi="Times New Roman" w:eastAsia="仿宋_GB2312" w:cs="Times New Roman"/>
          <w:color w:val="auto"/>
          <w:sz w:val="32"/>
          <w:szCs w:val="32"/>
          <w:highlight w:val="none"/>
          <w:lang w:bidi="ar"/>
        </w:rPr>
        <w:t>噪声</w:t>
      </w:r>
      <w:r>
        <w:rPr>
          <w:rFonts w:hint="default" w:ascii="Times New Roman" w:hAnsi="Times New Roman" w:eastAsia="仿宋_GB2312" w:cs="Times New Roman"/>
          <w:color w:val="auto"/>
          <w:sz w:val="32"/>
          <w:szCs w:val="32"/>
          <w:highlight w:val="none"/>
          <w:lang w:val="en-US" w:eastAsia="zh-CN" w:bidi="ar"/>
        </w:rPr>
        <w:t>应满足</w:t>
      </w:r>
      <w:r>
        <w:rPr>
          <w:rFonts w:hint="default" w:ascii="Times New Roman" w:hAnsi="Times New Roman" w:eastAsia="仿宋_GB2312" w:cs="Times New Roman"/>
          <w:color w:val="auto"/>
          <w:sz w:val="32"/>
          <w:szCs w:val="32"/>
          <w:highlight w:val="none"/>
          <w:lang w:bidi="ar"/>
        </w:rPr>
        <w:t>《工业企业厂界环境噪声排放标准》（GB12348-2008）中</w:t>
      </w:r>
      <w:r>
        <w:rPr>
          <w:rFonts w:hint="default" w:ascii="Times New Roman" w:hAnsi="Times New Roman" w:eastAsia="仿宋_GB2312" w:cs="Times New Roman"/>
          <w:color w:val="auto"/>
          <w:sz w:val="32"/>
          <w:szCs w:val="32"/>
          <w:highlight w:val="none"/>
          <w:lang w:val="en-US" w:eastAsia="zh-CN" w:bidi="ar"/>
        </w:rPr>
        <w:t>2</w:t>
      </w:r>
      <w:r>
        <w:rPr>
          <w:rFonts w:hint="default" w:ascii="Times New Roman" w:hAnsi="Times New Roman" w:eastAsia="仿宋_GB2312" w:cs="Times New Roman"/>
          <w:color w:val="auto"/>
          <w:sz w:val="32"/>
          <w:szCs w:val="32"/>
          <w:highlight w:val="none"/>
          <w:lang w:bidi="ar"/>
        </w:rPr>
        <w:t>类标准限值</w:t>
      </w:r>
      <w:r>
        <w:rPr>
          <w:rFonts w:hint="default" w:ascii="Times New Roman" w:hAnsi="Times New Roman" w:eastAsia="仿宋_GB2312" w:cs="Times New Roman"/>
          <w:color w:val="auto"/>
          <w:sz w:val="32"/>
          <w:szCs w:val="32"/>
          <w:highlight w:val="none"/>
          <w:lang w:eastAsia="zh-CN" w:bidi="ar"/>
        </w:rPr>
        <w:t>，其余厂界</w:t>
      </w:r>
      <w:r>
        <w:rPr>
          <w:rFonts w:hint="default" w:ascii="Times New Roman" w:hAnsi="Times New Roman" w:eastAsia="仿宋_GB2312" w:cs="Times New Roman"/>
          <w:color w:val="auto"/>
          <w:sz w:val="32"/>
          <w:szCs w:val="32"/>
          <w:highlight w:val="none"/>
          <w:lang w:val="en-US" w:eastAsia="zh-CN" w:bidi="ar"/>
        </w:rPr>
        <w:t>应满足</w:t>
      </w:r>
      <w:r>
        <w:rPr>
          <w:rFonts w:hint="default" w:ascii="Times New Roman" w:hAnsi="Times New Roman" w:eastAsia="仿宋_GB2312" w:cs="Times New Roman"/>
          <w:color w:val="auto"/>
          <w:sz w:val="32"/>
          <w:szCs w:val="32"/>
          <w:highlight w:val="none"/>
          <w:lang w:bidi="ar"/>
        </w:rPr>
        <w:t>《工业企业厂界环境噪声排放标准》（GB12348-2008）</w:t>
      </w:r>
      <w:r>
        <w:rPr>
          <w:rFonts w:hint="default" w:ascii="Times New Roman" w:hAnsi="Times New Roman" w:eastAsia="仿宋_GB2312" w:cs="Times New Roman"/>
          <w:color w:val="auto"/>
          <w:sz w:val="32"/>
          <w:szCs w:val="32"/>
          <w:highlight w:val="none"/>
          <w:lang w:val="en-US" w:eastAsia="zh-CN" w:bidi="ar"/>
        </w:rPr>
        <w:t>3</w:t>
      </w:r>
      <w:r>
        <w:rPr>
          <w:rFonts w:hint="default" w:ascii="Times New Roman" w:hAnsi="Times New Roman" w:eastAsia="仿宋_GB2312" w:cs="Times New Roman"/>
          <w:color w:val="auto"/>
          <w:sz w:val="32"/>
          <w:szCs w:val="32"/>
          <w:highlight w:val="none"/>
          <w:lang w:bidi="ar"/>
        </w:rPr>
        <w:t>类标准限值。</w:t>
      </w:r>
    </w:p>
    <w:p w14:paraId="3C68023B">
      <w:pPr>
        <w:keepNext w:val="0"/>
        <w:keepLines w:val="0"/>
        <w:pageBreakBefore w:val="0"/>
        <w:numPr>
          <w:ilvl w:val="0"/>
          <w:numId w:val="0"/>
        </w:numPr>
        <w:kinsoku/>
        <w:wordWrap/>
        <w:overflowPunct w:val="0"/>
        <w:topLinePunct w:val="0"/>
        <w:autoSpaceDE w:val="0"/>
        <w:autoSpaceDN w:val="0"/>
        <w:bidi w:val="0"/>
        <w:adjustRightInd w:val="0"/>
        <w:snapToGrid w:val="0"/>
        <w:spacing w:line="560" w:lineRule="exact"/>
        <w:ind w:firstLine="680" w:firstLineChars="200"/>
        <w:textAlignment w:val="auto"/>
        <w:rPr>
          <w:rFonts w:hint="default" w:ascii="Times New Roman" w:hAnsi="Times New Roman" w:eastAsia="仿宋_GB2312" w:cs="Times New Roman"/>
          <w:b w:val="0"/>
          <w:bCs/>
          <w:snapToGrid w:val="0"/>
          <w:color w:val="auto"/>
          <w:spacing w:val="10"/>
          <w:kern w:val="0"/>
          <w:sz w:val="32"/>
          <w:szCs w:val="32"/>
          <w:highlight w:val="none"/>
          <w:lang w:val="en-US" w:eastAsia="zh-CN" w:bidi="ar"/>
        </w:rPr>
      </w:pP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(五)严格落实固体废物污染防控措施。项目运营期产生的</w:t>
      </w:r>
      <w:r>
        <w:rPr>
          <w:rFonts w:hint="default" w:ascii="Times New Roman" w:hAnsi="Times New Roman" w:eastAsia="仿宋_GB2312" w:cs="Times New Roman"/>
          <w:bCs/>
          <w:color w:val="auto"/>
          <w:sz w:val="32"/>
          <w:szCs w:val="32"/>
          <w:highlight w:val="none"/>
          <w:lang w:val="en-US" w:eastAsia="zh-CN" w:bidi="ar"/>
        </w:rPr>
        <w:t>粉尘和泥沙</w:t>
      </w:r>
      <w:r>
        <w:rPr>
          <w:rFonts w:hint="default" w:ascii="Times New Roman" w:hAnsi="Times New Roman" w:eastAsia="仿宋_GB2312" w:cs="Times New Roman"/>
          <w:b w:val="0"/>
          <w:bCs/>
          <w:color w:val="auto"/>
          <w:sz w:val="32"/>
          <w:szCs w:val="32"/>
          <w:highlight w:val="none"/>
          <w:lang w:bidi="ar"/>
        </w:rPr>
        <w:t>收集后作为原料全部回用</w:t>
      </w: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w:t>
      </w:r>
      <w:r>
        <w:rPr>
          <w:rFonts w:hint="default" w:ascii="Times New Roman" w:hAnsi="Times New Roman" w:eastAsia="仿宋_GB2312" w:cs="Times New Roman"/>
          <w:b w:val="0"/>
          <w:bCs/>
          <w:color w:val="auto"/>
          <w:sz w:val="32"/>
          <w:szCs w:val="32"/>
          <w:highlight w:val="none"/>
          <w:lang w:val="en-US" w:eastAsia="zh-CN" w:bidi="ar"/>
        </w:rPr>
        <w:t>废布袋收集后厂家回收</w:t>
      </w:r>
      <w:r>
        <w:rPr>
          <w:rFonts w:hint="default" w:ascii="Times New Roman" w:hAnsi="Times New Roman" w:eastAsia="仿宋_GB2312" w:cs="Times New Roman"/>
          <w:b w:val="0"/>
          <w:bCs/>
          <w:snapToGrid/>
          <w:color w:val="auto"/>
          <w:spacing w:val="0"/>
          <w:kern w:val="2"/>
          <w:sz w:val="32"/>
          <w:szCs w:val="32"/>
          <w:highlight w:val="none"/>
          <w:shd w:val="clear" w:color="auto" w:fill="auto"/>
          <w:lang w:val="zh-TW" w:eastAsia="zh-CN" w:bidi="ar-SA"/>
        </w:rPr>
        <w:t>，一般固体废物应满足</w:t>
      </w: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《一般工业固体废物贮存和填埋污染控制标准》(GB18599-2020)要求；</w:t>
      </w:r>
      <w:r>
        <w:rPr>
          <w:rFonts w:hint="default" w:ascii="Times New Roman" w:hAnsi="Times New Roman" w:eastAsia="仿宋_GB2312" w:cs="Times New Roman"/>
          <w:bCs/>
          <w:color w:val="auto"/>
          <w:sz w:val="32"/>
          <w:szCs w:val="32"/>
          <w:highlight w:val="none"/>
          <w:lang w:bidi="ar"/>
        </w:rPr>
        <w:t>废机油</w:t>
      </w:r>
      <w:r>
        <w:rPr>
          <w:rFonts w:hint="default" w:ascii="Times New Roman" w:hAnsi="Times New Roman" w:eastAsia="仿宋_GB2312" w:cs="Times New Roman"/>
          <w:bCs/>
          <w:color w:val="auto"/>
          <w:sz w:val="32"/>
          <w:szCs w:val="32"/>
          <w:highlight w:val="none"/>
          <w:lang w:val="en-US" w:eastAsia="zh-CN" w:bidi="ar"/>
        </w:rPr>
        <w:t>、废油桶以及废油抹布、废手套依托厂区已建设</w:t>
      </w: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的危废贮存库，定期交有资质的单位处置，危险废物的收集、贮存应满足《危险废物贮存污染控制标准》(GB18597-2023)相关要求；项目生活垃圾收集后由当地环卫部门统一清运。</w:t>
      </w:r>
    </w:p>
    <w:p w14:paraId="39D5E4A4">
      <w:pPr>
        <w:keepNext w:val="0"/>
        <w:keepLines w:val="0"/>
        <w:pageBreakBefore w:val="0"/>
        <w:numPr>
          <w:ilvl w:val="0"/>
          <w:numId w:val="0"/>
        </w:numPr>
        <w:kinsoku/>
        <w:wordWrap/>
        <w:overflowPunct w:val="0"/>
        <w:topLinePunct w:val="0"/>
        <w:autoSpaceDE w:val="0"/>
        <w:autoSpaceDN w:val="0"/>
        <w:bidi w:val="0"/>
        <w:adjustRightInd w:val="0"/>
        <w:snapToGrid w:val="0"/>
        <w:spacing w:line="560" w:lineRule="exact"/>
        <w:ind w:firstLine="680" w:firstLineChars="200"/>
        <w:textAlignment w:val="auto"/>
        <w:rPr>
          <w:rFonts w:hint="default" w:ascii="Times New Roman" w:hAnsi="Times New Roman" w:eastAsia="仿宋_GB2312" w:cs="Times New Roman"/>
          <w:b w:val="0"/>
          <w:bCs/>
          <w:color w:val="auto"/>
          <w:sz w:val="32"/>
          <w:szCs w:val="32"/>
          <w:highlight w:val="none"/>
          <w:lang w:eastAsia="zh-CN"/>
        </w:rPr>
      </w:pP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(六)加强土壤及地下水环境管理。项目采取分区防渗措施，</w:t>
      </w:r>
      <w:r>
        <w:rPr>
          <w:rFonts w:hint="default" w:ascii="Times New Roman" w:hAnsi="Times New Roman" w:eastAsia="仿宋_GB2312" w:cs="Times New Roman"/>
          <w:bCs/>
          <w:color w:val="auto"/>
          <w:sz w:val="32"/>
          <w:szCs w:val="32"/>
          <w:highlight w:val="none"/>
          <w:lang w:val="en-US" w:eastAsia="zh-CN" w:bidi="ar"/>
        </w:rPr>
        <w:t>澄清池、沉淀池、初期雨水池、</w:t>
      </w:r>
      <w:r>
        <w:rPr>
          <w:rFonts w:hint="default" w:ascii="Times New Roman" w:hAnsi="Times New Roman" w:eastAsia="仿宋_GB2312" w:cs="Times New Roman"/>
          <w:b w:val="0"/>
          <w:bCs/>
          <w:color w:val="auto"/>
          <w:sz w:val="32"/>
          <w:szCs w:val="32"/>
          <w:highlight w:val="none"/>
          <w:lang w:val="en-US" w:eastAsia="zh-CN" w:bidi="ar"/>
        </w:rPr>
        <w:t>减水剂罐</w:t>
      </w:r>
      <w:r>
        <w:rPr>
          <w:rFonts w:hint="default" w:ascii="Times New Roman" w:hAnsi="Times New Roman" w:eastAsia="仿宋_GB2312" w:cs="Times New Roman"/>
          <w:b w:val="0"/>
          <w:bCs/>
          <w:color w:val="auto"/>
          <w:sz w:val="32"/>
          <w:szCs w:val="32"/>
          <w:highlight w:val="none"/>
          <w:lang w:val="en-US" w:eastAsia="zh-CN"/>
        </w:rPr>
        <w:t>作为</w:t>
      </w:r>
      <w:r>
        <w:rPr>
          <w:rFonts w:hint="default" w:ascii="Times New Roman" w:hAnsi="Times New Roman" w:eastAsia="仿宋_GB2312" w:cs="Times New Roman"/>
          <w:b w:val="0"/>
          <w:bCs/>
          <w:color w:val="auto"/>
          <w:sz w:val="32"/>
          <w:szCs w:val="32"/>
          <w:highlight w:val="none"/>
        </w:rPr>
        <w:t>重点</w:t>
      </w:r>
      <w:r>
        <w:rPr>
          <w:rFonts w:hint="default" w:ascii="Times New Roman" w:hAnsi="Times New Roman" w:eastAsia="仿宋_GB2312" w:cs="Times New Roman"/>
          <w:b w:val="0"/>
          <w:bCs/>
          <w:color w:val="auto"/>
          <w:sz w:val="32"/>
          <w:szCs w:val="32"/>
          <w:highlight w:val="none"/>
          <w:lang w:val="en-US" w:eastAsia="zh-CN"/>
        </w:rPr>
        <w:t>防渗区</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bidi="ar"/>
        </w:rPr>
        <w:t>（Mb≥6.0m，K≤1.0×10</w:t>
      </w:r>
      <w:r>
        <w:rPr>
          <w:rFonts w:hint="default" w:ascii="Times New Roman" w:hAnsi="Times New Roman" w:eastAsia="仿宋_GB2312" w:cs="Times New Roman"/>
          <w:b w:val="0"/>
          <w:bCs/>
          <w:snapToGrid w:val="0"/>
          <w:color w:val="auto"/>
          <w:spacing w:val="10"/>
          <w:kern w:val="0"/>
          <w:sz w:val="32"/>
          <w:szCs w:val="32"/>
          <w:highlight w:val="none"/>
          <w:shd w:val="clear" w:color="auto" w:fill="auto"/>
          <w:vertAlign w:val="superscript"/>
          <w:lang w:bidi="ar"/>
        </w:rPr>
        <w:t>-7</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bidi="ar"/>
        </w:rPr>
        <w:t>cm/s）</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val="en-US" w:eastAsia="zh-CN" w:bidi="ar"/>
        </w:rPr>
        <w:t>；</w:t>
      </w:r>
      <w:r>
        <w:rPr>
          <w:rFonts w:hint="default" w:ascii="Times New Roman" w:hAnsi="Times New Roman" w:eastAsia="仿宋_GB2312" w:cs="Times New Roman"/>
          <w:bCs/>
          <w:color w:val="auto"/>
          <w:sz w:val="32"/>
          <w:szCs w:val="32"/>
          <w:highlight w:val="none"/>
          <w:lang w:val="en-US" w:eastAsia="zh-CN" w:bidi="ar"/>
        </w:rPr>
        <w:t>搅拌楼、原料库房作为一般防渗区</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bidi="ar"/>
        </w:rPr>
        <w:t>（Mb≥</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val="en-US" w:eastAsia="zh-CN" w:bidi="ar"/>
        </w:rPr>
        <w:t>1.5</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bidi="ar"/>
        </w:rPr>
        <w:t>m，K≤1.0×10</w:t>
      </w:r>
      <w:r>
        <w:rPr>
          <w:rFonts w:hint="default" w:ascii="Times New Roman" w:hAnsi="Times New Roman" w:eastAsia="仿宋_GB2312" w:cs="Times New Roman"/>
          <w:b w:val="0"/>
          <w:bCs/>
          <w:snapToGrid w:val="0"/>
          <w:color w:val="auto"/>
          <w:spacing w:val="10"/>
          <w:kern w:val="0"/>
          <w:sz w:val="32"/>
          <w:szCs w:val="32"/>
          <w:highlight w:val="none"/>
          <w:shd w:val="clear" w:color="auto" w:fill="auto"/>
          <w:vertAlign w:val="superscript"/>
          <w:lang w:bidi="ar"/>
        </w:rPr>
        <w:t>-7</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bidi="ar"/>
        </w:rPr>
        <w:t>cm/s）</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val="en-US" w:eastAsia="zh-CN" w:bidi="ar"/>
        </w:rPr>
        <w:t>；</w:t>
      </w:r>
      <w:r>
        <w:rPr>
          <w:rFonts w:hint="default" w:ascii="Times New Roman" w:hAnsi="Times New Roman" w:eastAsia="仿宋_GB2312" w:cs="Times New Roman"/>
          <w:b w:val="0"/>
          <w:bCs/>
          <w:color w:val="auto"/>
          <w:sz w:val="32"/>
          <w:szCs w:val="32"/>
          <w:highlight w:val="none"/>
          <w:lang w:val="en-US" w:eastAsia="zh-CN" w:bidi="ar"/>
        </w:rPr>
        <w:t>厂区道路</w:t>
      </w:r>
      <w:r>
        <w:rPr>
          <w:rFonts w:hint="default" w:ascii="Times New Roman" w:hAnsi="Times New Roman" w:eastAsia="仿宋_GB2312" w:cs="Times New Roman"/>
          <w:b w:val="0"/>
          <w:bCs/>
          <w:color w:val="auto"/>
          <w:sz w:val="32"/>
          <w:szCs w:val="32"/>
          <w:highlight w:val="none"/>
          <w:lang w:val="en-US" w:eastAsia="zh-CN"/>
        </w:rPr>
        <w:t>采取简单防渗措施。</w:t>
      </w:r>
    </w:p>
    <w:p w14:paraId="39076FAC">
      <w:pPr>
        <w:keepNext w:val="0"/>
        <w:keepLines w:val="0"/>
        <w:pageBreakBefore w:val="0"/>
        <w:widowControl w:val="0"/>
        <w:kinsoku/>
        <w:wordWrap/>
        <w:overflowPunct/>
        <w:topLinePunct w:val="0"/>
        <w:bidi w:val="0"/>
        <w:spacing w:line="560" w:lineRule="exact"/>
        <w:ind w:left="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val="en-US" w:eastAsia="zh-CN"/>
        </w:rPr>
      </w:pPr>
      <w:r>
        <w:rPr>
          <w:rFonts w:hint="default" w:ascii="Times New Roman" w:hAnsi="Times New Roman" w:eastAsia="仿宋_GB2312" w:cs="Times New Roman"/>
          <w:b w:val="0"/>
          <w:bCs/>
          <w:snapToGrid w:val="0"/>
          <w:color w:val="auto"/>
          <w:spacing w:val="10"/>
          <w:kern w:val="0"/>
          <w:sz w:val="32"/>
          <w:szCs w:val="32"/>
          <w:highlight w:val="none"/>
          <w:lang w:val="en-US" w:eastAsia="zh-CN" w:bidi="ar"/>
        </w:rPr>
        <w:t>(七)严格落实环境风险防控措施。</w:t>
      </w:r>
      <w:r>
        <w:rPr>
          <w:rFonts w:hint="default" w:ascii="Times New Roman" w:hAnsi="Times New Roman" w:eastAsia="仿宋_GB2312" w:cs="Times New Roman"/>
          <w:b w:val="0"/>
          <w:bCs/>
          <w:color w:val="auto"/>
          <w:sz w:val="32"/>
          <w:szCs w:val="32"/>
          <w:highlight w:val="none"/>
          <w:shd w:val="clear" w:color="auto" w:fill="auto"/>
          <w:lang w:val="en-US" w:eastAsia="zh-CN"/>
        </w:rPr>
        <w:t>本项目涉及的风险物质为废机油、废油桶以及废油抹布、废手套，暂存于已建危废贮存库，危废贮存库应当防风、防雨、防晒、防渗漏、隔离隔断、门口设置围堰，设置危险废物识别标志。建立健全安全、环境管理体系，制定严格的安全管理制度，制定应急计划，加强职工培训，提高应急处理能力，</w:t>
      </w:r>
      <w:r>
        <w:rPr>
          <w:rFonts w:hint="default" w:ascii="Times New Roman" w:hAnsi="Times New Roman" w:eastAsia="仿宋_GB2312" w:cs="Times New Roman"/>
          <w:b w:val="0"/>
          <w:bCs/>
          <w:snapToGrid w:val="0"/>
          <w:color w:val="auto"/>
          <w:spacing w:val="10"/>
          <w:sz w:val="32"/>
          <w:szCs w:val="32"/>
          <w:highlight w:val="none"/>
          <w:shd w:val="clear" w:color="auto" w:fill="auto"/>
          <w:lang w:val="en-US" w:eastAsia="zh-CN" w:bidi="ar-SA"/>
        </w:rPr>
        <w:t>编制突发环境事件应急预案并完成备案，开展应急预案演练等</w:t>
      </w:r>
      <w:r>
        <w:rPr>
          <w:rFonts w:hint="default" w:ascii="Times New Roman" w:hAnsi="Times New Roman" w:eastAsia="仿宋_GB2312" w:cs="Times New Roman"/>
          <w:b w:val="0"/>
          <w:bCs/>
          <w:color w:val="auto"/>
          <w:sz w:val="32"/>
          <w:szCs w:val="32"/>
          <w:highlight w:val="none"/>
          <w:shd w:val="clear" w:color="auto" w:fill="auto"/>
          <w:lang w:val="en-US" w:eastAsia="zh-CN"/>
        </w:rPr>
        <w:t>。</w:t>
      </w:r>
    </w:p>
    <w:p w14:paraId="51F6E07F">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default" w:ascii="Times New Roman" w:hAnsi="Times New Roman" w:eastAsia="仿宋_GB2312" w:cs="Times New Roman"/>
          <w:b w:val="0"/>
          <w:bCs/>
          <w:color w:val="auto"/>
          <w:sz w:val="32"/>
          <w:szCs w:val="32"/>
          <w:highlight w:val="none"/>
          <w:shd w:val="clear" w:color="auto" w:fill="auto"/>
        </w:rPr>
      </w:pPr>
      <w:r>
        <w:rPr>
          <w:rFonts w:hint="default" w:ascii="Times New Roman" w:hAnsi="Times New Roman" w:eastAsia="仿宋_GB2312" w:cs="Times New Roman"/>
          <w:b w:val="0"/>
          <w:bCs/>
          <w:color w:val="auto"/>
          <w:sz w:val="32"/>
          <w:szCs w:val="32"/>
          <w:highlight w:val="none"/>
          <w:shd w:val="clear" w:color="auto" w:fill="auto"/>
          <w:lang w:val="en-US" w:eastAsia="zh-CN"/>
        </w:rPr>
        <w:t>三</w:t>
      </w:r>
      <w:r>
        <w:rPr>
          <w:rFonts w:hint="default" w:ascii="Times New Roman" w:hAnsi="Times New Roman" w:eastAsia="仿宋_GB2312" w:cs="Times New Roman"/>
          <w:b w:val="0"/>
          <w:bCs/>
          <w:color w:val="auto"/>
          <w:sz w:val="32"/>
          <w:szCs w:val="32"/>
          <w:highlight w:val="none"/>
          <w:shd w:val="clear" w:color="auto" w:fill="auto"/>
        </w:rPr>
        <w:t>、你公司应落实生态环境保护主体责任，严格执行排污许可</w:t>
      </w:r>
      <w:r>
        <w:rPr>
          <w:rFonts w:hint="default" w:ascii="Times New Roman" w:hAnsi="Times New Roman" w:eastAsia="仿宋_GB2312" w:cs="Times New Roman"/>
          <w:b w:val="0"/>
          <w:bCs/>
          <w:color w:val="auto"/>
          <w:sz w:val="32"/>
          <w:szCs w:val="32"/>
          <w:highlight w:val="none"/>
          <w:shd w:val="clear" w:color="auto" w:fill="auto"/>
          <w:lang w:val="en-US" w:eastAsia="zh-CN"/>
        </w:rPr>
        <w:t>证</w:t>
      </w:r>
      <w:r>
        <w:rPr>
          <w:rFonts w:hint="default" w:ascii="Times New Roman" w:hAnsi="Times New Roman" w:eastAsia="仿宋_GB2312" w:cs="Times New Roman"/>
          <w:b w:val="0"/>
          <w:bCs/>
          <w:color w:val="auto"/>
          <w:sz w:val="32"/>
          <w:szCs w:val="32"/>
          <w:highlight w:val="none"/>
          <w:shd w:val="clear" w:color="auto" w:fill="auto"/>
        </w:rPr>
        <w:t>制度和总量控制制度。建立企业内部生态环境管理机构和体系，明确人员、职责和制度，加强生态环境管理，推进各项生态环境保护措施落实。</w:t>
      </w:r>
      <w:r>
        <w:rPr>
          <w:rFonts w:hint="default" w:ascii="Times New Roman" w:hAnsi="Times New Roman" w:eastAsia="仿宋_GB2312" w:cs="Times New Roman"/>
          <w:b w:val="0"/>
          <w:bCs/>
          <w:snapToGrid w:val="0"/>
          <w:color w:val="auto"/>
          <w:spacing w:val="10"/>
          <w:kern w:val="0"/>
          <w:sz w:val="32"/>
          <w:szCs w:val="32"/>
          <w:highlight w:val="none"/>
          <w:shd w:val="clear" w:color="auto" w:fill="auto"/>
          <w:lang w:val="en-US" w:eastAsia="zh-CN" w:bidi="ar"/>
        </w:rPr>
        <w:t>按照相关法律法规和技术标准规范要求，开展环保设备设施安全风险辨识评估和隐患排查治理，落实安全生产各项责任措施。</w:t>
      </w:r>
      <w:r>
        <w:rPr>
          <w:rFonts w:hint="default" w:ascii="Times New Roman" w:hAnsi="Times New Roman" w:eastAsia="仿宋_GB2312" w:cs="Times New Roman"/>
          <w:b w:val="0"/>
          <w:bCs/>
          <w:color w:val="auto"/>
          <w:sz w:val="32"/>
          <w:szCs w:val="32"/>
          <w:highlight w:val="none"/>
          <w:shd w:val="clear" w:color="auto" w:fill="auto"/>
        </w:rPr>
        <w:t>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_GB2312" w:cs="Times New Roman"/>
          <w:b w:val="0"/>
          <w:bCs/>
          <w:color w:val="auto"/>
          <w:sz w:val="32"/>
          <w:szCs w:val="32"/>
          <w:highlight w:val="none"/>
          <w:shd w:val="clear" w:color="auto" w:fill="auto"/>
          <w:lang w:eastAsia="zh-CN"/>
        </w:rPr>
        <w:t>，</w:t>
      </w:r>
      <w:r>
        <w:rPr>
          <w:rFonts w:hint="default" w:ascii="Times New Roman" w:hAnsi="Times New Roman" w:eastAsia="仿宋_GB2312" w:cs="Times New Roman"/>
          <w:b w:val="0"/>
          <w:bCs/>
          <w:snapToGrid/>
          <w:color w:val="auto"/>
          <w:spacing w:val="0"/>
          <w:kern w:val="2"/>
          <w:sz w:val="32"/>
          <w:szCs w:val="32"/>
          <w:highlight w:val="none"/>
          <w:shd w:val="clear" w:color="auto" w:fill="auto"/>
        </w:rPr>
        <w:t>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r>
        <w:rPr>
          <w:rFonts w:hint="default" w:ascii="Times New Roman" w:hAnsi="Times New Roman" w:eastAsia="仿宋_GB2312" w:cs="Times New Roman"/>
          <w:color w:val="auto"/>
          <w:sz w:val="32"/>
          <w:szCs w:val="32"/>
          <w:highlight w:val="none"/>
          <w:lang w:val="en-US" w:eastAsia="zh-CN"/>
        </w:rPr>
        <w:t>。</w:t>
      </w:r>
    </w:p>
    <w:p w14:paraId="061649FC">
      <w:pPr>
        <w:pStyle w:val="25"/>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b w:val="0"/>
          <w:bCs/>
          <w:color w:val="auto"/>
          <w:spacing w:val="0"/>
          <w:kern w:val="2"/>
          <w:sz w:val="32"/>
          <w:szCs w:val="32"/>
          <w:highlight w:val="none"/>
          <w:shd w:val="clear" w:color="auto" w:fill="auto"/>
          <w:lang w:val="en-US"/>
        </w:rPr>
      </w:pP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四</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特别是不利环境影响加重</w:t>
      </w: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，应当重新报批该项目环境影响文件。</w:t>
      </w:r>
    </w:p>
    <w:p w14:paraId="1AF8210C">
      <w:pPr>
        <w:pStyle w:val="25"/>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b w:val="0"/>
          <w:bCs/>
          <w:color w:val="auto"/>
          <w:spacing w:val="0"/>
          <w:kern w:val="2"/>
          <w:sz w:val="32"/>
          <w:szCs w:val="32"/>
          <w:highlight w:val="none"/>
          <w:shd w:val="clear" w:color="auto" w:fill="auto"/>
          <w:lang w:val="en-US"/>
        </w:rPr>
      </w:pPr>
      <w:r>
        <w:rPr>
          <w:rFonts w:hint="default" w:ascii="Times New Roman" w:hAnsi="Times New Roman" w:eastAsia="仿宋_GB2312" w:cs="Times New Roman"/>
          <w:b w:val="0"/>
          <w:bCs/>
          <w:color w:val="auto"/>
          <w:spacing w:val="0"/>
          <w:kern w:val="2"/>
          <w:sz w:val="32"/>
          <w:szCs w:val="32"/>
          <w:highlight w:val="none"/>
          <w:shd w:val="clear" w:color="auto" w:fill="auto"/>
          <w:lang w:val="en-US" w:eastAsia="zh-CN"/>
        </w:rPr>
        <w:t>五</w:t>
      </w:r>
      <w:r>
        <w:rPr>
          <w:rFonts w:hint="default" w:ascii="Times New Roman" w:hAnsi="Times New Roman" w:eastAsia="仿宋_GB2312" w:cs="Times New Roman"/>
          <w:b w:val="0"/>
          <w:bCs/>
          <w:color w:val="auto"/>
          <w:spacing w:val="0"/>
          <w:kern w:val="2"/>
          <w:sz w:val="32"/>
          <w:szCs w:val="32"/>
          <w:highlight w:val="none"/>
          <w:shd w:val="clear" w:color="auto" w:fill="auto"/>
          <w:lang w:val="en-US"/>
        </w:rPr>
        <w:t>、项目日常环境监督检查工作由本溪市生态环境保护综合行政执法队负责。</w:t>
      </w:r>
    </w:p>
    <w:p w14:paraId="13F5BDE6">
      <w:pPr>
        <w:keepNext w:val="0"/>
        <w:keepLines w:val="0"/>
        <w:pageBreakBefore w:val="0"/>
        <w:kinsoku/>
        <w:wordWrap/>
        <w:topLinePunct w:val="0"/>
        <w:bidi w:val="0"/>
        <w:spacing w:line="560" w:lineRule="exact"/>
        <w:textAlignment w:val="auto"/>
        <w:rPr>
          <w:rFonts w:hint="default" w:ascii="Times New Roman" w:hAnsi="Times New Roman" w:eastAsia="仿宋_GB2312" w:cs="Times New Roman"/>
          <w:b w:val="0"/>
          <w:bCs/>
          <w:color w:val="auto"/>
          <w:sz w:val="32"/>
          <w:szCs w:val="32"/>
          <w:highlight w:val="none"/>
          <w:lang w:val="en-US"/>
        </w:rPr>
      </w:pPr>
    </w:p>
    <w:p w14:paraId="1F52DC31">
      <w:pPr>
        <w:keepNext w:val="0"/>
        <w:keepLines w:val="0"/>
        <w:pageBreakBefore w:val="0"/>
        <w:kinsoku/>
        <w:wordWrap/>
        <w:overflowPunct/>
        <w:topLinePunct w:val="0"/>
        <w:bidi w:val="0"/>
        <w:spacing w:line="560" w:lineRule="exact"/>
        <w:ind w:left="3000" w:leftChars="1000" w:firstLine="0" w:firstLineChars="0"/>
        <w:jc w:val="center"/>
        <w:textAlignment w:val="auto"/>
        <w:rPr>
          <w:rFonts w:hint="default" w:ascii="Times New Roman" w:hAnsi="Times New Roman" w:eastAsia="仿宋_GB2312" w:cs="Times New Roman"/>
          <w:b w:val="0"/>
          <w:bCs/>
          <w:color w:val="auto"/>
          <w:sz w:val="32"/>
          <w:szCs w:val="32"/>
          <w:highlight w:val="none"/>
          <w:shd w:val="clear" w:color="auto" w:fill="auto"/>
        </w:rPr>
      </w:pPr>
      <w:r>
        <w:rPr>
          <w:rFonts w:hint="default" w:ascii="Times New Roman" w:hAnsi="Times New Roman" w:eastAsia="仿宋_GB2312" w:cs="Times New Roman"/>
          <w:b w:val="0"/>
          <w:bCs/>
          <w:color w:val="auto"/>
          <w:sz w:val="32"/>
          <w:szCs w:val="32"/>
          <w:highlight w:val="none"/>
          <w:shd w:val="clear" w:color="auto" w:fill="auto"/>
        </w:rPr>
        <w:t>本溪市生态环境局</w:t>
      </w:r>
    </w:p>
    <w:p w14:paraId="21341014">
      <w:pPr>
        <w:keepNext w:val="0"/>
        <w:keepLines w:val="0"/>
        <w:pageBreakBefore w:val="0"/>
        <w:kinsoku/>
        <w:wordWrap/>
        <w:overflowPunct/>
        <w:topLinePunct w:val="0"/>
        <w:bidi w:val="0"/>
        <w:spacing w:line="560" w:lineRule="exact"/>
        <w:ind w:left="3000" w:leftChars="1000" w:firstLine="0" w:firstLineChars="0"/>
        <w:jc w:val="center"/>
        <w:textAlignment w:val="auto"/>
        <w:rPr>
          <w:rFonts w:hint="default" w:ascii="Times New Roman" w:hAnsi="Times New Roman" w:eastAsia="仿宋_GB2312" w:cs="Times New Roman"/>
          <w:b w:val="0"/>
          <w:bCs/>
          <w:color w:val="auto"/>
          <w:sz w:val="32"/>
          <w:szCs w:val="32"/>
          <w:highlight w:val="none"/>
          <w:shd w:val="clear" w:color="auto" w:fill="auto"/>
        </w:rPr>
      </w:pPr>
      <w:r>
        <w:rPr>
          <w:rFonts w:hint="default" w:ascii="Times New Roman" w:hAnsi="Times New Roman" w:eastAsia="仿宋_GB2312" w:cs="Times New Roman"/>
          <w:b w:val="0"/>
          <w:bCs/>
          <w:color w:val="auto"/>
          <w:sz w:val="32"/>
          <w:szCs w:val="32"/>
          <w:highlight w:val="none"/>
          <w:shd w:val="clear" w:color="auto" w:fill="auto"/>
        </w:rPr>
        <w:t>202</w:t>
      </w:r>
      <w:r>
        <w:rPr>
          <w:rFonts w:hint="default" w:ascii="Times New Roman" w:hAnsi="Times New Roman" w:eastAsia="仿宋_GB2312" w:cs="Times New Roman"/>
          <w:b w:val="0"/>
          <w:bCs/>
          <w:color w:val="auto"/>
          <w:sz w:val="32"/>
          <w:szCs w:val="32"/>
          <w:highlight w:val="none"/>
          <w:shd w:val="clear" w:color="auto" w:fill="auto"/>
          <w:lang w:val="en-US" w:eastAsia="zh-CN"/>
        </w:rPr>
        <w:t>6</w:t>
      </w:r>
      <w:r>
        <w:rPr>
          <w:rFonts w:hint="default" w:ascii="Times New Roman" w:hAnsi="Times New Roman" w:eastAsia="仿宋_GB2312" w:cs="Times New Roman"/>
          <w:b w:val="0"/>
          <w:bCs/>
          <w:color w:val="auto"/>
          <w:sz w:val="32"/>
          <w:szCs w:val="32"/>
          <w:highlight w:val="none"/>
          <w:shd w:val="clear" w:color="auto" w:fill="auto"/>
        </w:rPr>
        <w:t>年</w:t>
      </w:r>
      <w:r>
        <w:rPr>
          <w:rFonts w:hint="default" w:ascii="Times New Roman" w:hAnsi="Times New Roman" w:eastAsia="仿宋_GB2312" w:cs="Times New Roman"/>
          <w:b w:val="0"/>
          <w:bCs/>
          <w:color w:val="auto"/>
          <w:sz w:val="32"/>
          <w:szCs w:val="32"/>
          <w:highlight w:val="none"/>
          <w:shd w:val="clear" w:color="auto" w:fill="auto"/>
          <w:lang w:val="en-US" w:eastAsia="zh-CN"/>
        </w:rPr>
        <w:t>5</w:t>
      </w:r>
      <w:r>
        <w:rPr>
          <w:rFonts w:hint="default" w:ascii="Times New Roman" w:hAnsi="Times New Roman" w:eastAsia="仿宋_GB2312" w:cs="Times New Roman"/>
          <w:b w:val="0"/>
          <w:bCs/>
          <w:color w:val="auto"/>
          <w:sz w:val="32"/>
          <w:szCs w:val="32"/>
          <w:highlight w:val="none"/>
          <w:shd w:val="clear" w:color="auto" w:fill="auto"/>
        </w:rPr>
        <w:t>月</w:t>
      </w:r>
      <w:r>
        <w:rPr>
          <w:rFonts w:hint="default" w:ascii="Times New Roman" w:hAnsi="Times New Roman" w:eastAsia="仿宋_GB2312" w:cs="Times New Roman"/>
          <w:b w:val="0"/>
          <w:bCs/>
          <w:color w:val="auto"/>
          <w:sz w:val="32"/>
          <w:szCs w:val="32"/>
          <w:highlight w:val="none"/>
          <w:shd w:val="clear" w:color="auto" w:fill="auto"/>
          <w:lang w:val="en-US" w:eastAsia="zh-CN"/>
        </w:rPr>
        <w:t>9</w:t>
      </w:r>
      <w:r>
        <w:rPr>
          <w:rFonts w:hint="default" w:ascii="Times New Roman" w:hAnsi="Times New Roman" w:eastAsia="仿宋_GB2312" w:cs="Times New Roman"/>
          <w:b w:val="0"/>
          <w:bCs/>
          <w:color w:val="auto"/>
          <w:sz w:val="32"/>
          <w:szCs w:val="32"/>
          <w:highlight w:val="none"/>
          <w:shd w:val="clear" w:color="auto" w:fill="auto"/>
        </w:rPr>
        <w:t>日</w:t>
      </w:r>
    </w:p>
    <w:p w14:paraId="0EE16285">
      <w:pPr>
        <w:keepNext w:val="0"/>
        <w:keepLines w:val="0"/>
        <w:pageBreakBefore w:val="0"/>
        <w:kinsoku/>
        <w:wordWrap/>
        <w:overflowPunct/>
        <w:topLinePunct w:val="0"/>
        <w:bidi w:val="0"/>
        <w:spacing w:line="560" w:lineRule="exact"/>
        <w:ind w:left="3000" w:leftChars="1000" w:firstLine="0" w:firstLineChars="0"/>
        <w:jc w:val="center"/>
        <w:textAlignment w:val="auto"/>
        <w:rPr>
          <w:rFonts w:hint="default" w:ascii="Times New Roman" w:hAnsi="Times New Roman" w:eastAsia="仿宋_GB2312" w:cs="Times New Roman"/>
          <w:b w:val="0"/>
          <w:bCs/>
          <w:color w:val="auto"/>
          <w:sz w:val="32"/>
          <w:szCs w:val="32"/>
          <w:highlight w:val="none"/>
          <w:shd w:val="clear" w:color="auto" w:fill="auto"/>
        </w:rPr>
      </w:pPr>
    </w:p>
    <w:p w14:paraId="311739DD">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eastAsia="zh-CN"/>
        </w:rPr>
      </w:pPr>
      <w:r>
        <w:rPr>
          <w:rFonts w:hint="default" w:ascii="Times New Roman" w:hAnsi="Times New Roman" w:eastAsia="仿宋_GB2312" w:cs="Times New Roman"/>
          <w:b w:val="0"/>
          <w:bCs/>
          <w:color w:val="auto"/>
          <w:sz w:val="32"/>
          <w:szCs w:val="32"/>
          <w:highlight w:val="none"/>
          <w:shd w:val="clear" w:color="auto" w:fill="auto"/>
          <w:lang w:eastAsia="zh-CN"/>
        </w:rPr>
        <w:t>(</w:t>
      </w:r>
      <w:r>
        <w:rPr>
          <w:rFonts w:hint="default" w:ascii="Times New Roman" w:hAnsi="Times New Roman" w:eastAsia="仿宋_GB2312" w:cs="Times New Roman"/>
          <w:b w:val="0"/>
          <w:bCs/>
          <w:color w:val="auto"/>
          <w:sz w:val="32"/>
          <w:szCs w:val="32"/>
          <w:highlight w:val="none"/>
          <w:shd w:val="clear" w:color="auto" w:fill="auto"/>
        </w:rPr>
        <w:t>此件公开发布</w:t>
      </w:r>
      <w:r>
        <w:rPr>
          <w:rFonts w:hint="default" w:ascii="Times New Roman" w:hAnsi="Times New Roman" w:eastAsia="仿宋_GB2312" w:cs="Times New Roman"/>
          <w:b w:val="0"/>
          <w:bCs/>
          <w:color w:val="auto"/>
          <w:sz w:val="32"/>
          <w:szCs w:val="32"/>
          <w:highlight w:val="none"/>
          <w:shd w:val="clear" w:color="auto" w:fill="auto"/>
          <w:lang w:eastAsia="zh-CN"/>
        </w:rPr>
        <w:t>)</w:t>
      </w:r>
    </w:p>
    <w:p w14:paraId="2C1DAD81">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b w:val="0"/>
          <w:bCs/>
          <w:color w:val="auto"/>
          <w:sz w:val="32"/>
          <w:szCs w:val="32"/>
          <w:highlight w:val="none"/>
          <w:shd w:val="clear" w:color="auto" w:fill="auto"/>
          <w:lang w:eastAsia="zh-CN"/>
        </w:rPr>
      </w:pPr>
    </w:p>
    <w:p w14:paraId="02ADB23A">
      <w:pPr>
        <w:keepNext w:val="0"/>
        <w:keepLines w:val="0"/>
        <w:pageBreakBefore w:val="0"/>
        <w:kinsoku/>
        <w:wordWrap/>
        <w:overflowPunct/>
        <w:topLinePunct w:val="0"/>
        <w:bidi w:val="0"/>
        <w:snapToGrid w:val="0"/>
        <w:spacing w:line="560" w:lineRule="exact"/>
        <w:ind w:left="1105" w:leftChars="0" w:hanging="1105" w:hangingChars="325"/>
        <w:textAlignment w:val="auto"/>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b w:val="0"/>
          <w:bCs/>
          <w:color w:val="auto"/>
          <w:sz w:val="32"/>
          <w:szCs w:val="32"/>
          <w:highlight w:val="none"/>
          <w:shd w:val="clear" w:color="auto" w:fill="auto"/>
        </w:rPr>
        <w:t>抄送：本溪市生态环境保护综合执法队、</w:t>
      </w:r>
      <w:r>
        <w:rPr>
          <w:rFonts w:hint="default" w:ascii="Times New Roman" w:hAnsi="Times New Roman" w:eastAsia="仿宋_GB2312" w:cs="Times New Roman"/>
          <w:b w:val="0"/>
          <w:bCs/>
          <w:color w:val="auto"/>
          <w:sz w:val="32"/>
          <w:szCs w:val="32"/>
          <w:highlight w:val="none"/>
          <w:shd w:val="clear" w:color="auto" w:fill="auto"/>
          <w:lang w:val="en-US" w:eastAsia="zh-CN"/>
        </w:rPr>
        <w:t>本溪市生态环境服务中心、辽宁昌鑫环境工程咨询有限公司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AFF" w:usb1="C0007841"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昆仑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1A9DB">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F0FBE52">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7F0FBE52">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484F">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B529B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6FB529B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20"/>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yMTIyMDUyZWEwNzhkYTlkZDNhMjM1YTkxMjQ5ZTAifQ=="/>
  </w:docVars>
  <w:rsids>
    <w:rsidRoot w:val="1796435B"/>
    <w:rsid w:val="0005596D"/>
    <w:rsid w:val="00100A44"/>
    <w:rsid w:val="00143087"/>
    <w:rsid w:val="002721FC"/>
    <w:rsid w:val="00434940"/>
    <w:rsid w:val="00490130"/>
    <w:rsid w:val="004A07F0"/>
    <w:rsid w:val="00536F00"/>
    <w:rsid w:val="005C4520"/>
    <w:rsid w:val="00693428"/>
    <w:rsid w:val="006E6370"/>
    <w:rsid w:val="008629CF"/>
    <w:rsid w:val="00932262"/>
    <w:rsid w:val="00972023"/>
    <w:rsid w:val="00A00642"/>
    <w:rsid w:val="00B5544D"/>
    <w:rsid w:val="00BF399E"/>
    <w:rsid w:val="00C212FE"/>
    <w:rsid w:val="00C27F5D"/>
    <w:rsid w:val="00C65306"/>
    <w:rsid w:val="00CE1454"/>
    <w:rsid w:val="00D04025"/>
    <w:rsid w:val="00D10361"/>
    <w:rsid w:val="00E14769"/>
    <w:rsid w:val="00EB577A"/>
    <w:rsid w:val="00ED515A"/>
    <w:rsid w:val="02112401"/>
    <w:rsid w:val="027754FB"/>
    <w:rsid w:val="02F13787"/>
    <w:rsid w:val="03100052"/>
    <w:rsid w:val="033C0E47"/>
    <w:rsid w:val="03616974"/>
    <w:rsid w:val="03A8093F"/>
    <w:rsid w:val="03EF1A15"/>
    <w:rsid w:val="04BE6E3A"/>
    <w:rsid w:val="05FD4062"/>
    <w:rsid w:val="068C3770"/>
    <w:rsid w:val="07283675"/>
    <w:rsid w:val="076C0637"/>
    <w:rsid w:val="07DB592F"/>
    <w:rsid w:val="088618A1"/>
    <w:rsid w:val="095C4B76"/>
    <w:rsid w:val="0A152B8F"/>
    <w:rsid w:val="0CA53912"/>
    <w:rsid w:val="0DED6EAB"/>
    <w:rsid w:val="0E254230"/>
    <w:rsid w:val="0E893301"/>
    <w:rsid w:val="0E8C4A31"/>
    <w:rsid w:val="0EE6395A"/>
    <w:rsid w:val="0F66535D"/>
    <w:rsid w:val="0F814977"/>
    <w:rsid w:val="0F920F4B"/>
    <w:rsid w:val="106A3A7D"/>
    <w:rsid w:val="10DA5FE4"/>
    <w:rsid w:val="11EA43A7"/>
    <w:rsid w:val="12DF6623"/>
    <w:rsid w:val="141763A3"/>
    <w:rsid w:val="149503B7"/>
    <w:rsid w:val="15187863"/>
    <w:rsid w:val="15B11221"/>
    <w:rsid w:val="1796435B"/>
    <w:rsid w:val="181C7C90"/>
    <w:rsid w:val="183B5437"/>
    <w:rsid w:val="18587014"/>
    <w:rsid w:val="1876174E"/>
    <w:rsid w:val="18793266"/>
    <w:rsid w:val="1945391C"/>
    <w:rsid w:val="1997072D"/>
    <w:rsid w:val="1B522417"/>
    <w:rsid w:val="1BE2598B"/>
    <w:rsid w:val="1C264A09"/>
    <w:rsid w:val="1D632212"/>
    <w:rsid w:val="1E49784A"/>
    <w:rsid w:val="1F824EB1"/>
    <w:rsid w:val="1FFA2ADA"/>
    <w:rsid w:val="20BA2A38"/>
    <w:rsid w:val="20C90C67"/>
    <w:rsid w:val="212C4FD0"/>
    <w:rsid w:val="21BF77BB"/>
    <w:rsid w:val="226C35CB"/>
    <w:rsid w:val="233521D5"/>
    <w:rsid w:val="241B24EC"/>
    <w:rsid w:val="24BF3E69"/>
    <w:rsid w:val="25386401"/>
    <w:rsid w:val="29A33253"/>
    <w:rsid w:val="2AD445A7"/>
    <w:rsid w:val="2AD7605D"/>
    <w:rsid w:val="2BFC6E49"/>
    <w:rsid w:val="2C1029A7"/>
    <w:rsid w:val="2C2D0E8A"/>
    <w:rsid w:val="2C547628"/>
    <w:rsid w:val="2C725C4B"/>
    <w:rsid w:val="2CD62E7A"/>
    <w:rsid w:val="2D482013"/>
    <w:rsid w:val="2D693396"/>
    <w:rsid w:val="2DA90C97"/>
    <w:rsid w:val="2E284896"/>
    <w:rsid w:val="2E371DA6"/>
    <w:rsid w:val="2E750BE6"/>
    <w:rsid w:val="2F2F57A8"/>
    <w:rsid w:val="2F346DF5"/>
    <w:rsid w:val="2F422728"/>
    <w:rsid w:val="2F7B237E"/>
    <w:rsid w:val="2FA75F07"/>
    <w:rsid w:val="32F43476"/>
    <w:rsid w:val="3316226B"/>
    <w:rsid w:val="343C44DA"/>
    <w:rsid w:val="348F169C"/>
    <w:rsid w:val="35384A35"/>
    <w:rsid w:val="36C46BAE"/>
    <w:rsid w:val="36E7716E"/>
    <w:rsid w:val="37FE6CA4"/>
    <w:rsid w:val="3988370A"/>
    <w:rsid w:val="39E7009F"/>
    <w:rsid w:val="3A74523A"/>
    <w:rsid w:val="3B126711"/>
    <w:rsid w:val="3B8C4D4F"/>
    <w:rsid w:val="3C213BF5"/>
    <w:rsid w:val="3DE36FFF"/>
    <w:rsid w:val="3DEE4511"/>
    <w:rsid w:val="3F980BD8"/>
    <w:rsid w:val="41CC0652"/>
    <w:rsid w:val="433025D8"/>
    <w:rsid w:val="43D53EA5"/>
    <w:rsid w:val="454676EB"/>
    <w:rsid w:val="455E1F7C"/>
    <w:rsid w:val="47261121"/>
    <w:rsid w:val="485711CD"/>
    <w:rsid w:val="4A8D69D9"/>
    <w:rsid w:val="4A8F2BD7"/>
    <w:rsid w:val="4AA15E16"/>
    <w:rsid w:val="4B370A7B"/>
    <w:rsid w:val="4B3F0641"/>
    <w:rsid w:val="4BD16ECB"/>
    <w:rsid w:val="4C152A89"/>
    <w:rsid w:val="4C600AFD"/>
    <w:rsid w:val="4CED0B60"/>
    <w:rsid w:val="4CFF4B5B"/>
    <w:rsid w:val="4DDA7096"/>
    <w:rsid w:val="4E4203BC"/>
    <w:rsid w:val="4EA81B8F"/>
    <w:rsid w:val="4F580206"/>
    <w:rsid w:val="4F7E1603"/>
    <w:rsid w:val="502000DD"/>
    <w:rsid w:val="509F3A81"/>
    <w:rsid w:val="50AD4B61"/>
    <w:rsid w:val="51493067"/>
    <w:rsid w:val="53FA7638"/>
    <w:rsid w:val="54A045D0"/>
    <w:rsid w:val="550C5DD2"/>
    <w:rsid w:val="564A322D"/>
    <w:rsid w:val="57655DBD"/>
    <w:rsid w:val="57E645FA"/>
    <w:rsid w:val="589312C5"/>
    <w:rsid w:val="59C96755"/>
    <w:rsid w:val="5A5F47D7"/>
    <w:rsid w:val="5A7D2A4C"/>
    <w:rsid w:val="5AF222AB"/>
    <w:rsid w:val="5BAD274A"/>
    <w:rsid w:val="5E0C5D4A"/>
    <w:rsid w:val="5EC40C4A"/>
    <w:rsid w:val="5F0727FF"/>
    <w:rsid w:val="5FC77E5B"/>
    <w:rsid w:val="5FE87500"/>
    <w:rsid w:val="61ED1E4C"/>
    <w:rsid w:val="6394087D"/>
    <w:rsid w:val="64342716"/>
    <w:rsid w:val="64CC2EFF"/>
    <w:rsid w:val="65BF311B"/>
    <w:rsid w:val="65D32B6F"/>
    <w:rsid w:val="6692714B"/>
    <w:rsid w:val="66FA65FC"/>
    <w:rsid w:val="6B621CAE"/>
    <w:rsid w:val="6B782EEE"/>
    <w:rsid w:val="6BAE23FA"/>
    <w:rsid w:val="6C1A6167"/>
    <w:rsid w:val="6CD97FB6"/>
    <w:rsid w:val="6CE07E27"/>
    <w:rsid w:val="6D213148"/>
    <w:rsid w:val="6DDB1B0C"/>
    <w:rsid w:val="6E8534E8"/>
    <w:rsid w:val="6FB67F68"/>
    <w:rsid w:val="70524B14"/>
    <w:rsid w:val="71267793"/>
    <w:rsid w:val="729606F7"/>
    <w:rsid w:val="72CE1C3F"/>
    <w:rsid w:val="737B68CA"/>
    <w:rsid w:val="7389078D"/>
    <w:rsid w:val="74155FFE"/>
    <w:rsid w:val="7460720F"/>
    <w:rsid w:val="747F3106"/>
    <w:rsid w:val="74A500F6"/>
    <w:rsid w:val="765A079C"/>
    <w:rsid w:val="77195A49"/>
    <w:rsid w:val="77587BF9"/>
    <w:rsid w:val="777223AF"/>
    <w:rsid w:val="77774C12"/>
    <w:rsid w:val="77884E63"/>
    <w:rsid w:val="77FD0061"/>
    <w:rsid w:val="79DF0DFD"/>
    <w:rsid w:val="7AA55685"/>
    <w:rsid w:val="7AAC4F5C"/>
    <w:rsid w:val="7AED95EE"/>
    <w:rsid w:val="7B7F332D"/>
    <w:rsid w:val="7BA414DA"/>
    <w:rsid w:val="7BAA0603"/>
    <w:rsid w:val="7C6B6751"/>
    <w:rsid w:val="7C9B5288"/>
    <w:rsid w:val="7DBD3E99"/>
    <w:rsid w:val="7E051AD8"/>
    <w:rsid w:val="7E834226"/>
    <w:rsid w:val="7F233313"/>
    <w:rsid w:val="7F6F7255"/>
    <w:rsid w:val="9DEF5469"/>
    <w:rsid w:val="BCFFA7ED"/>
    <w:rsid w:val="D5B1D2C3"/>
    <w:rsid w:val="DF6B79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Arial" w:hAnsi="Arial" w:cs="Arial"/>
      <w:sz w:val="21"/>
    </w:rPr>
  </w:style>
  <w:style w:type="paragraph" w:styleId="3">
    <w:name w:val="Body Text"/>
    <w:basedOn w:val="1"/>
    <w:next w:val="4"/>
    <w:qFormat/>
    <w:uiPriority w:val="0"/>
    <w:pPr>
      <w:widowControl/>
      <w:snapToGrid w:val="0"/>
      <w:spacing w:before="60" w:after="160" w:line="259" w:lineRule="auto"/>
      <w:ind w:right="113"/>
    </w:pPr>
    <w:rPr>
      <w:sz w:val="18"/>
      <w:szCs w:val="20"/>
    </w:rPr>
  </w:style>
  <w:style w:type="paragraph" w:customStyle="1" w:styleId="4">
    <w:name w:val="Default"/>
    <w:basedOn w:val="5"/>
    <w:next w:val="6"/>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5">
    <w:name w:val="纯文本1"/>
    <w:basedOn w:val="1"/>
    <w:qFormat/>
    <w:uiPriority w:val="0"/>
    <w:pPr>
      <w:adjustRightInd w:val="0"/>
    </w:pPr>
    <w:rPr>
      <w:rFonts w:ascii="宋体" w:hAnsi="Courier New"/>
      <w:szCs w:val="20"/>
    </w:rPr>
  </w:style>
  <w:style w:type="paragraph" w:styleId="6">
    <w:name w:val="List"/>
    <w:basedOn w:val="1"/>
    <w:next w:val="1"/>
    <w:qFormat/>
    <w:uiPriority w:val="0"/>
    <w:pPr>
      <w:adjustRightInd w:val="0"/>
      <w:spacing w:before="60" w:after="60" w:line="360" w:lineRule="auto"/>
      <w:ind w:firstLine="567"/>
      <w:textAlignment w:val="baseline"/>
    </w:pPr>
    <w:rPr>
      <w:bCs w:val="0"/>
      <w:snapToGrid/>
      <w:spacing w:val="0"/>
      <w:sz w:val="24"/>
      <w:szCs w:val="20"/>
    </w:rPr>
  </w:style>
  <w:style w:type="paragraph" w:styleId="7">
    <w:name w:val="Body Text Indent"/>
    <w:basedOn w:val="1"/>
    <w:next w:val="8"/>
    <w:qFormat/>
    <w:uiPriority w:val="0"/>
    <w:pPr>
      <w:adjustRightInd w:val="0"/>
      <w:snapToGrid w:val="0"/>
      <w:spacing w:line="300" w:lineRule="auto"/>
      <w:ind w:firstLine="680" w:firstLineChars="200"/>
    </w:pPr>
    <w:rPr>
      <w:rFonts w:ascii="仿宋_GB2312" w:hAnsi="宋体" w:eastAsia="仿宋_GB2312"/>
      <w:sz w:val="32"/>
    </w:rPr>
  </w:style>
  <w:style w:type="paragraph" w:styleId="8">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样式5"/>
    <w:basedOn w:val="2"/>
    <w:qFormat/>
    <w:uiPriority w:val="0"/>
    <w:pPr>
      <w:spacing w:line="380" w:lineRule="exact"/>
      <w:ind w:firstLine="566" w:firstLineChars="202"/>
    </w:pPr>
    <w:rPr>
      <w:rFonts w:ascii="Times New Roman" w:hAnsi="Times New Roman" w:eastAsia="华文行楷" w:cs="Times New Roman"/>
      <w:sz w:val="28"/>
    </w:rPr>
  </w:style>
  <w:style w:type="paragraph" w:styleId="10">
    <w:name w:val="Body Text Indent 2"/>
    <w:basedOn w:val="1"/>
    <w:next w:val="1"/>
    <w:qFormat/>
    <w:uiPriority w:val="0"/>
    <w:pPr>
      <w:spacing w:line="500" w:lineRule="exact"/>
      <w:ind w:left="72" w:hanging="72" w:hangingChars="30"/>
      <w:jc w:val="left"/>
    </w:pPr>
    <w:rPr>
      <w:rFonts w:ascii="宋体" w:hAnsi="宋体"/>
      <w:sz w:val="24"/>
    </w:rPr>
  </w:style>
  <w:style w:type="paragraph" w:styleId="11">
    <w:name w:val="footer"/>
    <w:basedOn w:val="1"/>
    <w:next w:val="1"/>
    <w:qFormat/>
    <w:uiPriority w:val="99"/>
    <w:pPr>
      <w:tabs>
        <w:tab w:val="center" w:pos="4153"/>
        <w:tab w:val="right" w:pos="8306"/>
      </w:tabs>
      <w:snapToGrid w:val="0"/>
      <w:jc w:val="left"/>
    </w:pPr>
    <w:rPr>
      <w:sz w:val="18"/>
      <w:szCs w:val="18"/>
    </w:rPr>
  </w:style>
  <w:style w:type="paragraph" w:styleId="12">
    <w:name w:val="Body Text Indent 3"/>
    <w:basedOn w:val="1"/>
    <w:qFormat/>
    <w:uiPriority w:val="0"/>
    <w:pPr>
      <w:ind w:firstLine="560" w:firstLineChars="200"/>
    </w:pPr>
    <w:rPr>
      <w:rFonts w:ascii="仿宋_GB2312" w:eastAsia="仿宋_GB2312"/>
      <w:sz w:val="28"/>
    </w:rPr>
  </w:style>
  <w:style w:type="paragraph" w:styleId="13">
    <w:name w:val="Normal (Web)"/>
    <w:basedOn w:val="1"/>
    <w:qFormat/>
    <w:uiPriority w:val="0"/>
    <w:rPr>
      <w:sz w:val="24"/>
    </w:rPr>
  </w:style>
  <w:style w:type="paragraph" w:styleId="14">
    <w:name w:val="Body Text First Indent"/>
    <w:basedOn w:val="3"/>
    <w:next w:val="15"/>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15">
    <w:name w:val="样式 正文首行缩进 + 首行缩进:  2 字符1"/>
    <w:basedOn w:val="14"/>
    <w:qFormat/>
    <w:uiPriority w:val="0"/>
    <w:pPr>
      <w:spacing w:after="0" w:line="360" w:lineRule="auto"/>
      <w:ind w:firstLine="480" w:firstLineChars="200"/>
    </w:pPr>
    <w:rPr>
      <w:sz w:val="24"/>
    </w:rPr>
  </w:style>
  <w:style w:type="paragraph" w:customStyle="1" w:styleId="18">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19">
    <w:name w:val="正本文字"/>
    <w:basedOn w:val="1"/>
    <w:qFormat/>
    <w:uiPriority w:val="0"/>
    <w:pPr>
      <w:adjustRightInd w:val="0"/>
      <w:snapToGrid w:val="0"/>
      <w:spacing w:line="360" w:lineRule="auto"/>
      <w:ind w:firstLine="200" w:firstLineChars="200"/>
      <w:jc w:val="left"/>
    </w:pPr>
    <w:rPr>
      <w:rFonts w:cs="宋体"/>
      <w:kern w:val="18"/>
      <w:sz w:val="24"/>
      <w:szCs w:val="20"/>
    </w:rPr>
  </w:style>
  <w:style w:type="paragraph" w:customStyle="1" w:styleId="20">
    <w:name w:val="报告正文"/>
    <w:basedOn w:val="1"/>
    <w:next w:val="1"/>
    <w:qFormat/>
    <w:uiPriority w:val="0"/>
    <w:pPr>
      <w:numPr>
        <w:ilvl w:val="0"/>
        <w:numId w:val="1"/>
      </w:numPr>
      <w:spacing w:line="360" w:lineRule="auto"/>
      <w:ind w:firstLine="720" w:firstLineChars="200"/>
    </w:pPr>
  </w:style>
  <w:style w:type="paragraph" w:customStyle="1" w:styleId="2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2">
    <w:name w:val="表格"/>
    <w:basedOn w:val="6"/>
    <w:next w:val="1"/>
    <w:qFormat/>
    <w:uiPriority w:val="0"/>
    <w:pPr>
      <w:adjustRightInd w:val="0"/>
      <w:spacing w:before="40" w:after="40"/>
      <w:jc w:val="center"/>
      <w:textAlignment w:val="baseline"/>
    </w:pPr>
    <w:rPr>
      <w:rFonts w:ascii="昆仑仿宋" w:eastAsia="昆仑仿宋"/>
      <w:bCs/>
      <w:snapToGrid/>
      <w:spacing w:val="0"/>
      <w:sz w:val="24"/>
      <w:szCs w:val="20"/>
    </w:rPr>
  </w:style>
  <w:style w:type="paragraph" w:customStyle="1" w:styleId="23">
    <w:name w:val="0正文"/>
    <w:basedOn w:val="7"/>
    <w:next w:val="1"/>
    <w:qFormat/>
    <w:uiPriority w:val="0"/>
    <w:pPr>
      <w:spacing w:line="360" w:lineRule="auto"/>
      <w:ind w:firstLine="720" w:firstLineChars="200"/>
    </w:pPr>
    <w:rPr>
      <w:szCs w:val="22"/>
    </w:rPr>
  </w:style>
  <w:style w:type="character" w:customStyle="1" w:styleId="24">
    <w:name w:val="fontstyle01"/>
    <w:qFormat/>
    <w:uiPriority w:val="0"/>
    <w:rPr>
      <w:rFonts w:hint="eastAsia" w:ascii="黑体" w:hAnsi="宋体" w:eastAsia="黑体" w:cs="黑体"/>
      <w:color w:val="000000"/>
      <w:sz w:val="22"/>
      <w:szCs w:val="22"/>
    </w:rPr>
  </w:style>
  <w:style w:type="paragraph" w:customStyle="1" w:styleId="25">
    <w:name w:val="【正文】"/>
    <w:basedOn w:val="1"/>
    <w:next w:val="1"/>
    <w:qFormat/>
    <w:uiPriority w:val="0"/>
    <w:pPr>
      <w:spacing w:line="360" w:lineRule="auto"/>
      <w:ind w:firstLine="200" w:firstLineChars="200"/>
    </w:pPr>
    <w:rPr>
      <w:spacing w:val="17"/>
      <w:sz w:val="24"/>
      <w:szCs w:val="20"/>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2256</Words>
  <Characters>2447</Characters>
  <Lines>13</Lines>
  <Paragraphs>3</Paragraphs>
  <TotalTime>663</TotalTime>
  <ScaleCrop>false</ScaleCrop>
  <LinksUpToDate>false</LinksUpToDate>
  <CharactersWithSpaces>2447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2021-11-12T19:57:00Z</dcterms:created>
  <dc:creator>海霞</dc:creator>
  <cp:lastModifiedBy>李冬月</cp:lastModifiedBy>
  <cp:lastPrinted>2026-05-09T10:08:19Z</cp:lastPrinted>
  <dcterms:modified xsi:type="dcterms:W3CDTF">2026-05-09T10:08:23Z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D4C93DA4297B462B81A0821D224DDBC5</vt:lpwstr>
  </property>
  <property fmtid="{D5CDD505-2E9C-101B-9397-08002B2CF9AE}" pid="4" name="KSOTemplateDocerSaveRecord">
    <vt:lpwstr>eyJoZGlkIjoiNWIyMTMxYzc3NmNmMWQ1ZmY4MTI1MWQ5YTQ3MWNlZDQiLCJ1c2VySWQiOiI0MzIxMDE1NzUifQ==</vt:lpwstr>
  </property>
</Properties>
</file>