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B1E747">
      <w:pPr>
        <w:keepNext w:val="0"/>
        <w:keepLines w:val="0"/>
        <w:pageBreakBefore w:val="0"/>
        <w:widowControl/>
        <w:kinsoku/>
        <w:wordWrap/>
        <w:overflowPunct/>
        <w:topLinePunct w:val="0"/>
        <w:bidi w:val="0"/>
        <w:spacing w:line="560" w:lineRule="exact"/>
        <w:ind w:left="0" w:leftChars="0"/>
        <w:jc w:val="right"/>
        <w:textAlignment w:val="auto"/>
        <w:rPr>
          <w:rFonts w:hint="default" w:ascii="Times New Roman" w:hAnsi="Times New Roman" w:eastAsia="仿宋_GB2312" w:cs="Times New Roman"/>
          <w:b w:val="0"/>
          <w:bCs/>
          <w:color w:val="auto"/>
          <w:sz w:val="32"/>
          <w:szCs w:val="32"/>
          <w:highlight w:val="none"/>
          <w:shd w:val="clear" w:color="auto" w:fill="auto"/>
        </w:rPr>
      </w:pPr>
    </w:p>
    <w:p w14:paraId="1C1058C9">
      <w:pPr>
        <w:pStyle w:val="2"/>
        <w:keepNext w:val="0"/>
        <w:keepLines w:val="0"/>
        <w:pageBreakBefore w:val="0"/>
        <w:kinsoku/>
        <w:wordWrap/>
        <w:overflowPunct/>
        <w:topLinePunct w:val="0"/>
        <w:bidi w:val="0"/>
        <w:spacing w:line="560" w:lineRule="exact"/>
        <w:textAlignment w:val="auto"/>
        <w:rPr>
          <w:rFonts w:hint="default" w:ascii="Times New Roman" w:hAnsi="Times New Roman" w:eastAsia="仿宋_GB2312" w:cs="Times New Roman"/>
          <w:b w:val="0"/>
          <w:bCs/>
          <w:sz w:val="32"/>
          <w:szCs w:val="32"/>
          <w:highlight w:val="none"/>
          <w:shd w:val="clear" w:color="auto" w:fill="auto"/>
        </w:rPr>
      </w:pPr>
    </w:p>
    <w:p w14:paraId="4DF5B767">
      <w:pPr>
        <w:pStyle w:val="2"/>
        <w:keepNext w:val="0"/>
        <w:keepLines w:val="0"/>
        <w:pageBreakBefore w:val="0"/>
        <w:kinsoku/>
        <w:wordWrap/>
        <w:overflowPunct/>
        <w:topLinePunct w:val="0"/>
        <w:bidi w:val="0"/>
        <w:spacing w:line="560" w:lineRule="exact"/>
        <w:textAlignment w:val="auto"/>
        <w:rPr>
          <w:rFonts w:hint="default" w:ascii="Times New Roman" w:hAnsi="Times New Roman" w:eastAsia="仿宋_GB2312" w:cs="Times New Roman"/>
          <w:b w:val="0"/>
          <w:bCs/>
          <w:sz w:val="32"/>
          <w:szCs w:val="32"/>
          <w:highlight w:val="none"/>
          <w:shd w:val="clear" w:color="auto" w:fill="auto"/>
        </w:rPr>
      </w:pPr>
    </w:p>
    <w:p w14:paraId="0E5FDA5C">
      <w:pPr>
        <w:keepNext w:val="0"/>
        <w:keepLines w:val="0"/>
        <w:pageBreakBefore w:val="0"/>
        <w:widowControl/>
        <w:kinsoku/>
        <w:wordWrap/>
        <w:overflowPunct/>
        <w:topLinePunct w:val="0"/>
        <w:bidi w:val="0"/>
        <w:spacing w:line="560" w:lineRule="exact"/>
        <w:ind w:left="0" w:leftChars="0"/>
        <w:jc w:val="both"/>
        <w:textAlignment w:val="auto"/>
        <w:rPr>
          <w:rFonts w:hint="default" w:ascii="Times New Roman" w:hAnsi="Times New Roman" w:eastAsia="仿宋_GB2312" w:cs="Times New Roman"/>
          <w:b w:val="0"/>
          <w:bCs/>
          <w:color w:val="auto"/>
          <w:sz w:val="32"/>
          <w:szCs w:val="32"/>
          <w:highlight w:val="none"/>
          <w:shd w:val="clear" w:color="auto" w:fill="auto"/>
        </w:rPr>
      </w:pPr>
    </w:p>
    <w:p w14:paraId="6E1B6FDD">
      <w:pPr>
        <w:pStyle w:val="44"/>
        <w:keepNext w:val="0"/>
        <w:keepLines w:val="0"/>
        <w:pageBreakBefore w:val="0"/>
        <w:kinsoku/>
        <w:wordWrap/>
        <w:overflowPunct/>
        <w:topLinePunct w:val="0"/>
        <w:bidi w:val="0"/>
        <w:spacing w:line="560" w:lineRule="exact"/>
        <w:ind w:left="0" w:leftChars="0"/>
        <w:jc w:val="right"/>
        <w:textAlignment w:val="auto"/>
        <w:rPr>
          <w:rFonts w:hint="default" w:ascii="Times New Roman" w:hAnsi="Times New Roman" w:eastAsia="仿宋_GB2312" w:cs="Times New Roman"/>
          <w:b w:val="0"/>
          <w:bCs/>
          <w:color w:val="auto"/>
          <w:sz w:val="32"/>
          <w:szCs w:val="32"/>
          <w:highlight w:val="none"/>
          <w:shd w:val="clear" w:color="auto" w:fill="auto"/>
          <w:lang w:eastAsia="zh-CN"/>
        </w:rPr>
      </w:pPr>
      <w:r>
        <w:rPr>
          <w:rFonts w:hint="default" w:ascii="Times New Roman" w:hAnsi="Times New Roman" w:eastAsia="仿宋_GB2312" w:cs="Times New Roman"/>
          <w:b w:val="0"/>
          <w:bCs/>
          <w:color w:val="auto"/>
          <w:sz w:val="32"/>
          <w:szCs w:val="32"/>
          <w:highlight w:val="none"/>
          <w:shd w:val="clear" w:color="auto" w:fill="auto"/>
        </w:rPr>
        <w:t>本环建表字</w:t>
      </w:r>
      <w:r>
        <w:rPr>
          <w:rFonts w:hint="default" w:ascii="Times New Roman" w:hAnsi="Times New Roman" w:eastAsia="仿宋_GB2312" w:cs="Times New Roman"/>
          <w:b w:val="0"/>
          <w:bCs/>
          <w:color w:val="auto"/>
          <w:sz w:val="32"/>
          <w:szCs w:val="32"/>
          <w:highlight w:val="none"/>
          <w:shd w:val="clear" w:color="auto" w:fill="auto"/>
          <w:lang w:eastAsia="zh-CN"/>
        </w:rPr>
        <w:t>〔202</w:t>
      </w:r>
      <w:r>
        <w:rPr>
          <w:rFonts w:hint="default" w:ascii="Times New Roman" w:hAnsi="Times New Roman" w:eastAsia="仿宋_GB2312" w:cs="Times New Roman"/>
          <w:b w:val="0"/>
          <w:bCs/>
          <w:color w:val="auto"/>
          <w:sz w:val="32"/>
          <w:szCs w:val="32"/>
          <w:highlight w:val="none"/>
          <w:shd w:val="clear" w:color="auto" w:fill="auto"/>
          <w:lang w:val="en-US" w:eastAsia="zh-CN"/>
        </w:rPr>
        <w:t>6</w:t>
      </w:r>
      <w:r>
        <w:rPr>
          <w:rFonts w:hint="default" w:ascii="Times New Roman" w:hAnsi="Times New Roman" w:eastAsia="仿宋_GB2312" w:cs="Times New Roman"/>
          <w:b w:val="0"/>
          <w:bCs/>
          <w:color w:val="auto"/>
          <w:sz w:val="32"/>
          <w:szCs w:val="32"/>
          <w:highlight w:val="none"/>
          <w:shd w:val="clear" w:color="auto" w:fill="auto"/>
          <w:lang w:eastAsia="zh-CN"/>
        </w:rPr>
        <w:t>〕</w:t>
      </w:r>
      <w:r>
        <w:rPr>
          <w:rFonts w:hint="eastAsia" w:eastAsia="仿宋_GB2312" w:cs="Times New Roman"/>
          <w:b w:val="0"/>
          <w:bCs/>
          <w:color w:val="auto"/>
          <w:sz w:val="32"/>
          <w:szCs w:val="32"/>
          <w:highlight w:val="none"/>
          <w:shd w:val="clear" w:color="auto" w:fill="auto"/>
          <w:lang w:val="en-US" w:eastAsia="zh-CN"/>
        </w:rPr>
        <w:t>17</w:t>
      </w:r>
      <w:r>
        <w:rPr>
          <w:rFonts w:hint="default" w:ascii="Times New Roman" w:hAnsi="Times New Roman" w:eastAsia="仿宋_GB2312" w:cs="Times New Roman"/>
          <w:b w:val="0"/>
          <w:bCs/>
          <w:color w:val="auto"/>
          <w:sz w:val="32"/>
          <w:szCs w:val="32"/>
          <w:highlight w:val="none"/>
          <w:shd w:val="clear" w:color="auto" w:fill="auto"/>
          <w:lang w:eastAsia="zh-CN"/>
        </w:rPr>
        <w:t>号</w:t>
      </w:r>
    </w:p>
    <w:p w14:paraId="5AB1631C">
      <w:pPr>
        <w:keepNext w:val="0"/>
        <w:keepLines w:val="0"/>
        <w:pageBreakBefore w:val="0"/>
        <w:kinsoku/>
        <w:wordWrap/>
        <w:overflowPunct/>
        <w:topLinePunct w:val="0"/>
        <w:bidi w:val="0"/>
        <w:spacing w:line="560" w:lineRule="exact"/>
        <w:ind w:left="0"/>
        <w:jc w:val="center"/>
        <w:textAlignment w:val="auto"/>
        <w:rPr>
          <w:rFonts w:hint="eastAsia" w:ascii="方正小标宋简体" w:hAnsi="方正小标宋简体" w:eastAsia="方正小标宋简体" w:cs="方正小标宋简体"/>
          <w:b w:val="0"/>
          <w:bCs/>
          <w:snapToGrid/>
          <w:color w:val="auto"/>
          <w:spacing w:val="0"/>
          <w:kern w:val="2"/>
          <w:sz w:val="44"/>
          <w:szCs w:val="44"/>
          <w:highlight w:val="none"/>
          <w:shd w:val="clear" w:color="auto" w:fill="auto"/>
        </w:rPr>
      </w:pPr>
      <w:r>
        <w:rPr>
          <w:rFonts w:hint="eastAsia" w:ascii="方正小标宋简体" w:hAnsi="方正小标宋简体" w:eastAsia="方正小标宋简体" w:cs="方正小标宋简体"/>
          <w:b w:val="0"/>
          <w:bCs/>
          <w:snapToGrid/>
          <w:color w:val="auto"/>
          <w:spacing w:val="0"/>
          <w:kern w:val="2"/>
          <w:sz w:val="44"/>
          <w:szCs w:val="44"/>
          <w:highlight w:val="none"/>
          <w:shd w:val="clear" w:color="auto" w:fill="auto"/>
        </w:rPr>
        <w:t>关于《</w:t>
      </w:r>
      <w:r>
        <w:rPr>
          <w:rFonts w:hint="eastAsia" w:ascii="方正小标宋简体" w:hAnsi="方正小标宋简体" w:eastAsia="方正小标宋简体" w:cs="方正小标宋简体"/>
          <w:b w:val="0"/>
          <w:bCs/>
          <w:color w:val="auto"/>
          <w:spacing w:val="11"/>
          <w:sz w:val="44"/>
          <w:szCs w:val="44"/>
          <w:highlight w:val="none"/>
          <w:shd w:val="clear" w:color="auto" w:fill="auto"/>
          <w:lang w:val="en-US" w:eastAsia="zh-CN"/>
        </w:rPr>
        <w:t>辽宁顺安消防科技有限公司年产3.5万吨中大型高端铸件消失模生产线项目</w:t>
      </w:r>
      <w:r>
        <w:rPr>
          <w:rFonts w:hint="eastAsia" w:ascii="方正小标宋简体" w:hAnsi="方正小标宋简体" w:eastAsia="方正小标宋简体" w:cs="方正小标宋简体"/>
          <w:b w:val="0"/>
          <w:bCs/>
          <w:color w:val="auto"/>
          <w:spacing w:val="11"/>
          <w:sz w:val="44"/>
          <w:szCs w:val="44"/>
          <w:highlight w:val="none"/>
          <w:shd w:val="clear" w:color="auto" w:fill="auto"/>
          <w:lang w:eastAsia="zh-CN"/>
        </w:rPr>
        <w:t>环境影响报告表</w:t>
      </w:r>
      <w:r>
        <w:rPr>
          <w:rFonts w:hint="eastAsia" w:ascii="方正小标宋简体" w:hAnsi="方正小标宋简体" w:eastAsia="方正小标宋简体" w:cs="方正小标宋简体"/>
          <w:b w:val="0"/>
          <w:bCs/>
          <w:snapToGrid/>
          <w:color w:val="auto"/>
          <w:spacing w:val="0"/>
          <w:kern w:val="2"/>
          <w:sz w:val="44"/>
          <w:szCs w:val="44"/>
          <w:highlight w:val="none"/>
          <w:shd w:val="clear" w:color="auto" w:fill="auto"/>
        </w:rPr>
        <w:t>》的批复</w:t>
      </w:r>
    </w:p>
    <w:p w14:paraId="68358611">
      <w:pPr>
        <w:keepNext w:val="0"/>
        <w:keepLines w:val="0"/>
        <w:pageBreakBefore w:val="0"/>
        <w:kinsoku/>
        <w:wordWrap/>
        <w:overflowPunct/>
        <w:topLinePunct w:val="0"/>
        <w:bidi w:val="0"/>
        <w:spacing w:line="560" w:lineRule="exact"/>
        <w:textAlignment w:val="auto"/>
        <w:rPr>
          <w:rFonts w:hint="default" w:ascii="Times New Roman" w:hAnsi="Times New Roman" w:eastAsia="仿宋_GB2312" w:cs="Times New Roman"/>
          <w:b w:val="0"/>
          <w:bCs/>
          <w:color w:val="auto"/>
          <w:sz w:val="32"/>
          <w:szCs w:val="32"/>
          <w:highlight w:val="none"/>
          <w:shd w:val="clear" w:color="auto" w:fill="auto"/>
          <w:lang w:val="en-US" w:eastAsia="zh-CN"/>
        </w:rPr>
      </w:pPr>
    </w:p>
    <w:p w14:paraId="4925737B">
      <w:pPr>
        <w:keepNext w:val="0"/>
        <w:keepLines w:val="0"/>
        <w:pageBreakBefore w:val="0"/>
        <w:kinsoku/>
        <w:wordWrap/>
        <w:overflowPunct/>
        <w:topLinePunct w:val="0"/>
        <w:bidi w:val="0"/>
        <w:spacing w:line="560" w:lineRule="exact"/>
        <w:textAlignment w:val="auto"/>
        <w:rPr>
          <w:rFonts w:hint="default" w:ascii="Times New Roman" w:hAnsi="Times New Roman" w:eastAsia="仿宋_GB2312" w:cs="Times New Roman"/>
          <w:b w:val="0"/>
          <w:bCs/>
          <w:color w:val="auto"/>
          <w:sz w:val="32"/>
          <w:szCs w:val="32"/>
          <w:highlight w:val="none"/>
          <w:shd w:val="clear" w:color="auto" w:fill="auto"/>
          <w:lang w:val="en-US" w:eastAsia="zh-CN"/>
        </w:rPr>
      </w:pPr>
      <w:r>
        <w:rPr>
          <w:rFonts w:hint="default" w:ascii="Times New Roman" w:hAnsi="Times New Roman" w:eastAsia="仿宋_GB2312" w:cs="Times New Roman"/>
          <w:b w:val="0"/>
          <w:bCs/>
          <w:color w:val="auto"/>
          <w:sz w:val="32"/>
          <w:szCs w:val="32"/>
          <w:highlight w:val="none"/>
          <w:shd w:val="clear" w:color="auto" w:fill="auto"/>
          <w:lang w:val="en-US" w:eastAsia="zh-CN"/>
        </w:rPr>
        <w:t>辽宁顺安消防科技有限公司：</w:t>
      </w:r>
    </w:p>
    <w:p w14:paraId="1C3AA69B">
      <w:pPr>
        <w:keepNext w:val="0"/>
        <w:keepLines w:val="0"/>
        <w:pageBreakBefore w:val="0"/>
        <w:kinsoku/>
        <w:wordWrap/>
        <w:overflowPunct/>
        <w:topLinePunct w:val="0"/>
        <w:bidi w:val="0"/>
        <w:spacing w:line="560" w:lineRule="exact"/>
        <w:ind w:firstLine="680" w:firstLineChars="200"/>
        <w:textAlignment w:val="auto"/>
        <w:rPr>
          <w:rFonts w:hint="default" w:ascii="Times New Roman" w:hAnsi="Times New Roman" w:eastAsia="仿宋_GB2312" w:cs="Times New Roman"/>
          <w:b w:val="0"/>
          <w:bCs/>
          <w:color w:val="auto"/>
          <w:sz w:val="32"/>
          <w:szCs w:val="32"/>
          <w:highlight w:val="none"/>
          <w:shd w:val="clear" w:color="auto" w:fill="auto"/>
          <w:lang w:val="en-US" w:eastAsia="zh-CN"/>
        </w:rPr>
      </w:pPr>
      <w:r>
        <w:rPr>
          <w:rFonts w:hint="default" w:ascii="Times New Roman" w:hAnsi="Times New Roman" w:eastAsia="仿宋_GB2312" w:cs="Times New Roman"/>
          <w:b w:val="0"/>
          <w:bCs/>
          <w:color w:val="auto"/>
          <w:sz w:val="32"/>
          <w:szCs w:val="32"/>
          <w:highlight w:val="none"/>
          <w:shd w:val="clear" w:color="auto" w:fill="auto"/>
          <w:lang w:val="en-US" w:eastAsia="zh-CN"/>
        </w:rPr>
        <w:t>你公司报送的《辽宁顺安消防科技有限公司年产3.5万吨中大型高端铸件消失模生产线项目环境影响报告表》（以下简称“报告表”）已收悉。根据环评专家评审意见及技术评估报告结论，经我局2026年建设项目审查委员会第二次会议讨论同意，现批复如下：</w:t>
      </w:r>
    </w:p>
    <w:p w14:paraId="15976FC8">
      <w:pPr>
        <w:keepNext w:val="0"/>
        <w:keepLines w:val="0"/>
        <w:pageBreakBefore w:val="0"/>
        <w:kinsoku/>
        <w:wordWrap/>
        <w:overflowPunct/>
        <w:topLinePunct w:val="0"/>
        <w:bidi w:val="0"/>
        <w:spacing w:line="560" w:lineRule="exact"/>
        <w:ind w:firstLine="680" w:firstLineChars="200"/>
        <w:textAlignment w:val="auto"/>
        <w:rPr>
          <w:rFonts w:hint="default" w:ascii="Times New Roman" w:hAnsi="Times New Roman" w:eastAsia="仿宋_GB2312" w:cs="Times New Roman"/>
          <w:b w:val="0"/>
          <w:bCs/>
          <w:color w:val="auto"/>
          <w:sz w:val="32"/>
          <w:szCs w:val="32"/>
          <w:highlight w:val="none"/>
          <w:shd w:val="clear" w:color="auto" w:fill="auto"/>
          <w:lang w:val="en-US" w:eastAsia="zh-CN"/>
        </w:rPr>
      </w:pPr>
      <w:r>
        <w:rPr>
          <w:rFonts w:hint="default" w:ascii="Times New Roman" w:hAnsi="Times New Roman" w:eastAsia="仿宋_GB2312" w:cs="Times New Roman"/>
          <w:b w:val="0"/>
          <w:bCs/>
          <w:color w:val="auto"/>
          <w:sz w:val="32"/>
          <w:szCs w:val="32"/>
          <w:highlight w:val="none"/>
          <w:shd w:val="clear" w:color="auto" w:fill="auto"/>
          <w:lang w:val="en-US" w:eastAsia="zh-CN"/>
        </w:rPr>
        <w:t>项目位于辽宁省本溪市南芬区下马塘街道辽宁</w:t>
      </w:r>
      <w:r>
        <w:rPr>
          <w:rFonts w:hint="eastAsia" w:eastAsia="仿宋_GB2312" w:cs="Times New Roman"/>
          <w:b w:val="0"/>
          <w:bCs/>
          <w:color w:val="auto"/>
          <w:sz w:val="32"/>
          <w:szCs w:val="32"/>
          <w:highlight w:val="none"/>
          <w:shd w:val="clear" w:color="auto" w:fill="auto"/>
          <w:lang w:val="en-US" w:eastAsia="zh-CN"/>
        </w:rPr>
        <w:t>金</w:t>
      </w:r>
      <w:r>
        <w:rPr>
          <w:rFonts w:hint="default" w:ascii="Times New Roman" w:hAnsi="Times New Roman" w:eastAsia="仿宋_GB2312" w:cs="Times New Roman"/>
          <w:b w:val="0"/>
          <w:bCs/>
          <w:color w:val="auto"/>
          <w:sz w:val="32"/>
          <w:szCs w:val="32"/>
          <w:highlight w:val="none"/>
          <w:shd w:val="clear" w:color="auto" w:fill="auto"/>
          <w:lang w:val="en-US" w:eastAsia="zh-CN"/>
        </w:rPr>
        <w:t>顺安消防科技有限公司厂区内（本溪南芬经济开发区内），项目总投资为1000万元，环保投资195万元，环保投资占比19.5%。本项目属于扩建项目，原有项目于2022年8月取得了本溪市生态环境局出具的《关于辽宁顺安新型高端免焊接环氧塑酯铁塑复合消防管件自动化生产线建设项目（一期）环境影响报告书的批复》（本环建字〔2022〕8号），建设4台5t铸造电炉，年生产沟槽管件10万吨（1条5万吨产能的垂直铸造生产线，1条5万吨产能的水平静压造型线）。本次扩建项目不新增占地，利用2#车间原规划5万吨产能的水平静压造型线区域建设，原料铁水依托原有项目电炉富余产能，不新增铸造电炉，购置白模雕刻机、喷涂机、2.1MW燃生物质燃料烘干房、混砂机、抛丸机、电退火炉、铣床、刨床等设备，新建2条消失模铸件生产线以及配套设施，设计年产中大型高端铸件3.5万吨，原5万吨产能的水平静压造型线不再建设。</w:t>
      </w:r>
    </w:p>
    <w:p w14:paraId="168097D5">
      <w:pPr>
        <w:keepNext w:val="0"/>
        <w:keepLines w:val="0"/>
        <w:pageBreakBefore w:val="0"/>
        <w:widowControl w:val="0"/>
        <w:kinsoku/>
        <w:wordWrap/>
        <w:overflowPunct/>
        <w:topLinePunct w:val="0"/>
        <w:bidi w:val="0"/>
        <w:adjustRightInd w:val="0"/>
        <w:snapToGrid w:val="0"/>
        <w:spacing w:line="560" w:lineRule="exact"/>
        <w:ind w:left="0" w:leftChars="0" w:firstLine="680" w:firstLineChars="200"/>
        <w:textAlignment w:val="auto"/>
        <w:rPr>
          <w:rFonts w:hint="default" w:ascii="Times New Roman" w:hAnsi="Times New Roman" w:eastAsia="仿宋_GB2312" w:cs="Times New Roman"/>
          <w:b w:val="0"/>
          <w:bCs/>
          <w:color w:val="auto"/>
          <w:sz w:val="32"/>
          <w:szCs w:val="32"/>
          <w:highlight w:val="none"/>
          <w:shd w:val="clear" w:color="auto" w:fill="auto"/>
          <w:lang w:val="en-US" w:eastAsia="zh-CN"/>
        </w:rPr>
      </w:pPr>
      <w:r>
        <w:rPr>
          <w:rFonts w:hint="default" w:ascii="Times New Roman" w:hAnsi="Times New Roman" w:eastAsia="仿宋_GB2312" w:cs="Times New Roman"/>
          <w:b w:val="0"/>
          <w:bCs/>
          <w:color w:val="auto"/>
          <w:sz w:val="32"/>
          <w:szCs w:val="32"/>
          <w:highlight w:val="none"/>
          <w:shd w:val="clear" w:color="auto" w:fill="auto"/>
          <w:lang w:val="en-US" w:eastAsia="zh-CN"/>
        </w:rPr>
        <w:t>根据《产业结构调整指导目录（2024年本）》，本项目属于“允许类”，符合国家产业政策。在严格落实报告表和本批复提出的各项生态环境保护措施和环境风险防范措施后，从生态环境角度，同意环境影响报告表中所列建设项目地点、生产规模和环境保护措施进行建设</w:t>
      </w:r>
      <w:r>
        <w:rPr>
          <w:rFonts w:hint="default" w:ascii="Times New Roman" w:hAnsi="Times New Roman" w:eastAsia="仿宋_GB2312" w:cs="Times New Roman"/>
          <w:b w:val="0"/>
          <w:bCs/>
          <w:color w:val="auto"/>
          <w:sz w:val="32"/>
          <w:szCs w:val="32"/>
          <w:highlight w:val="none"/>
          <w:shd w:val="clear" w:color="auto" w:fill="auto"/>
          <w:lang w:val="zh-TW" w:eastAsia="zh-CN"/>
        </w:rPr>
        <w:t>。</w:t>
      </w:r>
    </w:p>
    <w:p w14:paraId="53A4FC9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snapToGrid/>
          <w:color w:val="auto"/>
          <w:spacing w:val="0"/>
          <w:kern w:val="2"/>
          <w:sz w:val="32"/>
          <w:szCs w:val="32"/>
          <w:highlight w:val="none"/>
          <w:shd w:val="clear" w:color="auto" w:fill="auto"/>
        </w:rPr>
      </w:pPr>
      <w:r>
        <w:rPr>
          <w:rFonts w:hint="default" w:ascii="Times New Roman" w:hAnsi="Times New Roman" w:eastAsia="仿宋_GB2312" w:cs="Times New Roman"/>
          <w:b w:val="0"/>
          <w:bCs/>
          <w:snapToGrid/>
          <w:color w:val="auto"/>
          <w:spacing w:val="0"/>
          <w:kern w:val="2"/>
          <w:sz w:val="32"/>
          <w:szCs w:val="32"/>
          <w:highlight w:val="none"/>
          <w:shd w:val="clear" w:color="auto" w:fill="auto"/>
        </w:rPr>
        <w:t>二、项目建设应严格落实《报告表》提出的各项环境保护措施和风险防控措施，重点做好以下工作：</w:t>
      </w:r>
    </w:p>
    <w:p w14:paraId="59AF1AF4">
      <w:pPr>
        <w:keepNext w:val="0"/>
        <w:keepLines w:val="0"/>
        <w:pageBreakBefore w:val="0"/>
        <w:kinsoku/>
        <w:wordWrap/>
        <w:overflowPunct/>
        <w:topLinePunct w:val="0"/>
        <w:bidi w:val="0"/>
        <w:spacing w:line="560" w:lineRule="exact"/>
        <w:ind w:firstLine="640" w:firstLineChars="200"/>
        <w:jc w:val="both"/>
        <w:textAlignment w:val="auto"/>
        <w:rPr>
          <w:rFonts w:hint="default" w:ascii="Times New Roman" w:hAnsi="Times New Roman" w:eastAsia="仿宋_GB2312" w:cs="Times New Roman"/>
          <w:b w:val="0"/>
          <w:bCs/>
          <w:color w:val="000000"/>
          <w:sz w:val="32"/>
          <w:szCs w:val="32"/>
          <w:highlight w:val="none"/>
          <w:shd w:val="clear" w:color="auto" w:fill="auto"/>
          <w:lang w:val="en-US" w:eastAsia="zh-CN"/>
        </w:rPr>
      </w:pPr>
      <w:r>
        <w:rPr>
          <w:rFonts w:hint="default" w:ascii="Times New Roman" w:hAnsi="Times New Roman" w:eastAsia="仿宋_GB2312" w:cs="Times New Roman"/>
          <w:b w:val="0"/>
          <w:bCs/>
          <w:snapToGrid/>
          <w:color w:val="auto"/>
          <w:spacing w:val="0"/>
          <w:kern w:val="2"/>
          <w:sz w:val="32"/>
          <w:szCs w:val="32"/>
          <w:highlight w:val="none"/>
          <w:shd w:val="clear" w:color="auto" w:fill="auto"/>
          <w:lang w:val="en-US" w:eastAsia="zh-CN" w:bidi="ar-SA"/>
        </w:rPr>
        <w:t>（一）</w:t>
      </w:r>
      <w:r>
        <w:rPr>
          <w:rFonts w:hint="default" w:ascii="Times New Roman" w:hAnsi="Times New Roman" w:eastAsia="仿宋_GB2312" w:cs="Times New Roman"/>
          <w:b w:val="0"/>
          <w:bCs/>
          <w:sz w:val="32"/>
          <w:szCs w:val="32"/>
          <w:highlight w:val="none"/>
          <w:shd w:val="clear" w:color="auto" w:fill="auto"/>
          <w:lang w:eastAsia="zh-CN"/>
        </w:rPr>
        <w:t>严格落实大气污染防治措施。</w:t>
      </w:r>
      <w:r>
        <w:rPr>
          <w:rFonts w:hint="default" w:ascii="Times New Roman" w:hAnsi="Times New Roman" w:eastAsia="仿宋_GB2312" w:cs="Times New Roman"/>
          <w:b w:val="0"/>
          <w:bCs/>
          <w:snapToGrid w:val="0"/>
          <w:color w:val="000000"/>
          <w:spacing w:val="10"/>
          <w:kern w:val="2"/>
          <w:sz w:val="32"/>
          <w:szCs w:val="32"/>
          <w:highlight w:val="none"/>
          <w:shd w:val="clear" w:color="auto" w:fill="auto"/>
          <w:lang w:val="en-US" w:eastAsia="zh-CN" w:bidi="ar-SA"/>
        </w:rPr>
        <w:t>项目在组模粘接工序设置1个集气罩，产生的</w:t>
      </w:r>
      <w:r>
        <w:rPr>
          <w:rFonts w:hint="default" w:ascii="Times New Roman" w:hAnsi="Times New Roman" w:eastAsia="仿宋_GB2312" w:cs="Times New Roman"/>
          <w:b w:val="0"/>
          <w:bCs/>
          <w:color w:val="auto"/>
          <w:sz w:val="32"/>
          <w:szCs w:val="32"/>
          <w:highlight w:val="none"/>
          <w:shd w:val="clear" w:color="auto" w:fill="auto"/>
          <w:lang w:val="en-US" w:eastAsia="zh-CN"/>
        </w:rPr>
        <w:t>挥发性有机物（以非甲烷总烃计）经集气罩收集至二级活性炭吸附装置（TA014）处理后，由1根20m高排气筒（DA01</w:t>
      </w:r>
      <w:r>
        <w:rPr>
          <w:rFonts w:hint="eastAsia" w:eastAsia="仿宋_GB2312" w:cs="Times New Roman"/>
          <w:b w:val="0"/>
          <w:bCs/>
          <w:color w:val="auto"/>
          <w:sz w:val="32"/>
          <w:szCs w:val="32"/>
          <w:highlight w:val="none"/>
          <w:shd w:val="clear" w:color="auto" w:fill="auto"/>
          <w:lang w:val="en-US" w:eastAsia="zh-CN"/>
        </w:rPr>
        <w:t>3</w:t>
      </w:r>
      <w:r>
        <w:rPr>
          <w:rFonts w:hint="default" w:ascii="Times New Roman" w:hAnsi="Times New Roman" w:eastAsia="仿宋_GB2312" w:cs="Times New Roman"/>
          <w:b w:val="0"/>
          <w:bCs/>
          <w:color w:val="auto"/>
          <w:sz w:val="32"/>
          <w:szCs w:val="32"/>
          <w:highlight w:val="none"/>
          <w:shd w:val="clear" w:color="auto" w:fill="auto"/>
          <w:lang w:val="en-US" w:eastAsia="zh-CN"/>
        </w:rPr>
        <w:t>）排放，挥</w:t>
      </w:r>
      <w:bookmarkStart w:id="0" w:name="_GoBack"/>
      <w:bookmarkEnd w:id="0"/>
      <w:r>
        <w:rPr>
          <w:rFonts w:hint="default" w:ascii="Times New Roman" w:hAnsi="Times New Roman" w:eastAsia="仿宋_GB2312" w:cs="Times New Roman"/>
          <w:b w:val="0"/>
          <w:bCs/>
          <w:color w:val="auto"/>
          <w:sz w:val="32"/>
          <w:szCs w:val="32"/>
          <w:highlight w:val="none"/>
          <w:shd w:val="clear" w:color="auto" w:fill="auto"/>
          <w:lang w:val="en-US" w:eastAsia="zh-CN"/>
        </w:rPr>
        <w:t>发性有机物（以非甲烷总烃计）排放浓度应满足《合成树脂工业污染物排放标准》（GB31572-2015）及修改单表5标准限值要求；烘干房生物质燃烧器燃烧烟气经封闭式管线收集后引入布袋除尘器（TA015）处理后，由1根20m高排气筒（DA014）排放，废气排放浓度应满足《工业炉窑大气污染物排放标准》（GB9078-1996）表2中干燥炉标准限值要求，同时还应满足《工业炉窑大气污染综合治理方案》（环大气〔2019〕56号）中相关要求；浇注工序分别</w:t>
      </w:r>
      <w:r>
        <w:rPr>
          <w:rFonts w:hint="default" w:ascii="Times New Roman" w:hAnsi="Times New Roman" w:eastAsia="仿宋_GB2312" w:cs="Times New Roman"/>
          <w:b w:val="0"/>
          <w:bCs/>
          <w:snapToGrid w:val="0"/>
          <w:color w:val="000000"/>
          <w:spacing w:val="10"/>
          <w:kern w:val="2"/>
          <w:sz w:val="32"/>
          <w:szCs w:val="32"/>
          <w:highlight w:val="none"/>
          <w:shd w:val="clear" w:color="auto" w:fill="auto"/>
          <w:lang w:val="en-US" w:eastAsia="zh-CN" w:bidi="ar-SA"/>
        </w:rPr>
        <w:t>设置3个集气罩，</w:t>
      </w:r>
      <w:r>
        <w:rPr>
          <w:rFonts w:hint="default" w:ascii="Times New Roman" w:hAnsi="Times New Roman" w:eastAsia="仿宋_GB2312" w:cs="Times New Roman"/>
          <w:b w:val="0"/>
          <w:bCs/>
          <w:color w:val="auto"/>
          <w:sz w:val="32"/>
          <w:szCs w:val="32"/>
          <w:highlight w:val="none"/>
          <w:shd w:val="clear" w:color="auto" w:fill="auto"/>
          <w:lang w:val="en-US" w:eastAsia="zh-CN"/>
        </w:rPr>
        <w:t>产生的废气经集气罩收集至布袋除尘器（TA016）及二级活性炭吸附装置（TA017）处理后，由1根20m高排气筒（DA015）排放；落砂工序分别设置2个集气罩，粉尘经集气罩收集至布袋除尘器（TA018）处理后，由1根20m高排气筒（DA016）排放；抛丸工序粉尘经设备自带的布袋除尘器（TA019、TA020）处理后，分别由1根20m高排气筒（DA017、DA018）排放；废气排放浓度应满足《铸造工业大气污染物排放标准》(GB39726-2020)表1标准限值。本项目各生产工序均位于封闭式车间内，通过洒水抑尘等降尘措施后，厂界颗粒物排放浓度应满足《大气污染物综合排放标准》（GB16297-1996）中表2标准要求，非甲烷总烃排放浓度应满足《工业涂装工序挥发性有机物排放标准》（DB21/3160-2019）表3标准要求，厂区内颗粒物及非甲烷总烃排放浓度应满足《铸造工业大气污染物排放标准》(GB39726-2020)表A.1标准限值。</w:t>
      </w:r>
    </w:p>
    <w:p w14:paraId="79D88855">
      <w:pPr>
        <w:pStyle w:val="6"/>
        <w:keepNext w:val="0"/>
        <w:keepLines w:val="0"/>
        <w:pageBreakBefore w:val="0"/>
        <w:kinsoku/>
        <w:wordWrap/>
        <w:overflowPunct/>
        <w:topLinePunct w:val="0"/>
        <w:bidi w:val="0"/>
        <w:spacing w:line="560" w:lineRule="exact"/>
        <w:ind w:firstLine="640"/>
        <w:textAlignment w:val="auto"/>
        <w:rPr>
          <w:rFonts w:hint="default" w:ascii="Times New Roman" w:hAnsi="Times New Roman" w:eastAsia="仿宋_GB2312" w:cs="Times New Roman"/>
          <w:b w:val="0"/>
          <w:bCs/>
          <w:color w:val="auto"/>
          <w:sz w:val="32"/>
          <w:szCs w:val="32"/>
          <w:highlight w:val="none"/>
          <w:shd w:val="clear" w:color="auto" w:fill="auto"/>
          <w:lang w:val="en-US" w:eastAsia="zh-CN"/>
        </w:rPr>
      </w:pPr>
      <w:r>
        <w:rPr>
          <w:rFonts w:hint="default" w:ascii="Times New Roman" w:hAnsi="Times New Roman" w:eastAsia="仿宋_GB2312" w:cs="Times New Roman"/>
          <w:b w:val="0"/>
          <w:bCs/>
          <w:snapToGrid/>
          <w:color w:val="auto"/>
          <w:spacing w:val="0"/>
          <w:kern w:val="2"/>
          <w:sz w:val="32"/>
          <w:szCs w:val="32"/>
          <w:highlight w:val="none"/>
          <w:shd w:val="clear" w:color="auto" w:fill="auto"/>
          <w:lang w:val="en-US" w:eastAsia="zh-CN" w:bidi="ar-SA"/>
        </w:rPr>
        <w:t>（二）</w:t>
      </w:r>
      <w:r>
        <w:rPr>
          <w:rFonts w:hint="default" w:ascii="Times New Roman" w:hAnsi="Times New Roman" w:eastAsia="仿宋_GB2312" w:cs="Times New Roman"/>
          <w:b w:val="0"/>
          <w:bCs/>
          <w:iCs w:val="0"/>
          <w:snapToGrid w:val="0"/>
          <w:spacing w:val="10"/>
          <w:sz w:val="32"/>
          <w:szCs w:val="32"/>
          <w:highlight w:val="none"/>
          <w:shd w:val="clear" w:color="auto" w:fill="auto"/>
          <w:lang w:val="en-US" w:eastAsia="zh-CN" w:bidi="ar-SA"/>
        </w:rPr>
        <w:t>本项目无生产废水产生，不新增劳动定员，不涉及新增生活污水排放</w:t>
      </w:r>
      <w:r>
        <w:rPr>
          <w:rFonts w:hint="default" w:ascii="Times New Roman" w:hAnsi="Times New Roman" w:eastAsia="仿宋_GB2312" w:cs="Times New Roman"/>
          <w:b w:val="0"/>
          <w:bCs/>
          <w:color w:val="auto"/>
          <w:sz w:val="32"/>
          <w:szCs w:val="32"/>
          <w:highlight w:val="none"/>
          <w:shd w:val="clear" w:color="auto" w:fill="auto"/>
          <w:lang w:val="en-US" w:eastAsia="zh-CN"/>
        </w:rPr>
        <w:t>。</w:t>
      </w:r>
    </w:p>
    <w:p w14:paraId="3712AA80">
      <w:pPr>
        <w:keepNext w:val="0"/>
        <w:keepLines w:val="0"/>
        <w:pageBreakBefore w:val="0"/>
        <w:kinsoku/>
        <w:wordWrap/>
        <w:overflowPunct/>
        <w:topLinePunct w:val="0"/>
        <w:bidi w:val="0"/>
        <w:adjustRightInd w:val="0"/>
        <w:snapToGrid w:val="0"/>
        <w:spacing w:line="560" w:lineRule="exact"/>
        <w:ind w:firstLine="640" w:firstLineChars="200"/>
        <w:textAlignment w:val="auto"/>
        <w:rPr>
          <w:rFonts w:hint="default" w:ascii="Times New Roman" w:hAnsi="Times New Roman" w:eastAsia="仿宋_GB2312" w:cs="Times New Roman"/>
          <w:b w:val="0"/>
          <w:bCs/>
          <w:sz w:val="32"/>
          <w:szCs w:val="32"/>
          <w:highlight w:val="none"/>
          <w:shd w:val="clear" w:color="auto" w:fill="auto"/>
          <w:lang w:val="en-US" w:eastAsia="zh-CN" w:bidi="ar"/>
        </w:rPr>
      </w:pPr>
      <w:r>
        <w:rPr>
          <w:rFonts w:hint="default" w:ascii="Times New Roman" w:hAnsi="Times New Roman" w:eastAsia="仿宋_GB2312" w:cs="Times New Roman"/>
          <w:b w:val="0"/>
          <w:bCs/>
          <w:snapToGrid/>
          <w:color w:val="auto"/>
          <w:spacing w:val="0"/>
          <w:kern w:val="2"/>
          <w:sz w:val="32"/>
          <w:szCs w:val="32"/>
          <w:highlight w:val="none"/>
          <w:shd w:val="clear" w:color="auto" w:fill="auto"/>
          <w:lang w:val="zh-TW" w:eastAsia="zh-CN" w:bidi="ar-SA"/>
        </w:rPr>
        <w:t>（</w:t>
      </w:r>
      <w:r>
        <w:rPr>
          <w:rFonts w:hint="default" w:ascii="Times New Roman" w:hAnsi="Times New Roman" w:eastAsia="仿宋_GB2312" w:cs="Times New Roman"/>
          <w:b w:val="0"/>
          <w:bCs/>
          <w:snapToGrid/>
          <w:color w:val="auto"/>
          <w:spacing w:val="0"/>
          <w:kern w:val="2"/>
          <w:sz w:val="32"/>
          <w:szCs w:val="32"/>
          <w:highlight w:val="none"/>
          <w:shd w:val="clear" w:color="auto" w:fill="auto"/>
          <w:lang w:val="en-US" w:eastAsia="zh-CN" w:bidi="ar-SA"/>
        </w:rPr>
        <w:t>三</w:t>
      </w:r>
      <w:r>
        <w:rPr>
          <w:rFonts w:hint="default" w:ascii="Times New Roman" w:hAnsi="Times New Roman" w:eastAsia="仿宋_GB2312" w:cs="Times New Roman"/>
          <w:b w:val="0"/>
          <w:bCs/>
          <w:snapToGrid/>
          <w:color w:val="auto"/>
          <w:spacing w:val="0"/>
          <w:kern w:val="2"/>
          <w:sz w:val="32"/>
          <w:szCs w:val="32"/>
          <w:highlight w:val="none"/>
          <w:shd w:val="clear" w:color="auto" w:fill="auto"/>
          <w:lang w:val="zh-TW" w:eastAsia="zh-CN" w:bidi="ar-SA"/>
        </w:rPr>
        <w:t>）</w:t>
      </w:r>
      <w:r>
        <w:rPr>
          <w:rFonts w:hint="default" w:ascii="Times New Roman" w:hAnsi="Times New Roman" w:eastAsia="仿宋_GB2312" w:cs="Times New Roman"/>
          <w:b w:val="0"/>
          <w:bCs/>
          <w:iCs w:val="0"/>
          <w:snapToGrid w:val="0"/>
          <w:spacing w:val="10"/>
          <w:sz w:val="32"/>
          <w:szCs w:val="32"/>
          <w:highlight w:val="none"/>
          <w:shd w:val="clear" w:color="auto" w:fill="auto"/>
          <w:lang w:val="zh-TW" w:eastAsia="zh-CN" w:bidi="ar-SA"/>
        </w:rPr>
        <w:t>严格落实噪声污染防治措施</w:t>
      </w:r>
      <w:r>
        <w:rPr>
          <w:rFonts w:hint="default" w:ascii="Times New Roman" w:hAnsi="Times New Roman" w:eastAsia="仿宋_GB2312" w:cs="Times New Roman"/>
          <w:b w:val="0"/>
          <w:bCs/>
          <w:iCs w:val="0"/>
          <w:snapToGrid w:val="0"/>
          <w:spacing w:val="10"/>
          <w:sz w:val="32"/>
          <w:szCs w:val="32"/>
          <w:highlight w:val="none"/>
          <w:shd w:val="clear" w:color="auto" w:fill="auto"/>
          <w:lang w:val="en-US" w:eastAsia="zh-CN" w:bidi="ar-SA"/>
        </w:rPr>
        <w:t>。</w:t>
      </w:r>
      <w:r>
        <w:rPr>
          <w:rFonts w:hint="default" w:ascii="Times New Roman" w:hAnsi="Times New Roman" w:eastAsia="仿宋_GB2312" w:cs="Times New Roman"/>
          <w:b w:val="0"/>
          <w:bCs/>
          <w:sz w:val="32"/>
          <w:szCs w:val="32"/>
          <w:highlight w:val="none"/>
          <w:shd w:val="clear" w:color="auto" w:fill="auto"/>
          <w:lang w:val="en-US" w:eastAsia="zh-CN" w:bidi="ar"/>
        </w:rPr>
        <w:t>运营期</w:t>
      </w:r>
      <w:r>
        <w:rPr>
          <w:rFonts w:hint="default" w:ascii="Times New Roman" w:hAnsi="Times New Roman" w:eastAsia="仿宋_GB2312" w:cs="Times New Roman"/>
          <w:b w:val="0"/>
          <w:bCs/>
          <w:sz w:val="32"/>
          <w:szCs w:val="32"/>
          <w:highlight w:val="none"/>
          <w:shd w:val="clear" w:color="auto" w:fill="auto"/>
          <w:lang w:val="zh-CN" w:eastAsia="zh-CN" w:bidi="ar"/>
        </w:rPr>
        <w:t>噪声</w:t>
      </w:r>
      <w:r>
        <w:rPr>
          <w:rFonts w:hint="default" w:ascii="Times New Roman" w:hAnsi="Times New Roman" w:eastAsia="仿宋_GB2312" w:cs="Times New Roman"/>
          <w:b w:val="0"/>
          <w:bCs/>
          <w:sz w:val="32"/>
          <w:szCs w:val="32"/>
          <w:highlight w:val="none"/>
          <w:shd w:val="clear" w:color="auto" w:fill="auto"/>
          <w:lang w:val="en-US" w:eastAsia="zh-CN" w:bidi="ar"/>
        </w:rPr>
        <w:t>通过选用低噪声设备、</w:t>
      </w:r>
      <w:r>
        <w:rPr>
          <w:rFonts w:hint="default" w:ascii="Times New Roman" w:hAnsi="Times New Roman" w:eastAsia="仿宋_GB2312" w:cs="Times New Roman"/>
          <w:b w:val="0"/>
          <w:bCs/>
          <w:sz w:val="32"/>
          <w:szCs w:val="32"/>
          <w:highlight w:val="none"/>
          <w:shd w:val="clear" w:color="auto" w:fill="auto"/>
          <w:lang w:bidi="ar"/>
        </w:rPr>
        <w:t>采</w:t>
      </w:r>
      <w:r>
        <w:rPr>
          <w:rFonts w:hint="default" w:ascii="Times New Roman" w:hAnsi="Times New Roman" w:eastAsia="仿宋_GB2312" w:cs="Times New Roman"/>
          <w:b w:val="0"/>
          <w:bCs/>
          <w:sz w:val="32"/>
          <w:szCs w:val="32"/>
          <w:highlight w:val="none"/>
          <w:shd w:val="clear" w:color="auto" w:fill="auto"/>
          <w:lang w:val="en-US" w:eastAsia="zh-CN" w:bidi="ar"/>
        </w:rPr>
        <w:t>取基础</w:t>
      </w:r>
      <w:r>
        <w:rPr>
          <w:rFonts w:hint="default" w:ascii="Times New Roman" w:hAnsi="Times New Roman" w:eastAsia="仿宋_GB2312" w:cs="Times New Roman"/>
          <w:b w:val="0"/>
          <w:bCs/>
          <w:sz w:val="32"/>
          <w:szCs w:val="32"/>
          <w:highlight w:val="none"/>
          <w:shd w:val="clear" w:color="auto" w:fill="auto"/>
          <w:lang w:bidi="ar"/>
        </w:rPr>
        <w:t>减振</w:t>
      </w:r>
      <w:r>
        <w:rPr>
          <w:rFonts w:hint="default" w:ascii="Times New Roman" w:hAnsi="Times New Roman" w:eastAsia="仿宋_GB2312" w:cs="Times New Roman"/>
          <w:b w:val="0"/>
          <w:bCs/>
          <w:sz w:val="32"/>
          <w:szCs w:val="32"/>
          <w:highlight w:val="none"/>
          <w:shd w:val="clear" w:color="auto" w:fill="auto"/>
          <w:lang w:val="en-US" w:eastAsia="zh-CN" w:bidi="ar"/>
        </w:rPr>
        <w:t>以及生产车间</w:t>
      </w:r>
      <w:r>
        <w:rPr>
          <w:rFonts w:hint="default" w:ascii="Times New Roman" w:hAnsi="Times New Roman" w:eastAsia="仿宋_GB2312" w:cs="Times New Roman"/>
          <w:b w:val="0"/>
          <w:bCs/>
          <w:sz w:val="32"/>
          <w:szCs w:val="32"/>
          <w:highlight w:val="none"/>
          <w:shd w:val="clear" w:color="auto" w:fill="auto"/>
          <w:lang w:bidi="ar"/>
        </w:rPr>
        <w:t>隔</w:t>
      </w:r>
      <w:r>
        <w:rPr>
          <w:rFonts w:hint="default" w:ascii="Times New Roman" w:hAnsi="Times New Roman" w:eastAsia="仿宋_GB2312" w:cs="Times New Roman"/>
          <w:b w:val="0"/>
          <w:bCs/>
          <w:sz w:val="32"/>
          <w:szCs w:val="32"/>
          <w:highlight w:val="none"/>
          <w:shd w:val="clear" w:color="auto" w:fill="auto"/>
          <w:lang w:val="en-US" w:eastAsia="zh-CN" w:bidi="ar"/>
        </w:rPr>
        <w:t>声</w:t>
      </w:r>
      <w:r>
        <w:rPr>
          <w:rFonts w:hint="default" w:ascii="Times New Roman" w:hAnsi="Times New Roman" w:eastAsia="仿宋_GB2312" w:cs="Times New Roman"/>
          <w:b w:val="0"/>
          <w:bCs/>
          <w:sz w:val="32"/>
          <w:szCs w:val="32"/>
          <w:highlight w:val="none"/>
          <w:shd w:val="clear" w:color="auto" w:fill="auto"/>
          <w:lang w:bidi="ar"/>
        </w:rPr>
        <w:t>等降噪措施后</w:t>
      </w:r>
      <w:r>
        <w:rPr>
          <w:rFonts w:hint="default" w:ascii="Times New Roman" w:hAnsi="Times New Roman" w:eastAsia="仿宋_GB2312" w:cs="Times New Roman"/>
          <w:b w:val="0"/>
          <w:bCs/>
          <w:sz w:val="32"/>
          <w:szCs w:val="32"/>
          <w:highlight w:val="none"/>
          <w:shd w:val="clear" w:color="auto" w:fill="auto"/>
          <w:lang w:val="zh-CN" w:eastAsia="zh-CN" w:bidi="ar"/>
        </w:rPr>
        <w:t>，</w:t>
      </w:r>
      <w:r>
        <w:rPr>
          <w:rFonts w:hint="default" w:ascii="Times New Roman" w:hAnsi="Times New Roman" w:eastAsia="仿宋_GB2312" w:cs="Times New Roman"/>
          <w:b w:val="0"/>
          <w:bCs/>
          <w:sz w:val="32"/>
          <w:szCs w:val="32"/>
          <w:highlight w:val="none"/>
          <w:shd w:val="clear" w:color="auto" w:fill="auto"/>
          <w:lang w:bidi="ar"/>
        </w:rPr>
        <w:t>厂界</w:t>
      </w:r>
      <w:r>
        <w:rPr>
          <w:rFonts w:hint="default" w:ascii="Times New Roman" w:hAnsi="Times New Roman" w:eastAsia="仿宋_GB2312" w:cs="Times New Roman"/>
          <w:b w:val="0"/>
          <w:bCs/>
          <w:sz w:val="32"/>
          <w:szCs w:val="32"/>
          <w:highlight w:val="none"/>
          <w:shd w:val="clear" w:color="auto" w:fill="auto"/>
          <w:lang w:val="zh-CN" w:eastAsia="zh-CN" w:bidi="ar"/>
        </w:rPr>
        <w:t>噪声</w:t>
      </w:r>
      <w:r>
        <w:rPr>
          <w:rFonts w:hint="default" w:ascii="Times New Roman" w:hAnsi="Times New Roman" w:eastAsia="仿宋_GB2312" w:cs="Times New Roman"/>
          <w:b w:val="0"/>
          <w:bCs/>
          <w:sz w:val="32"/>
          <w:szCs w:val="32"/>
          <w:highlight w:val="none"/>
          <w:shd w:val="clear" w:color="auto" w:fill="auto"/>
          <w:lang w:val="en-US" w:eastAsia="zh-CN" w:bidi="ar"/>
        </w:rPr>
        <w:t>应满足</w:t>
      </w:r>
      <w:r>
        <w:rPr>
          <w:rFonts w:hint="default" w:ascii="Times New Roman" w:hAnsi="Times New Roman" w:eastAsia="仿宋_GB2312" w:cs="Times New Roman"/>
          <w:b w:val="0"/>
          <w:bCs/>
          <w:sz w:val="32"/>
          <w:szCs w:val="32"/>
          <w:highlight w:val="none"/>
          <w:shd w:val="clear" w:color="auto" w:fill="auto"/>
          <w:lang w:val="zh-CN" w:eastAsia="zh-CN" w:bidi="ar"/>
        </w:rPr>
        <w:t>《工业企业厂界环境噪声排放标准》（GB12348-2008）</w:t>
      </w:r>
      <w:r>
        <w:rPr>
          <w:rFonts w:hint="default" w:ascii="Times New Roman" w:hAnsi="Times New Roman" w:eastAsia="仿宋_GB2312" w:cs="Times New Roman"/>
          <w:b w:val="0"/>
          <w:bCs/>
          <w:sz w:val="32"/>
          <w:szCs w:val="32"/>
          <w:highlight w:val="none"/>
          <w:shd w:val="clear" w:color="auto" w:fill="auto"/>
          <w:lang w:val="en-US" w:eastAsia="zh-CN" w:bidi="ar"/>
        </w:rPr>
        <w:t>3类</w:t>
      </w:r>
      <w:r>
        <w:rPr>
          <w:rFonts w:hint="default" w:ascii="Times New Roman" w:hAnsi="Times New Roman" w:eastAsia="仿宋_GB2312" w:cs="Times New Roman"/>
          <w:b w:val="0"/>
          <w:bCs/>
          <w:sz w:val="32"/>
          <w:szCs w:val="32"/>
          <w:highlight w:val="none"/>
          <w:shd w:val="clear" w:color="auto" w:fill="auto"/>
          <w:lang w:val="zh-CN" w:eastAsia="zh-CN" w:bidi="ar"/>
        </w:rPr>
        <w:t>标准要求。</w:t>
      </w:r>
    </w:p>
    <w:p w14:paraId="354E036A">
      <w:pPr>
        <w:keepNext w:val="0"/>
        <w:keepLines w:val="0"/>
        <w:pageBreakBefore w:val="0"/>
        <w:widowControl w:val="0"/>
        <w:tabs>
          <w:tab w:val="left" w:pos="5812"/>
        </w:tabs>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b w:val="0"/>
          <w:bCs/>
          <w:sz w:val="32"/>
          <w:szCs w:val="32"/>
          <w:highlight w:val="none"/>
          <w:shd w:val="clear" w:color="auto" w:fill="auto"/>
          <w:lang w:val="en-US" w:eastAsia="zh-CN" w:bidi="ar"/>
        </w:rPr>
      </w:pPr>
      <w:r>
        <w:rPr>
          <w:rFonts w:hint="default" w:ascii="Times New Roman" w:hAnsi="Times New Roman" w:eastAsia="仿宋_GB2312" w:cs="Times New Roman"/>
          <w:b w:val="0"/>
          <w:bCs/>
          <w:snapToGrid/>
          <w:color w:val="auto"/>
          <w:spacing w:val="0"/>
          <w:kern w:val="2"/>
          <w:sz w:val="32"/>
          <w:szCs w:val="32"/>
          <w:highlight w:val="none"/>
          <w:shd w:val="clear" w:color="auto" w:fill="auto"/>
          <w:lang w:val="zh-TW" w:eastAsia="zh-CN" w:bidi="ar-SA"/>
        </w:rPr>
        <w:t>（</w:t>
      </w:r>
      <w:r>
        <w:rPr>
          <w:rFonts w:hint="default" w:ascii="Times New Roman" w:hAnsi="Times New Roman" w:eastAsia="仿宋_GB2312" w:cs="Times New Roman"/>
          <w:b w:val="0"/>
          <w:bCs/>
          <w:snapToGrid/>
          <w:color w:val="auto"/>
          <w:spacing w:val="0"/>
          <w:kern w:val="2"/>
          <w:sz w:val="32"/>
          <w:szCs w:val="32"/>
          <w:highlight w:val="none"/>
          <w:shd w:val="clear" w:color="auto" w:fill="auto"/>
          <w:lang w:val="en-US" w:eastAsia="zh-CN" w:bidi="ar-SA"/>
        </w:rPr>
        <w:t>四</w:t>
      </w:r>
      <w:r>
        <w:rPr>
          <w:rFonts w:hint="default" w:ascii="Times New Roman" w:hAnsi="Times New Roman" w:eastAsia="仿宋_GB2312" w:cs="Times New Roman"/>
          <w:b w:val="0"/>
          <w:bCs/>
          <w:snapToGrid/>
          <w:color w:val="auto"/>
          <w:spacing w:val="0"/>
          <w:kern w:val="2"/>
          <w:sz w:val="32"/>
          <w:szCs w:val="32"/>
          <w:highlight w:val="none"/>
          <w:shd w:val="clear" w:color="auto" w:fill="auto"/>
          <w:lang w:val="zh-TW" w:eastAsia="zh-CN" w:bidi="ar-SA"/>
        </w:rPr>
        <w:t>）严格落实固体废物污染防控措施。</w:t>
      </w:r>
      <w:r>
        <w:rPr>
          <w:rFonts w:hint="default" w:ascii="Times New Roman" w:hAnsi="Times New Roman" w:eastAsia="仿宋_GB2312" w:cs="Times New Roman"/>
          <w:b w:val="0"/>
          <w:bCs/>
          <w:snapToGrid w:val="0"/>
          <w:spacing w:val="10"/>
          <w:kern w:val="0"/>
          <w:sz w:val="32"/>
          <w:szCs w:val="32"/>
          <w:highlight w:val="none"/>
          <w:shd w:val="clear" w:color="auto" w:fill="auto"/>
          <w:lang w:val="en-US" w:eastAsia="zh-CN" w:bidi="ar"/>
        </w:rPr>
        <w:t>各除尘器收集的粉尘、废布袋、生物质成型燃料废包装袋、灰渣、废砂、废包装桶、废金属、不合格产品依托厂区现有1座200m</w:t>
      </w:r>
      <w:r>
        <w:rPr>
          <w:rFonts w:hint="default" w:ascii="Times New Roman" w:hAnsi="Times New Roman" w:eastAsia="仿宋_GB2312" w:cs="Times New Roman"/>
          <w:b w:val="0"/>
          <w:bCs/>
          <w:snapToGrid w:val="0"/>
          <w:spacing w:val="10"/>
          <w:kern w:val="0"/>
          <w:sz w:val="32"/>
          <w:szCs w:val="32"/>
          <w:highlight w:val="none"/>
          <w:shd w:val="clear" w:color="auto" w:fill="auto"/>
          <w:vertAlign w:val="superscript"/>
          <w:lang w:val="en-US" w:eastAsia="zh-CN" w:bidi="ar"/>
        </w:rPr>
        <w:t>2</w:t>
      </w:r>
      <w:r>
        <w:rPr>
          <w:rFonts w:hint="default" w:ascii="Times New Roman" w:hAnsi="Times New Roman" w:eastAsia="仿宋_GB2312" w:cs="Times New Roman"/>
          <w:b w:val="0"/>
          <w:bCs/>
          <w:snapToGrid w:val="0"/>
          <w:spacing w:val="10"/>
          <w:kern w:val="0"/>
          <w:sz w:val="32"/>
          <w:szCs w:val="32"/>
          <w:highlight w:val="none"/>
          <w:shd w:val="clear" w:color="auto" w:fill="auto"/>
          <w:lang w:val="en-US" w:eastAsia="zh-CN" w:bidi="ar"/>
        </w:rPr>
        <w:t>一般固废暂存间暂存，废布袋、生物质成型燃料废包装袋、废包装桶由供货厂家定期回收利用；收集的粉尘、废砂、废金属、不合格产品外售给建筑材料生产厂家综合利用；灰渣统一外售给农户施肥；一般工业固体废物应满足《一般工业固体废物贮存和填埋污染控制标准》（GB18599-2020）相应标准要求；废活性炭、废润滑油、含油废抹布、废润滑油桶分区暂存于厂区现有的1间50m</w:t>
      </w:r>
      <w:r>
        <w:rPr>
          <w:rFonts w:hint="default" w:ascii="Times New Roman" w:hAnsi="Times New Roman" w:eastAsia="仿宋_GB2312" w:cs="Times New Roman"/>
          <w:b w:val="0"/>
          <w:bCs/>
          <w:snapToGrid w:val="0"/>
          <w:spacing w:val="10"/>
          <w:kern w:val="0"/>
          <w:sz w:val="32"/>
          <w:szCs w:val="32"/>
          <w:highlight w:val="none"/>
          <w:shd w:val="clear" w:color="auto" w:fill="auto"/>
          <w:vertAlign w:val="superscript"/>
          <w:lang w:val="en-US" w:eastAsia="zh-CN" w:bidi="ar"/>
        </w:rPr>
        <w:t>2</w:t>
      </w:r>
      <w:r>
        <w:rPr>
          <w:rFonts w:hint="default" w:ascii="Times New Roman" w:hAnsi="Times New Roman" w:eastAsia="仿宋_GB2312" w:cs="Times New Roman"/>
          <w:b w:val="0"/>
          <w:bCs/>
          <w:snapToGrid w:val="0"/>
          <w:spacing w:val="10"/>
          <w:kern w:val="0"/>
          <w:sz w:val="32"/>
          <w:szCs w:val="32"/>
          <w:highlight w:val="none"/>
          <w:shd w:val="clear" w:color="auto" w:fill="auto"/>
          <w:lang w:val="en-US" w:eastAsia="zh-CN" w:bidi="ar"/>
        </w:rPr>
        <w:t>危险废物贮存库内，定期委托有资质的单位进行处理，危险废物应满足《危险废物贮存污染控制标准》（GB18597-2023）；生活垃圾由当地环卫部门定期清运处理。</w:t>
      </w:r>
    </w:p>
    <w:p w14:paraId="14D2D3BF">
      <w:pPr>
        <w:pStyle w:val="16"/>
        <w:keepNext w:val="0"/>
        <w:keepLines w:val="0"/>
        <w:pageBreakBefore w:val="0"/>
        <w:widowControl w:val="0"/>
        <w:kinsoku/>
        <w:wordWrap/>
        <w:overflowPunct/>
        <w:topLinePunct w:val="0"/>
        <w:autoSpaceDE/>
        <w:autoSpaceDN/>
        <w:bidi w:val="0"/>
        <w:spacing w:line="560" w:lineRule="exact"/>
        <w:ind w:left="0" w:leftChars="0" w:firstLine="640" w:firstLineChars="200"/>
        <w:jc w:val="both"/>
        <w:textAlignment w:val="auto"/>
        <w:rPr>
          <w:rFonts w:hint="default" w:ascii="Times New Roman" w:hAnsi="Times New Roman" w:eastAsia="仿宋_GB2312" w:cs="Times New Roman"/>
          <w:b w:val="0"/>
          <w:bCs/>
          <w:snapToGrid w:val="0"/>
          <w:spacing w:val="10"/>
          <w:kern w:val="0"/>
          <w:sz w:val="32"/>
          <w:szCs w:val="32"/>
          <w:highlight w:val="none"/>
          <w:shd w:val="clear" w:color="auto" w:fill="auto"/>
          <w:lang w:val="en-US" w:eastAsia="zh-CN" w:bidi="ar"/>
        </w:rPr>
      </w:pPr>
      <w:r>
        <w:rPr>
          <w:rFonts w:hint="default" w:ascii="Times New Roman" w:hAnsi="Times New Roman" w:eastAsia="仿宋_GB2312" w:cs="Times New Roman"/>
          <w:b w:val="0"/>
          <w:bCs/>
          <w:strike w:val="0"/>
          <w:dstrike w:val="0"/>
          <w:snapToGrid/>
          <w:color w:val="auto"/>
          <w:spacing w:val="0"/>
          <w:kern w:val="2"/>
          <w:sz w:val="32"/>
          <w:szCs w:val="32"/>
          <w:highlight w:val="none"/>
          <w:shd w:val="clear" w:color="auto" w:fill="auto"/>
          <w:lang w:val="en-US" w:eastAsia="zh-CN" w:bidi="ar-SA"/>
        </w:rPr>
        <w:t>（</w:t>
      </w:r>
      <w:r>
        <w:rPr>
          <w:rFonts w:hint="default" w:ascii="Times New Roman" w:hAnsi="Times New Roman" w:eastAsia="仿宋_GB2312" w:cs="Times New Roman"/>
          <w:b w:val="0"/>
          <w:bCs/>
          <w:iCs w:val="0"/>
          <w:strike w:val="0"/>
          <w:dstrike w:val="0"/>
          <w:snapToGrid w:val="0"/>
          <w:spacing w:val="10"/>
          <w:sz w:val="32"/>
          <w:szCs w:val="32"/>
          <w:highlight w:val="none"/>
          <w:shd w:val="clear" w:color="auto" w:fill="auto"/>
          <w:lang w:val="en-US" w:eastAsia="zh-CN" w:bidi="ar-SA"/>
        </w:rPr>
        <w:t>五</w:t>
      </w:r>
      <w:r>
        <w:rPr>
          <w:rFonts w:hint="default" w:ascii="Times New Roman" w:hAnsi="Times New Roman" w:eastAsia="仿宋_GB2312" w:cs="Times New Roman"/>
          <w:b w:val="0"/>
          <w:bCs/>
          <w:strike w:val="0"/>
          <w:dstrike w:val="0"/>
          <w:snapToGrid/>
          <w:color w:val="auto"/>
          <w:spacing w:val="0"/>
          <w:kern w:val="2"/>
          <w:sz w:val="32"/>
          <w:szCs w:val="32"/>
          <w:highlight w:val="none"/>
          <w:shd w:val="clear" w:color="auto" w:fill="auto"/>
          <w:lang w:val="en-US" w:eastAsia="zh-CN" w:bidi="ar-SA"/>
        </w:rPr>
        <w:t>）</w:t>
      </w:r>
      <w:r>
        <w:rPr>
          <w:rFonts w:hint="default" w:ascii="Times New Roman" w:hAnsi="Times New Roman" w:eastAsia="仿宋_GB2312" w:cs="Times New Roman"/>
          <w:b w:val="0"/>
          <w:bCs/>
          <w:iCs w:val="0"/>
          <w:strike w:val="0"/>
          <w:dstrike w:val="0"/>
          <w:snapToGrid w:val="0"/>
          <w:spacing w:val="10"/>
          <w:sz w:val="32"/>
          <w:szCs w:val="32"/>
          <w:highlight w:val="none"/>
          <w:shd w:val="clear" w:color="auto" w:fill="auto"/>
          <w:lang w:val="zh-TW" w:eastAsia="zh-CN" w:bidi="ar-SA"/>
        </w:rPr>
        <w:t>加强土壤及地下水环境管理。</w:t>
      </w:r>
      <w:r>
        <w:rPr>
          <w:rFonts w:hint="default" w:ascii="Times New Roman" w:hAnsi="Times New Roman" w:eastAsia="仿宋_GB2312" w:cs="Times New Roman"/>
          <w:b w:val="0"/>
          <w:bCs/>
          <w:snapToGrid w:val="0"/>
          <w:spacing w:val="10"/>
          <w:kern w:val="0"/>
          <w:sz w:val="32"/>
          <w:szCs w:val="32"/>
          <w:highlight w:val="none"/>
          <w:shd w:val="clear" w:color="auto" w:fill="auto"/>
          <w:lang w:val="en-US" w:eastAsia="zh-CN" w:bidi="ar"/>
        </w:rPr>
        <w:t>采取分区防渗管控措施，</w:t>
      </w:r>
      <w:r>
        <w:rPr>
          <w:rFonts w:hint="default" w:ascii="Times New Roman" w:hAnsi="Times New Roman" w:eastAsia="仿宋_GB2312" w:cs="Times New Roman"/>
          <w:b w:val="0"/>
          <w:bCs/>
          <w:color w:val="auto"/>
          <w:kern w:val="2"/>
          <w:sz w:val="32"/>
          <w:szCs w:val="32"/>
          <w:highlight w:val="none"/>
          <w:shd w:val="clear" w:color="auto" w:fill="auto"/>
          <w:lang w:val="en-US" w:eastAsia="zh-CN" w:bidi="ar"/>
        </w:rPr>
        <w:t>危险废物贮存库</w:t>
      </w:r>
      <w:r>
        <w:rPr>
          <w:rFonts w:hint="default" w:ascii="Times New Roman" w:hAnsi="Times New Roman" w:eastAsia="仿宋_GB2312" w:cs="Times New Roman"/>
          <w:b w:val="0"/>
          <w:bCs/>
          <w:snapToGrid w:val="0"/>
          <w:spacing w:val="10"/>
          <w:kern w:val="0"/>
          <w:sz w:val="32"/>
          <w:szCs w:val="32"/>
          <w:highlight w:val="none"/>
          <w:shd w:val="clear" w:color="auto" w:fill="auto"/>
          <w:lang w:val="en-US" w:eastAsia="zh-CN" w:bidi="ar"/>
        </w:rPr>
        <w:t>作为重点防渗区（</w:t>
      </w:r>
      <w:r>
        <w:rPr>
          <w:rFonts w:hint="default" w:ascii="Times New Roman" w:hAnsi="Times New Roman" w:eastAsia="仿宋_GB2312" w:cs="Times New Roman"/>
          <w:b w:val="0"/>
          <w:bCs/>
          <w:snapToGrid w:val="0"/>
          <w:spacing w:val="10"/>
          <w:kern w:val="0"/>
          <w:sz w:val="32"/>
          <w:szCs w:val="32"/>
          <w:highlight w:val="none"/>
          <w:shd w:val="clear" w:color="auto" w:fill="auto"/>
          <w:lang w:val="zh-CN" w:eastAsia="zh-CN" w:bidi="ar"/>
        </w:rPr>
        <w:t>Mb≥6.0m，K≤1×10</w:t>
      </w:r>
      <w:r>
        <w:rPr>
          <w:rFonts w:hint="default" w:ascii="Times New Roman" w:hAnsi="Times New Roman" w:eastAsia="仿宋_GB2312" w:cs="Times New Roman"/>
          <w:b w:val="0"/>
          <w:bCs/>
          <w:snapToGrid w:val="0"/>
          <w:spacing w:val="10"/>
          <w:kern w:val="0"/>
          <w:sz w:val="32"/>
          <w:szCs w:val="32"/>
          <w:highlight w:val="none"/>
          <w:shd w:val="clear" w:color="auto" w:fill="auto"/>
          <w:vertAlign w:val="superscript"/>
          <w:lang w:val="zh-CN" w:eastAsia="zh-CN" w:bidi="ar"/>
        </w:rPr>
        <w:t>-7</w:t>
      </w:r>
      <w:r>
        <w:rPr>
          <w:rFonts w:hint="default" w:ascii="Times New Roman" w:hAnsi="Times New Roman" w:eastAsia="仿宋_GB2312" w:cs="Times New Roman"/>
          <w:b w:val="0"/>
          <w:bCs/>
          <w:snapToGrid w:val="0"/>
          <w:spacing w:val="10"/>
          <w:kern w:val="0"/>
          <w:sz w:val="32"/>
          <w:szCs w:val="32"/>
          <w:highlight w:val="none"/>
          <w:shd w:val="clear" w:color="auto" w:fill="auto"/>
          <w:lang w:val="zh-CN" w:eastAsia="zh-CN" w:bidi="ar"/>
        </w:rPr>
        <w:t>cm/s</w:t>
      </w:r>
      <w:r>
        <w:rPr>
          <w:rFonts w:hint="default" w:ascii="Times New Roman" w:hAnsi="Times New Roman" w:eastAsia="仿宋_GB2312" w:cs="Times New Roman"/>
          <w:b w:val="0"/>
          <w:bCs/>
          <w:snapToGrid w:val="0"/>
          <w:spacing w:val="10"/>
          <w:kern w:val="0"/>
          <w:sz w:val="32"/>
          <w:szCs w:val="32"/>
          <w:highlight w:val="none"/>
          <w:shd w:val="clear" w:color="auto" w:fill="auto"/>
          <w:lang w:val="en-US" w:eastAsia="zh-CN" w:bidi="ar"/>
        </w:rPr>
        <w:t>），生产车间</w:t>
      </w:r>
      <w:r>
        <w:rPr>
          <w:rFonts w:hint="default" w:ascii="Times New Roman" w:hAnsi="Times New Roman" w:eastAsia="仿宋_GB2312" w:cs="Times New Roman"/>
          <w:b w:val="0"/>
          <w:bCs/>
          <w:color w:val="auto"/>
          <w:kern w:val="2"/>
          <w:sz w:val="32"/>
          <w:szCs w:val="32"/>
          <w:highlight w:val="none"/>
          <w:shd w:val="clear" w:color="auto" w:fill="auto"/>
          <w:lang w:val="en-US" w:eastAsia="zh-CN" w:bidi="ar"/>
        </w:rPr>
        <w:t>、一般固废暂存间</w:t>
      </w:r>
      <w:r>
        <w:rPr>
          <w:rFonts w:hint="default" w:ascii="Times New Roman" w:hAnsi="Times New Roman" w:eastAsia="仿宋_GB2312" w:cs="Times New Roman"/>
          <w:b w:val="0"/>
          <w:bCs/>
          <w:snapToGrid w:val="0"/>
          <w:spacing w:val="10"/>
          <w:kern w:val="0"/>
          <w:sz w:val="32"/>
          <w:szCs w:val="32"/>
          <w:highlight w:val="none"/>
          <w:shd w:val="clear" w:color="auto" w:fill="auto"/>
          <w:lang w:val="en-US" w:eastAsia="zh-CN" w:bidi="ar"/>
        </w:rPr>
        <w:t>作为一般防渗区（</w:t>
      </w:r>
      <w:r>
        <w:rPr>
          <w:rFonts w:hint="default" w:ascii="Times New Roman" w:hAnsi="Times New Roman" w:eastAsia="仿宋_GB2312" w:cs="Times New Roman"/>
          <w:b w:val="0"/>
          <w:bCs/>
          <w:snapToGrid w:val="0"/>
          <w:spacing w:val="10"/>
          <w:kern w:val="0"/>
          <w:sz w:val="32"/>
          <w:szCs w:val="32"/>
          <w:highlight w:val="none"/>
          <w:shd w:val="clear" w:color="auto" w:fill="auto"/>
          <w:lang w:val="zh-CN" w:eastAsia="zh-CN" w:bidi="ar"/>
        </w:rPr>
        <w:t>Mb≥</w:t>
      </w:r>
      <w:r>
        <w:rPr>
          <w:rFonts w:hint="default" w:ascii="Times New Roman" w:hAnsi="Times New Roman" w:eastAsia="仿宋_GB2312" w:cs="Times New Roman"/>
          <w:b w:val="0"/>
          <w:bCs/>
          <w:snapToGrid w:val="0"/>
          <w:spacing w:val="10"/>
          <w:kern w:val="0"/>
          <w:sz w:val="32"/>
          <w:szCs w:val="32"/>
          <w:highlight w:val="none"/>
          <w:shd w:val="clear" w:color="auto" w:fill="auto"/>
          <w:lang w:val="en-US" w:eastAsia="zh-CN" w:bidi="ar"/>
        </w:rPr>
        <w:t>1.5</w:t>
      </w:r>
      <w:r>
        <w:rPr>
          <w:rFonts w:hint="default" w:ascii="Times New Roman" w:hAnsi="Times New Roman" w:eastAsia="仿宋_GB2312" w:cs="Times New Roman"/>
          <w:b w:val="0"/>
          <w:bCs/>
          <w:snapToGrid w:val="0"/>
          <w:spacing w:val="10"/>
          <w:kern w:val="0"/>
          <w:sz w:val="32"/>
          <w:szCs w:val="32"/>
          <w:highlight w:val="none"/>
          <w:shd w:val="clear" w:color="auto" w:fill="auto"/>
          <w:lang w:val="zh-CN" w:eastAsia="zh-CN" w:bidi="ar"/>
        </w:rPr>
        <w:t>m，K≤1×10</w:t>
      </w:r>
      <w:r>
        <w:rPr>
          <w:rFonts w:hint="default" w:ascii="Times New Roman" w:hAnsi="Times New Roman" w:eastAsia="仿宋_GB2312" w:cs="Times New Roman"/>
          <w:b w:val="0"/>
          <w:bCs/>
          <w:snapToGrid w:val="0"/>
          <w:spacing w:val="10"/>
          <w:kern w:val="0"/>
          <w:sz w:val="32"/>
          <w:szCs w:val="32"/>
          <w:highlight w:val="none"/>
          <w:shd w:val="clear" w:color="auto" w:fill="auto"/>
          <w:vertAlign w:val="superscript"/>
          <w:lang w:val="zh-CN" w:eastAsia="zh-CN" w:bidi="ar"/>
        </w:rPr>
        <w:t>-7</w:t>
      </w:r>
      <w:r>
        <w:rPr>
          <w:rFonts w:hint="default" w:ascii="Times New Roman" w:hAnsi="Times New Roman" w:eastAsia="仿宋_GB2312" w:cs="Times New Roman"/>
          <w:b w:val="0"/>
          <w:bCs/>
          <w:snapToGrid w:val="0"/>
          <w:spacing w:val="10"/>
          <w:kern w:val="0"/>
          <w:sz w:val="32"/>
          <w:szCs w:val="32"/>
          <w:highlight w:val="none"/>
          <w:shd w:val="clear" w:color="auto" w:fill="auto"/>
          <w:lang w:val="zh-CN" w:eastAsia="zh-CN" w:bidi="ar"/>
        </w:rPr>
        <w:t>cm/s</w:t>
      </w:r>
      <w:r>
        <w:rPr>
          <w:rFonts w:hint="default" w:ascii="Times New Roman" w:hAnsi="Times New Roman" w:eastAsia="仿宋_GB2312" w:cs="Times New Roman"/>
          <w:b w:val="0"/>
          <w:bCs/>
          <w:snapToGrid w:val="0"/>
          <w:spacing w:val="10"/>
          <w:kern w:val="0"/>
          <w:sz w:val="32"/>
          <w:szCs w:val="32"/>
          <w:highlight w:val="none"/>
          <w:shd w:val="clear" w:color="auto" w:fill="auto"/>
          <w:lang w:val="en-US" w:eastAsia="zh-CN" w:bidi="ar"/>
        </w:rPr>
        <w:t>）。</w:t>
      </w:r>
    </w:p>
    <w:p w14:paraId="136AC338">
      <w:pPr>
        <w:keepNext w:val="0"/>
        <w:keepLines w:val="0"/>
        <w:pageBreakBefore w:val="0"/>
        <w:widowControl w:val="0"/>
        <w:kinsoku/>
        <w:wordWrap/>
        <w:overflowPunct/>
        <w:topLinePunct w:val="0"/>
        <w:bidi w:val="0"/>
        <w:spacing w:line="560" w:lineRule="exact"/>
        <w:ind w:left="0" w:firstLine="680" w:firstLineChars="200"/>
        <w:textAlignment w:val="auto"/>
        <w:rPr>
          <w:rFonts w:hint="default" w:ascii="Times New Roman" w:hAnsi="Times New Roman" w:eastAsia="仿宋_GB2312" w:cs="Times New Roman"/>
          <w:b w:val="0"/>
          <w:bCs/>
          <w:color w:val="auto"/>
          <w:sz w:val="32"/>
          <w:szCs w:val="32"/>
          <w:highlight w:val="none"/>
          <w:shd w:val="clear" w:color="auto" w:fill="auto"/>
          <w:lang w:val="en-US" w:eastAsia="zh-CN"/>
        </w:rPr>
      </w:pPr>
      <w:r>
        <w:rPr>
          <w:rFonts w:hint="default" w:ascii="Times New Roman" w:hAnsi="Times New Roman" w:eastAsia="仿宋_GB2312" w:cs="Times New Roman"/>
          <w:b w:val="0"/>
          <w:bCs/>
          <w:iCs w:val="0"/>
          <w:snapToGrid w:val="0"/>
          <w:spacing w:val="10"/>
          <w:sz w:val="32"/>
          <w:szCs w:val="32"/>
          <w:highlight w:val="none"/>
          <w:shd w:val="clear" w:color="auto" w:fill="auto"/>
          <w:lang w:val="en-US" w:eastAsia="zh-CN" w:bidi="ar-SA"/>
        </w:rPr>
        <w:t>（六）严格落实环境风险防控措施。本</w:t>
      </w:r>
      <w:r>
        <w:rPr>
          <w:rFonts w:hint="default" w:ascii="Times New Roman" w:hAnsi="Times New Roman" w:eastAsia="仿宋_GB2312" w:cs="Times New Roman"/>
          <w:b w:val="0"/>
          <w:bCs/>
          <w:color w:val="auto"/>
          <w:sz w:val="32"/>
          <w:szCs w:val="32"/>
          <w:highlight w:val="none"/>
          <w:shd w:val="clear" w:color="auto" w:fill="auto"/>
          <w:lang w:val="en-US" w:eastAsia="zh-CN"/>
        </w:rPr>
        <w:t>项目建成后，企业应按要求修订突发环境事件应急预案并进行备案，定期开展应急演练。建立健全安全、环境管理体系，制定严格的安全管理制度，加强职工培训，提高应急处理能力。</w:t>
      </w:r>
    </w:p>
    <w:p w14:paraId="185263DF">
      <w:pPr>
        <w:keepNext w:val="0"/>
        <w:keepLines w:val="0"/>
        <w:pageBreakBefore w:val="0"/>
        <w:widowControl w:val="0"/>
        <w:kinsoku/>
        <w:wordWrap/>
        <w:overflowPunct/>
        <w:topLinePunct w:val="0"/>
        <w:autoSpaceDE w:val="0"/>
        <w:autoSpaceDN w:val="0"/>
        <w:bidi w:val="0"/>
        <w:adjustRightInd w:val="0"/>
        <w:snapToGrid/>
        <w:spacing w:line="560" w:lineRule="exact"/>
        <w:ind w:left="0" w:leftChars="0" w:firstLine="680" w:firstLineChars="200"/>
        <w:jc w:val="both"/>
        <w:textAlignment w:val="auto"/>
        <w:rPr>
          <w:rFonts w:hint="default" w:ascii="Times New Roman" w:hAnsi="Times New Roman" w:eastAsia="仿宋_GB2312" w:cs="Times New Roman"/>
          <w:b w:val="0"/>
          <w:bCs/>
          <w:color w:val="auto"/>
          <w:sz w:val="32"/>
          <w:szCs w:val="32"/>
          <w:highlight w:val="none"/>
          <w:shd w:val="clear" w:color="auto" w:fill="auto"/>
          <w:lang w:val="en-US" w:eastAsia="zh-CN"/>
        </w:rPr>
      </w:pPr>
      <w:r>
        <w:rPr>
          <w:rFonts w:hint="default" w:ascii="Times New Roman" w:hAnsi="Times New Roman" w:eastAsia="仿宋_GB2312" w:cs="Times New Roman"/>
          <w:b w:val="0"/>
          <w:bCs/>
          <w:color w:val="auto"/>
          <w:sz w:val="32"/>
          <w:szCs w:val="32"/>
          <w:highlight w:val="none"/>
          <w:shd w:val="clear" w:color="auto" w:fill="auto"/>
          <w:lang w:val="en-US" w:eastAsia="zh-CN"/>
        </w:rPr>
        <w:t>三、</w:t>
      </w:r>
      <w:r>
        <w:rPr>
          <w:rFonts w:hint="default" w:ascii="Times New Roman" w:hAnsi="Times New Roman" w:eastAsia="仿宋_GB2312" w:cs="Times New Roman"/>
          <w:b w:val="0"/>
          <w:bCs/>
          <w:color w:val="auto"/>
          <w:sz w:val="32"/>
          <w:szCs w:val="32"/>
          <w:highlight w:val="none"/>
          <w:shd w:val="clear" w:color="auto" w:fill="auto"/>
        </w:rPr>
        <w:t>你</w:t>
      </w:r>
      <w:r>
        <w:rPr>
          <w:rFonts w:hint="default" w:ascii="Times New Roman" w:hAnsi="Times New Roman" w:eastAsia="仿宋_GB2312" w:cs="Times New Roman"/>
          <w:b w:val="0"/>
          <w:bCs/>
          <w:color w:val="auto"/>
          <w:sz w:val="32"/>
          <w:szCs w:val="32"/>
          <w:highlight w:val="none"/>
          <w:shd w:val="clear" w:color="auto" w:fill="auto"/>
          <w:lang w:val="en-US" w:eastAsia="zh-CN"/>
        </w:rPr>
        <w:t>单位</w:t>
      </w:r>
      <w:r>
        <w:rPr>
          <w:rFonts w:hint="default" w:ascii="Times New Roman" w:hAnsi="Times New Roman" w:eastAsia="仿宋_GB2312" w:cs="Times New Roman"/>
          <w:b w:val="0"/>
          <w:bCs/>
          <w:color w:val="auto"/>
          <w:sz w:val="32"/>
          <w:szCs w:val="32"/>
          <w:highlight w:val="none"/>
          <w:shd w:val="clear" w:color="auto" w:fill="auto"/>
        </w:rPr>
        <w:t>应落实生态环境保护主体责任，严格执行排污许可制度</w:t>
      </w:r>
      <w:r>
        <w:rPr>
          <w:rFonts w:hint="default" w:ascii="Times New Roman" w:hAnsi="Times New Roman" w:eastAsia="仿宋_GB2312" w:cs="Times New Roman"/>
          <w:b w:val="0"/>
          <w:bCs/>
          <w:color w:val="auto"/>
          <w:sz w:val="32"/>
          <w:szCs w:val="32"/>
          <w:highlight w:val="none"/>
          <w:shd w:val="clear" w:color="auto" w:fill="auto"/>
          <w:lang w:val="en-US" w:eastAsia="zh-CN"/>
        </w:rPr>
        <w:t>和总量控制制度</w:t>
      </w:r>
      <w:r>
        <w:rPr>
          <w:rFonts w:hint="default" w:ascii="Times New Roman" w:hAnsi="Times New Roman" w:eastAsia="仿宋_GB2312" w:cs="Times New Roman"/>
          <w:b w:val="0"/>
          <w:bCs/>
          <w:color w:val="auto"/>
          <w:sz w:val="32"/>
          <w:szCs w:val="32"/>
          <w:highlight w:val="none"/>
          <w:shd w:val="clear" w:color="auto" w:fill="auto"/>
        </w:rPr>
        <w:t>。建立企业内部生态环境管理机构和体系，明确人员、职责和制度，加强生态环境管理，推进各项生态环境保护措施落实。按照相关法律法规和技术标准规范要求，开展环保设备设施安全风险辨识评估和隐患排查治理，落实安全生产各项责任</w:t>
      </w:r>
      <w:r>
        <w:rPr>
          <w:rFonts w:hint="default" w:ascii="Times New Roman" w:hAnsi="Times New Roman" w:eastAsia="仿宋_GB2312" w:cs="Times New Roman"/>
          <w:b w:val="0"/>
          <w:bCs/>
          <w:color w:val="auto"/>
          <w:sz w:val="32"/>
          <w:szCs w:val="32"/>
          <w:highlight w:val="none"/>
          <w:shd w:val="clear" w:color="auto" w:fill="auto"/>
          <w:lang w:val="en-US" w:eastAsia="zh-CN"/>
        </w:rPr>
        <w:t>制度</w:t>
      </w:r>
      <w:r>
        <w:rPr>
          <w:rFonts w:hint="default" w:ascii="Times New Roman" w:hAnsi="Times New Roman" w:eastAsia="仿宋_GB2312" w:cs="Times New Roman"/>
          <w:b w:val="0"/>
          <w:bCs/>
          <w:color w:val="auto"/>
          <w:sz w:val="32"/>
          <w:szCs w:val="32"/>
          <w:highlight w:val="none"/>
          <w:shd w:val="clear" w:color="auto" w:fill="auto"/>
        </w:rPr>
        <w:t>。项目建设必须严格执行配套的环境保护设施与主体工程，同时设计、同时施工、同时投产使用的环境保护“三同时”制度，落实各项环境保护措施以及环境保护设施投资</w:t>
      </w:r>
      <w:r>
        <w:rPr>
          <w:rFonts w:hint="default" w:ascii="Times New Roman" w:hAnsi="Times New Roman" w:eastAsia="仿宋_GB2312" w:cs="Times New Roman"/>
          <w:b w:val="0"/>
          <w:bCs/>
          <w:color w:val="auto"/>
          <w:sz w:val="32"/>
          <w:szCs w:val="32"/>
          <w:highlight w:val="none"/>
          <w:shd w:val="clear" w:color="auto" w:fill="auto"/>
          <w:lang w:eastAsia="zh-CN"/>
        </w:rPr>
        <w:t>，</w:t>
      </w:r>
      <w:r>
        <w:rPr>
          <w:rFonts w:hint="default" w:ascii="Times New Roman" w:hAnsi="Times New Roman" w:eastAsia="仿宋_GB2312" w:cs="Times New Roman"/>
          <w:b w:val="0"/>
          <w:bCs/>
          <w:snapToGrid/>
          <w:color w:val="auto"/>
          <w:spacing w:val="0"/>
          <w:kern w:val="2"/>
          <w:sz w:val="32"/>
          <w:szCs w:val="32"/>
          <w:highlight w:val="none"/>
          <w:shd w:val="clear" w:color="auto" w:fill="auto"/>
        </w:rPr>
        <w:t>项目竣工后，须按规定程序实施竣工环境保护验收，并向社会进行公示</w:t>
      </w:r>
      <w:r>
        <w:rPr>
          <w:rFonts w:hint="default" w:ascii="Times New Roman" w:hAnsi="Times New Roman" w:eastAsia="仿宋_GB2312" w:cs="Times New Roman"/>
          <w:b w:val="0"/>
          <w:bCs/>
          <w:color w:val="auto"/>
          <w:sz w:val="32"/>
          <w:szCs w:val="32"/>
          <w:highlight w:val="none"/>
          <w:shd w:val="clear" w:color="auto" w:fill="auto"/>
          <w:lang w:val="en-US" w:eastAsia="zh-CN"/>
        </w:rPr>
        <w:t>。配合当地政府及有关部门对公众进行必要的解释和说明，取得公众对工程建设的理解和支持。本项目引发的生态环境信访问题，由建设单位负责妥善解决。</w:t>
      </w:r>
    </w:p>
    <w:p w14:paraId="03061298">
      <w:pPr>
        <w:pStyle w:val="47"/>
        <w:keepNext w:val="0"/>
        <w:keepLines w:val="0"/>
        <w:pageBreakBefore w:val="0"/>
        <w:kinsoku/>
        <w:wordWrap/>
        <w:overflowPunct/>
        <w:topLinePunct w:val="0"/>
        <w:bidi w:val="0"/>
        <w:snapToGrid/>
        <w:spacing w:line="560" w:lineRule="exact"/>
        <w:ind w:left="0" w:leftChars="0" w:firstLine="640"/>
        <w:jc w:val="both"/>
        <w:textAlignment w:val="auto"/>
        <w:rPr>
          <w:rFonts w:hint="default" w:ascii="Times New Roman" w:hAnsi="Times New Roman" w:eastAsia="仿宋_GB2312" w:cs="Times New Roman"/>
          <w:b w:val="0"/>
          <w:bCs/>
          <w:color w:val="auto"/>
          <w:spacing w:val="0"/>
          <w:kern w:val="2"/>
          <w:sz w:val="32"/>
          <w:szCs w:val="32"/>
          <w:highlight w:val="none"/>
          <w:shd w:val="clear" w:color="auto" w:fill="auto"/>
          <w:lang w:val="en-US"/>
        </w:rPr>
      </w:pPr>
      <w:r>
        <w:rPr>
          <w:rFonts w:hint="default" w:ascii="Times New Roman" w:hAnsi="Times New Roman" w:eastAsia="仿宋_GB2312" w:cs="Times New Roman"/>
          <w:b w:val="0"/>
          <w:bCs/>
          <w:color w:val="auto"/>
          <w:spacing w:val="0"/>
          <w:kern w:val="2"/>
          <w:sz w:val="32"/>
          <w:szCs w:val="32"/>
          <w:highlight w:val="none"/>
          <w:shd w:val="clear" w:color="auto" w:fill="auto"/>
          <w:lang w:val="en-US" w:eastAsia="zh-CN"/>
        </w:rPr>
        <w:t>四</w:t>
      </w:r>
      <w:r>
        <w:rPr>
          <w:rFonts w:hint="default" w:ascii="Times New Roman" w:hAnsi="Times New Roman" w:eastAsia="仿宋_GB2312" w:cs="Times New Roman"/>
          <w:b w:val="0"/>
          <w:bCs/>
          <w:color w:val="auto"/>
          <w:spacing w:val="0"/>
          <w:kern w:val="2"/>
          <w:sz w:val="32"/>
          <w:szCs w:val="32"/>
          <w:highlight w:val="none"/>
          <w:shd w:val="clear" w:color="auto" w:fill="auto"/>
          <w:lang w:val="en-US"/>
        </w:rPr>
        <w:t>、环境影响报告表批准后，该项目的性质、规模、地点、生产工艺或者污染防治措施发生重大变动，且可能导致环境影响显著变化</w:t>
      </w:r>
      <w:r>
        <w:rPr>
          <w:rFonts w:hint="default" w:ascii="Times New Roman" w:hAnsi="Times New Roman" w:eastAsia="仿宋_GB2312" w:cs="Times New Roman"/>
          <w:b w:val="0"/>
          <w:bCs/>
          <w:color w:val="auto"/>
          <w:spacing w:val="0"/>
          <w:kern w:val="2"/>
          <w:sz w:val="32"/>
          <w:szCs w:val="32"/>
          <w:highlight w:val="none"/>
          <w:shd w:val="clear" w:color="auto" w:fill="auto"/>
          <w:lang w:val="en-US" w:eastAsia="zh-CN"/>
        </w:rPr>
        <w:t>(</w:t>
      </w:r>
      <w:r>
        <w:rPr>
          <w:rFonts w:hint="default" w:ascii="Times New Roman" w:hAnsi="Times New Roman" w:eastAsia="仿宋_GB2312" w:cs="Times New Roman"/>
          <w:b w:val="0"/>
          <w:bCs/>
          <w:color w:val="auto"/>
          <w:spacing w:val="0"/>
          <w:kern w:val="2"/>
          <w:sz w:val="32"/>
          <w:szCs w:val="32"/>
          <w:highlight w:val="none"/>
          <w:shd w:val="clear" w:color="auto" w:fill="auto"/>
          <w:lang w:val="en-US"/>
        </w:rPr>
        <w:t>特别是不利环境影响加重</w:t>
      </w:r>
      <w:r>
        <w:rPr>
          <w:rFonts w:hint="default" w:ascii="Times New Roman" w:hAnsi="Times New Roman" w:eastAsia="仿宋_GB2312" w:cs="Times New Roman"/>
          <w:b w:val="0"/>
          <w:bCs/>
          <w:color w:val="auto"/>
          <w:spacing w:val="0"/>
          <w:kern w:val="2"/>
          <w:sz w:val="32"/>
          <w:szCs w:val="32"/>
          <w:highlight w:val="none"/>
          <w:shd w:val="clear" w:color="auto" w:fill="auto"/>
          <w:lang w:val="en-US" w:eastAsia="zh-CN"/>
        </w:rPr>
        <w:t>)</w:t>
      </w:r>
      <w:r>
        <w:rPr>
          <w:rFonts w:hint="default" w:ascii="Times New Roman" w:hAnsi="Times New Roman" w:eastAsia="仿宋_GB2312" w:cs="Times New Roman"/>
          <w:b w:val="0"/>
          <w:bCs/>
          <w:color w:val="auto"/>
          <w:spacing w:val="0"/>
          <w:kern w:val="2"/>
          <w:sz w:val="32"/>
          <w:szCs w:val="32"/>
          <w:highlight w:val="none"/>
          <w:shd w:val="clear" w:color="auto" w:fill="auto"/>
          <w:lang w:val="en-US"/>
        </w:rPr>
        <w:t>，应当重新报批该项目环境影响文件。</w:t>
      </w:r>
    </w:p>
    <w:p w14:paraId="59777DB3">
      <w:pPr>
        <w:pStyle w:val="47"/>
        <w:keepNext w:val="0"/>
        <w:keepLines w:val="0"/>
        <w:pageBreakBefore w:val="0"/>
        <w:kinsoku/>
        <w:wordWrap/>
        <w:overflowPunct/>
        <w:topLinePunct w:val="0"/>
        <w:bidi w:val="0"/>
        <w:snapToGrid/>
        <w:spacing w:line="560" w:lineRule="exact"/>
        <w:ind w:left="0" w:leftChars="0" w:firstLine="640"/>
        <w:jc w:val="both"/>
        <w:textAlignment w:val="auto"/>
        <w:rPr>
          <w:rFonts w:hint="default" w:ascii="Times New Roman" w:hAnsi="Times New Roman" w:eastAsia="仿宋_GB2312" w:cs="Times New Roman"/>
          <w:b w:val="0"/>
          <w:bCs/>
          <w:color w:val="auto"/>
          <w:sz w:val="32"/>
          <w:szCs w:val="32"/>
          <w:highlight w:val="none"/>
          <w:shd w:val="clear" w:color="auto" w:fill="auto"/>
        </w:rPr>
      </w:pPr>
      <w:r>
        <w:rPr>
          <w:rFonts w:hint="default" w:ascii="Times New Roman" w:hAnsi="Times New Roman" w:eastAsia="仿宋_GB2312" w:cs="Times New Roman"/>
          <w:b w:val="0"/>
          <w:bCs/>
          <w:color w:val="auto"/>
          <w:spacing w:val="0"/>
          <w:kern w:val="2"/>
          <w:sz w:val="32"/>
          <w:szCs w:val="32"/>
          <w:highlight w:val="none"/>
          <w:shd w:val="clear" w:color="auto" w:fill="auto"/>
          <w:lang w:val="en-US" w:eastAsia="zh-CN"/>
        </w:rPr>
        <w:t>五</w:t>
      </w:r>
      <w:r>
        <w:rPr>
          <w:rFonts w:hint="default" w:ascii="Times New Roman" w:hAnsi="Times New Roman" w:eastAsia="仿宋_GB2312" w:cs="Times New Roman"/>
          <w:b w:val="0"/>
          <w:bCs/>
          <w:color w:val="auto"/>
          <w:spacing w:val="0"/>
          <w:kern w:val="2"/>
          <w:sz w:val="32"/>
          <w:szCs w:val="32"/>
          <w:highlight w:val="none"/>
          <w:shd w:val="clear" w:color="auto" w:fill="auto"/>
          <w:lang w:val="en-US"/>
        </w:rPr>
        <w:t>、项目日常环境监督检查工作由本溪市生态环境保护综合行政执法队负责。</w:t>
      </w:r>
    </w:p>
    <w:p w14:paraId="2B30642F">
      <w:pPr>
        <w:keepNext w:val="0"/>
        <w:keepLines w:val="0"/>
        <w:pageBreakBefore w:val="0"/>
        <w:kinsoku/>
        <w:wordWrap/>
        <w:overflowPunct/>
        <w:topLinePunct w:val="0"/>
        <w:bidi w:val="0"/>
        <w:spacing w:line="560" w:lineRule="exact"/>
        <w:ind w:left="0" w:leftChars="0" w:firstLine="2397" w:firstLineChars="705"/>
        <w:jc w:val="center"/>
        <w:textAlignment w:val="auto"/>
        <w:rPr>
          <w:rFonts w:hint="default" w:ascii="Times New Roman" w:hAnsi="Times New Roman" w:eastAsia="仿宋_GB2312" w:cs="Times New Roman"/>
          <w:b w:val="0"/>
          <w:bCs/>
          <w:color w:val="auto"/>
          <w:sz w:val="32"/>
          <w:szCs w:val="32"/>
          <w:highlight w:val="none"/>
          <w:shd w:val="clear" w:color="auto" w:fill="auto"/>
        </w:rPr>
      </w:pPr>
      <w:r>
        <w:rPr>
          <w:rFonts w:hint="default" w:ascii="Times New Roman" w:hAnsi="Times New Roman" w:eastAsia="仿宋_GB2312" w:cs="Times New Roman"/>
          <w:b w:val="0"/>
          <w:bCs/>
          <w:color w:val="auto"/>
          <w:sz w:val="32"/>
          <w:szCs w:val="32"/>
          <w:highlight w:val="none"/>
          <w:shd w:val="clear" w:color="auto" w:fill="auto"/>
        </w:rPr>
        <w:t>本溪市生态环境局</w:t>
      </w:r>
    </w:p>
    <w:p w14:paraId="1C5F6A38">
      <w:pPr>
        <w:keepNext w:val="0"/>
        <w:keepLines w:val="0"/>
        <w:pageBreakBefore w:val="0"/>
        <w:kinsoku/>
        <w:wordWrap/>
        <w:overflowPunct/>
        <w:topLinePunct w:val="0"/>
        <w:bidi w:val="0"/>
        <w:spacing w:line="560" w:lineRule="exact"/>
        <w:ind w:left="0" w:leftChars="0" w:firstLine="2397" w:firstLineChars="705"/>
        <w:jc w:val="center"/>
        <w:textAlignment w:val="auto"/>
        <w:rPr>
          <w:rFonts w:hint="default" w:ascii="Times New Roman" w:hAnsi="Times New Roman" w:eastAsia="仿宋_GB2312" w:cs="Times New Roman"/>
          <w:b w:val="0"/>
          <w:bCs/>
          <w:color w:val="auto"/>
          <w:sz w:val="32"/>
          <w:szCs w:val="32"/>
          <w:highlight w:val="none"/>
          <w:shd w:val="clear" w:color="auto" w:fill="auto"/>
        </w:rPr>
      </w:pPr>
      <w:r>
        <w:rPr>
          <w:rFonts w:hint="eastAsia" w:eastAsia="仿宋_GB2312" w:cs="Times New Roman"/>
          <w:b w:val="0"/>
          <w:bCs/>
          <w:color w:val="auto"/>
          <w:sz w:val="32"/>
          <w:szCs w:val="32"/>
          <w:highlight w:val="none"/>
          <w:shd w:val="clear" w:color="auto" w:fill="auto"/>
          <w:lang w:val="en-US" w:eastAsia="zh-CN"/>
        </w:rPr>
        <w:t>2026</w:t>
      </w:r>
      <w:r>
        <w:rPr>
          <w:rFonts w:hint="default" w:ascii="Times New Roman" w:hAnsi="Times New Roman" w:eastAsia="仿宋_GB2312" w:cs="Times New Roman"/>
          <w:b w:val="0"/>
          <w:bCs/>
          <w:color w:val="auto"/>
          <w:sz w:val="32"/>
          <w:szCs w:val="32"/>
          <w:highlight w:val="none"/>
          <w:shd w:val="clear" w:color="auto" w:fill="auto"/>
        </w:rPr>
        <w:t>年</w:t>
      </w:r>
      <w:r>
        <w:rPr>
          <w:rFonts w:hint="eastAsia" w:eastAsia="仿宋_GB2312" w:cs="Times New Roman"/>
          <w:b w:val="0"/>
          <w:bCs/>
          <w:color w:val="auto"/>
          <w:sz w:val="32"/>
          <w:szCs w:val="32"/>
          <w:highlight w:val="none"/>
          <w:shd w:val="clear" w:color="auto" w:fill="auto"/>
          <w:lang w:val="en-US" w:eastAsia="zh-CN"/>
        </w:rPr>
        <w:t>4</w:t>
      </w:r>
      <w:r>
        <w:rPr>
          <w:rFonts w:hint="default" w:ascii="Times New Roman" w:hAnsi="Times New Roman" w:eastAsia="仿宋_GB2312" w:cs="Times New Roman"/>
          <w:b w:val="0"/>
          <w:bCs/>
          <w:color w:val="auto"/>
          <w:sz w:val="32"/>
          <w:szCs w:val="32"/>
          <w:highlight w:val="none"/>
          <w:shd w:val="clear" w:color="auto" w:fill="auto"/>
        </w:rPr>
        <w:t>月</w:t>
      </w:r>
      <w:r>
        <w:rPr>
          <w:rFonts w:hint="eastAsia" w:eastAsia="仿宋_GB2312" w:cs="Times New Roman"/>
          <w:b w:val="0"/>
          <w:bCs/>
          <w:color w:val="auto"/>
          <w:sz w:val="32"/>
          <w:szCs w:val="32"/>
          <w:highlight w:val="none"/>
          <w:shd w:val="clear" w:color="auto" w:fill="auto"/>
          <w:lang w:val="en-US" w:eastAsia="zh-CN"/>
        </w:rPr>
        <w:t>28</w:t>
      </w:r>
      <w:r>
        <w:rPr>
          <w:rFonts w:hint="default" w:ascii="Times New Roman" w:hAnsi="Times New Roman" w:eastAsia="仿宋_GB2312" w:cs="Times New Roman"/>
          <w:b w:val="0"/>
          <w:bCs/>
          <w:color w:val="auto"/>
          <w:sz w:val="32"/>
          <w:szCs w:val="32"/>
          <w:highlight w:val="none"/>
          <w:shd w:val="clear" w:color="auto" w:fill="auto"/>
        </w:rPr>
        <w:t>日</w:t>
      </w:r>
    </w:p>
    <w:p w14:paraId="242E8533">
      <w:pPr>
        <w:keepNext w:val="0"/>
        <w:keepLines w:val="0"/>
        <w:pageBreakBefore w:val="0"/>
        <w:kinsoku/>
        <w:wordWrap/>
        <w:overflowPunct/>
        <w:topLinePunct w:val="0"/>
        <w:bidi w:val="0"/>
        <w:snapToGrid w:val="0"/>
        <w:spacing w:line="560" w:lineRule="exact"/>
        <w:ind w:left="0" w:leftChars="0" w:firstLine="680" w:firstLineChars="200"/>
        <w:textAlignment w:val="auto"/>
        <w:rPr>
          <w:rFonts w:hint="default" w:ascii="Times New Roman" w:hAnsi="Times New Roman" w:eastAsia="仿宋_GB2312" w:cs="Times New Roman"/>
          <w:b w:val="0"/>
          <w:bCs/>
          <w:color w:val="auto"/>
          <w:sz w:val="32"/>
          <w:szCs w:val="32"/>
          <w:highlight w:val="none"/>
          <w:shd w:val="clear" w:color="auto" w:fill="auto"/>
          <w:lang w:eastAsia="zh-CN"/>
        </w:rPr>
      </w:pPr>
      <w:r>
        <w:rPr>
          <w:rFonts w:hint="default" w:ascii="Times New Roman" w:hAnsi="Times New Roman" w:eastAsia="仿宋_GB2312" w:cs="Times New Roman"/>
          <w:b w:val="0"/>
          <w:bCs/>
          <w:color w:val="auto"/>
          <w:sz w:val="32"/>
          <w:szCs w:val="32"/>
          <w:highlight w:val="none"/>
          <w:shd w:val="clear" w:color="auto" w:fill="auto"/>
          <w:lang w:eastAsia="zh-CN"/>
        </w:rPr>
        <w:t>(</w:t>
      </w:r>
      <w:r>
        <w:rPr>
          <w:rFonts w:hint="default" w:ascii="Times New Roman" w:hAnsi="Times New Roman" w:eastAsia="仿宋_GB2312" w:cs="Times New Roman"/>
          <w:b w:val="0"/>
          <w:bCs/>
          <w:color w:val="auto"/>
          <w:sz w:val="32"/>
          <w:szCs w:val="32"/>
          <w:highlight w:val="none"/>
          <w:shd w:val="clear" w:color="auto" w:fill="auto"/>
        </w:rPr>
        <w:t>此件公开发布</w:t>
      </w:r>
      <w:r>
        <w:rPr>
          <w:rFonts w:hint="default" w:ascii="Times New Roman" w:hAnsi="Times New Roman" w:eastAsia="仿宋_GB2312" w:cs="Times New Roman"/>
          <w:b w:val="0"/>
          <w:bCs/>
          <w:color w:val="auto"/>
          <w:sz w:val="32"/>
          <w:szCs w:val="32"/>
          <w:highlight w:val="none"/>
          <w:shd w:val="clear" w:color="auto" w:fill="auto"/>
          <w:lang w:eastAsia="zh-CN"/>
        </w:rPr>
        <w:t>)</w:t>
      </w:r>
    </w:p>
    <w:p w14:paraId="62BFE189">
      <w:pPr>
        <w:keepNext w:val="0"/>
        <w:keepLines w:val="0"/>
        <w:pageBreakBefore w:val="0"/>
        <w:kinsoku/>
        <w:wordWrap/>
        <w:overflowPunct/>
        <w:topLinePunct w:val="0"/>
        <w:bidi w:val="0"/>
        <w:snapToGrid w:val="0"/>
        <w:spacing w:line="560" w:lineRule="exact"/>
        <w:ind w:left="0" w:leftChars="0" w:firstLine="680" w:firstLineChars="200"/>
        <w:textAlignment w:val="auto"/>
        <w:rPr>
          <w:rFonts w:hint="default" w:ascii="Times New Roman" w:hAnsi="Times New Roman" w:eastAsia="仿宋_GB2312" w:cs="Times New Roman"/>
          <w:b w:val="0"/>
          <w:bCs/>
          <w:color w:val="auto"/>
          <w:sz w:val="32"/>
          <w:szCs w:val="32"/>
          <w:highlight w:val="none"/>
          <w:shd w:val="clear" w:color="auto" w:fill="auto"/>
          <w:lang w:eastAsia="zh-CN"/>
        </w:rPr>
      </w:pPr>
    </w:p>
    <w:p w14:paraId="58576FFA">
      <w:pPr>
        <w:keepNext w:val="0"/>
        <w:keepLines w:val="0"/>
        <w:pageBreakBefore w:val="0"/>
        <w:kinsoku/>
        <w:wordWrap/>
        <w:overflowPunct/>
        <w:topLinePunct w:val="0"/>
        <w:bidi w:val="0"/>
        <w:snapToGrid w:val="0"/>
        <w:spacing w:line="560" w:lineRule="exact"/>
        <w:ind w:left="0" w:leftChars="0" w:firstLine="680" w:firstLineChars="200"/>
        <w:textAlignment w:val="auto"/>
        <w:rPr>
          <w:rFonts w:hint="default" w:ascii="Times New Roman" w:hAnsi="Times New Roman" w:eastAsia="仿宋_GB2312" w:cs="Times New Roman"/>
          <w:b w:val="0"/>
          <w:bCs/>
          <w:color w:val="auto"/>
          <w:sz w:val="32"/>
          <w:szCs w:val="32"/>
          <w:highlight w:val="none"/>
          <w:shd w:val="clear" w:color="auto" w:fill="auto"/>
          <w:lang w:eastAsia="zh-CN"/>
        </w:rPr>
      </w:pPr>
    </w:p>
    <w:p w14:paraId="50EEB9F8">
      <w:pPr>
        <w:keepNext w:val="0"/>
        <w:keepLines w:val="0"/>
        <w:pageBreakBefore w:val="0"/>
        <w:kinsoku/>
        <w:wordWrap/>
        <w:overflowPunct/>
        <w:topLinePunct w:val="0"/>
        <w:bidi w:val="0"/>
        <w:snapToGrid w:val="0"/>
        <w:spacing w:line="560" w:lineRule="exact"/>
        <w:ind w:left="1105" w:leftChars="0" w:hanging="1105" w:hangingChars="325"/>
        <w:textAlignment w:val="auto"/>
        <w:rPr>
          <w:rFonts w:hint="default" w:ascii="Times New Roman" w:hAnsi="Times New Roman" w:eastAsia="仿宋_GB2312" w:cs="Times New Roman"/>
          <w:b w:val="0"/>
          <w:bCs/>
          <w:color w:val="auto"/>
          <w:sz w:val="32"/>
          <w:szCs w:val="32"/>
          <w:highlight w:val="none"/>
          <w:shd w:val="clear" w:color="auto" w:fill="auto"/>
          <w:lang w:eastAsia="zh-CN"/>
        </w:rPr>
      </w:pPr>
      <w:r>
        <w:rPr>
          <w:rFonts w:hint="default" w:ascii="Times New Roman" w:hAnsi="Times New Roman" w:eastAsia="仿宋_GB2312" w:cs="Times New Roman"/>
          <w:b w:val="0"/>
          <w:bCs/>
          <w:color w:val="auto"/>
          <w:sz w:val="32"/>
          <w:szCs w:val="32"/>
          <w:highlight w:val="none"/>
          <w:shd w:val="clear" w:color="auto" w:fill="auto"/>
        </w:rPr>
        <w:t>抄送：本溪市生态环境保护综合行政执法队、</w:t>
      </w:r>
      <w:r>
        <w:rPr>
          <w:rFonts w:hint="default" w:ascii="Times New Roman" w:hAnsi="Times New Roman" w:eastAsia="仿宋_GB2312" w:cs="Times New Roman"/>
          <w:b w:val="0"/>
          <w:bCs/>
          <w:color w:val="auto"/>
          <w:sz w:val="32"/>
          <w:szCs w:val="32"/>
          <w:highlight w:val="none"/>
          <w:shd w:val="clear" w:color="auto" w:fill="auto"/>
          <w:lang w:val="en-US" w:eastAsia="zh-CN"/>
        </w:rPr>
        <w:t>本溪市生态环境服务中心、沈阳中科正源工程技术有限公司</w:t>
      </w:r>
    </w:p>
    <w:sectPr>
      <w:footerReference r:id="rId4" w:type="first"/>
      <w:footerReference r:id="rId3" w:type="default"/>
      <w:pgSz w:w="11907" w:h="16840"/>
      <w:pgMar w:top="1440" w:right="1797" w:bottom="1600" w:left="1797" w:header="851" w:footer="1134" w:gutter="0"/>
      <w:cols w:space="720" w:num="1"/>
      <w:titlePg/>
      <w:docGrid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华文行楷">
    <w:panose1 w:val="02010800040101010101"/>
    <w:charset w:val="86"/>
    <w:family w:val="auto"/>
    <w:pitch w:val="default"/>
    <w:sig w:usb0="00000001" w:usb1="080F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iconfont">
    <w:altName w:val="C059"/>
    <w:panose1 w:val="00000000000000000000"/>
    <w:charset w:val="00"/>
    <w:family w:val="auto"/>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方正小标宋简体">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31DECF">
    <w:pPr>
      <w:pStyle w:val="16"/>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6C51EB">
                          <w:pPr>
                            <w:pStyle w:val="16"/>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716C51EB">
                    <w:pPr>
                      <w:pStyle w:val="16"/>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46A465">
    <w:pPr>
      <w:pStyle w:val="16"/>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9A78CA">
                          <w:pPr>
                            <w:pStyle w:val="1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479A78CA">
                    <w:pPr>
                      <w:pStyle w:val="16"/>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3673577"/>
    <w:multiLevelType w:val="singleLevel"/>
    <w:tmpl w:val="23673577"/>
    <w:lvl w:ilvl="0" w:tentative="0">
      <w:start w:val="1"/>
      <w:numFmt w:val="decimal"/>
      <w:pStyle w:val="37"/>
      <w:suff w:val="nothing"/>
      <w:lvlText w:val="%1、"/>
      <w:lvlJc w:val="left"/>
      <w:pPr>
        <w:ind w:left="-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QzYzZhOTQ3NTdiYmUxNDdjMjkxZGQ2OTUwYjg4NjIifQ=="/>
  </w:docVars>
  <w:rsids>
    <w:rsidRoot w:val="1796435B"/>
    <w:rsid w:val="0005596D"/>
    <w:rsid w:val="000A2AA9"/>
    <w:rsid w:val="000D5EC6"/>
    <w:rsid w:val="000F014B"/>
    <w:rsid w:val="00100A44"/>
    <w:rsid w:val="00121F33"/>
    <w:rsid w:val="00122184"/>
    <w:rsid w:val="0013671F"/>
    <w:rsid w:val="00141B63"/>
    <w:rsid w:val="00143087"/>
    <w:rsid w:val="00152DB0"/>
    <w:rsid w:val="00235743"/>
    <w:rsid w:val="0025557F"/>
    <w:rsid w:val="002721FC"/>
    <w:rsid w:val="002D24CC"/>
    <w:rsid w:val="00302E94"/>
    <w:rsid w:val="0039054A"/>
    <w:rsid w:val="00434940"/>
    <w:rsid w:val="00490130"/>
    <w:rsid w:val="004A07F0"/>
    <w:rsid w:val="004C1A30"/>
    <w:rsid w:val="00536F00"/>
    <w:rsid w:val="005C2A7D"/>
    <w:rsid w:val="005C4520"/>
    <w:rsid w:val="00693428"/>
    <w:rsid w:val="006B153E"/>
    <w:rsid w:val="006E6370"/>
    <w:rsid w:val="008629CF"/>
    <w:rsid w:val="008C7379"/>
    <w:rsid w:val="008D3533"/>
    <w:rsid w:val="008D5548"/>
    <w:rsid w:val="00932262"/>
    <w:rsid w:val="00972023"/>
    <w:rsid w:val="009F517A"/>
    <w:rsid w:val="00A00642"/>
    <w:rsid w:val="00B513B6"/>
    <w:rsid w:val="00B5544D"/>
    <w:rsid w:val="00B82B10"/>
    <w:rsid w:val="00BF399E"/>
    <w:rsid w:val="00C212FE"/>
    <w:rsid w:val="00C27F5D"/>
    <w:rsid w:val="00C65306"/>
    <w:rsid w:val="00CE1454"/>
    <w:rsid w:val="00D04025"/>
    <w:rsid w:val="00D10361"/>
    <w:rsid w:val="00D21309"/>
    <w:rsid w:val="00E14769"/>
    <w:rsid w:val="00E72B00"/>
    <w:rsid w:val="00E919E4"/>
    <w:rsid w:val="00EA7BA7"/>
    <w:rsid w:val="00EB577A"/>
    <w:rsid w:val="00ED515A"/>
    <w:rsid w:val="00F77E0F"/>
    <w:rsid w:val="00FE4037"/>
    <w:rsid w:val="012B1E42"/>
    <w:rsid w:val="0147701E"/>
    <w:rsid w:val="018402E7"/>
    <w:rsid w:val="018502B5"/>
    <w:rsid w:val="01A43D0E"/>
    <w:rsid w:val="01F307D6"/>
    <w:rsid w:val="02112401"/>
    <w:rsid w:val="023326FA"/>
    <w:rsid w:val="02435241"/>
    <w:rsid w:val="02EB73E1"/>
    <w:rsid w:val="02EC2C31"/>
    <w:rsid w:val="03033A8D"/>
    <w:rsid w:val="032E7B21"/>
    <w:rsid w:val="03575C81"/>
    <w:rsid w:val="035C69EB"/>
    <w:rsid w:val="03873BFC"/>
    <w:rsid w:val="03C02CEB"/>
    <w:rsid w:val="03F874F3"/>
    <w:rsid w:val="043C314F"/>
    <w:rsid w:val="044A3294"/>
    <w:rsid w:val="04562356"/>
    <w:rsid w:val="04AE18D1"/>
    <w:rsid w:val="04BC7BAF"/>
    <w:rsid w:val="04D50624"/>
    <w:rsid w:val="04DB5D92"/>
    <w:rsid w:val="05193D43"/>
    <w:rsid w:val="059C2AE4"/>
    <w:rsid w:val="05AC7BBD"/>
    <w:rsid w:val="05D35D57"/>
    <w:rsid w:val="0624352B"/>
    <w:rsid w:val="06993BF9"/>
    <w:rsid w:val="06D044E1"/>
    <w:rsid w:val="06FF24E5"/>
    <w:rsid w:val="0712113E"/>
    <w:rsid w:val="07131B19"/>
    <w:rsid w:val="071F2981"/>
    <w:rsid w:val="076063E3"/>
    <w:rsid w:val="076B441E"/>
    <w:rsid w:val="079A1EA6"/>
    <w:rsid w:val="07DC6755"/>
    <w:rsid w:val="082C33D6"/>
    <w:rsid w:val="083D4AEB"/>
    <w:rsid w:val="08583943"/>
    <w:rsid w:val="0863785A"/>
    <w:rsid w:val="087E4613"/>
    <w:rsid w:val="089963F4"/>
    <w:rsid w:val="08B72D2E"/>
    <w:rsid w:val="08BC4217"/>
    <w:rsid w:val="08C1561F"/>
    <w:rsid w:val="08F0405E"/>
    <w:rsid w:val="08F301FA"/>
    <w:rsid w:val="096A420C"/>
    <w:rsid w:val="097906FF"/>
    <w:rsid w:val="09F41F94"/>
    <w:rsid w:val="0A051C47"/>
    <w:rsid w:val="0A723503"/>
    <w:rsid w:val="0AA02A98"/>
    <w:rsid w:val="0AE636BA"/>
    <w:rsid w:val="0B362BA8"/>
    <w:rsid w:val="0B675FDC"/>
    <w:rsid w:val="0B8B050F"/>
    <w:rsid w:val="0BC775EF"/>
    <w:rsid w:val="0BF73EE3"/>
    <w:rsid w:val="0C27068D"/>
    <w:rsid w:val="0C4548C9"/>
    <w:rsid w:val="0C5E598A"/>
    <w:rsid w:val="0C9B6BDE"/>
    <w:rsid w:val="0D1129FD"/>
    <w:rsid w:val="0D1E3D11"/>
    <w:rsid w:val="0D3D0438"/>
    <w:rsid w:val="0D8D297C"/>
    <w:rsid w:val="0DA40281"/>
    <w:rsid w:val="0DBA0D48"/>
    <w:rsid w:val="0DE54E65"/>
    <w:rsid w:val="0E274C11"/>
    <w:rsid w:val="0E2D331F"/>
    <w:rsid w:val="0E3A4191"/>
    <w:rsid w:val="0E4C2E8E"/>
    <w:rsid w:val="0EA47C31"/>
    <w:rsid w:val="0EB31E80"/>
    <w:rsid w:val="0F25758E"/>
    <w:rsid w:val="0F36663F"/>
    <w:rsid w:val="0F403D21"/>
    <w:rsid w:val="0F917E25"/>
    <w:rsid w:val="100E5690"/>
    <w:rsid w:val="10820EE8"/>
    <w:rsid w:val="10E41D25"/>
    <w:rsid w:val="10EC5351"/>
    <w:rsid w:val="10F57E48"/>
    <w:rsid w:val="115E01DA"/>
    <w:rsid w:val="11803F9C"/>
    <w:rsid w:val="11F23CD4"/>
    <w:rsid w:val="12394F79"/>
    <w:rsid w:val="12704669"/>
    <w:rsid w:val="12974ADF"/>
    <w:rsid w:val="129E02B8"/>
    <w:rsid w:val="12BC340B"/>
    <w:rsid w:val="130C1D8B"/>
    <w:rsid w:val="13C10435"/>
    <w:rsid w:val="13C20DC8"/>
    <w:rsid w:val="13E405F4"/>
    <w:rsid w:val="13F35D1A"/>
    <w:rsid w:val="13FA463A"/>
    <w:rsid w:val="14411E19"/>
    <w:rsid w:val="144C07BE"/>
    <w:rsid w:val="144C3DF9"/>
    <w:rsid w:val="148008EF"/>
    <w:rsid w:val="148B5FBC"/>
    <w:rsid w:val="14AB3737"/>
    <w:rsid w:val="14E44445"/>
    <w:rsid w:val="15187863"/>
    <w:rsid w:val="156104D9"/>
    <w:rsid w:val="156B2B04"/>
    <w:rsid w:val="15EA512F"/>
    <w:rsid w:val="15EC317D"/>
    <w:rsid w:val="15EF0DCB"/>
    <w:rsid w:val="16816734"/>
    <w:rsid w:val="16897AA8"/>
    <w:rsid w:val="16CD64BA"/>
    <w:rsid w:val="17116A77"/>
    <w:rsid w:val="1720221C"/>
    <w:rsid w:val="172B0B5F"/>
    <w:rsid w:val="172B374B"/>
    <w:rsid w:val="173C7F33"/>
    <w:rsid w:val="17487070"/>
    <w:rsid w:val="1796435B"/>
    <w:rsid w:val="17E52A56"/>
    <w:rsid w:val="18027CCB"/>
    <w:rsid w:val="1806146D"/>
    <w:rsid w:val="1820053E"/>
    <w:rsid w:val="182D164E"/>
    <w:rsid w:val="18797208"/>
    <w:rsid w:val="18DB44C1"/>
    <w:rsid w:val="19201A4E"/>
    <w:rsid w:val="196447A9"/>
    <w:rsid w:val="19840FB8"/>
    <w:rsid w:val="19EC5D2C"/>
    <w:rsid w:val="19F0117F"/>
    <w:rsid w:val="1A1E63CF"/>
    <w:rsid w:val="1AFB7C4D"/>
    <w:rsid w:val="1B010714"/>
    <w:rsid w:val="1B0A19BB"/>
    <w:rsid w:val="1B393251"/>
    <w:rsid w:val="1BCD288A"/>
    <w:rsid w:val="1BE22134"/>
    <w:rsid w:val="1BEB45CE"/>
    <w:rsid w:val="1CBF2475"/>
    <w:rsid w:val="1CC46D5E"/>
    <w:rsid w:val="1D267DE3"/>
    <w:rsid w:val="1D983B4C"/>
    <w:rsid w:val="1DD928A8"/>
    <w:rsid w:val="1DEE2BDF"/>
    <w:rsid w:val="1E1975C7"/>
    <w:rsid w:val="1E1D38F7"/>
    <w:rsid w:val="1E272038"/>
    <w:rsid w:val="1E39435D"/>
    <w:rsid w:val="1E49784A"/>
    <w:rsid w:val="1E625D79"/>
    <w:rsid w:val="1E655C76"/>
    <w:rsid w:val="1E7352C5"/>
    <w:rsid w:val="1EE933EB"/>
    <w:rsid w:val="1F333E85"/>
    <w:rsid w:val="1FCB08A1"/>
    <w:rsid w:val="1FCE2663"/>
    <w:rsid w:val="1FDC6D7A"/>
    <w:rsid w:val="20277593"/>
    <w:rsid w:val="20322137"/>
    <w:rsid w:val="20E23C78"/>
    <w:rsid w:val="2101752F"/>
    <w:rsid w:val="21337ED9"/>
    <w:rsid w:val="21352D06"/>
    <w:rsid w:val="214E2B5A"/>
    <w:rsid w:val="216F2DE6"/>
    <w:rsid w:val="216F7005"/>
    <w:rsid w:val="21936E58"/>
    <w:rsid w:val="219F6246"/>
    <w:rsid w:val="21C66054"/>
    <w:rsid w:val="21F10161"/>
    <w:rsid w:val="22983C4D"/>
    <w:rsid w:val="22ED6098"/>
    <w:rsid w:val="233521D5"/>
    <w:rsid w:val="235B04DD"/>
    <w:rsid w:val="23A5288A"/>
    <w:rsid w:val="241B24EC"/>
    <w:rsid w:val="24883A94"/>
    <w:rsid w:val="24FA1ECF"/>
    <w:rsid w:val="251C0943"/>
    <w:rsid w:val="25575773"/>
    <w:rsid w:val="259B0AB8"/>
    <w:rsid w:val="25E00B77"/>
    <w:rsid w:val="25F91D3B"/>
    <w:rsid w:val="25FD273C"/>
    <w:rsid w:val="26062970"/>
    <w:rsid w:val="26487620"/>
    <w:rsid w:val="26A821CC"/>
    <w:rsid w:val="26C17FC8"/>
    <w:rsid w:val="26DA3B12"/>
    <w:rsid w:val="26E16DB9"/>
    <w:rsid w:val="26FF2D69"/>
    <w:rsid w:val="26FFC737"/>
    <w:rsid w:val="27036581"/>
    <w:rsid w:val="270F6A91"/>
    <w:rsid w:val="275360B2"/>
    <w:rsid w:val="2779341F"/>
    <w:rsid w:val="27A16033"/>
    <w:rsid w:val="27FFFF78"/>
    <w:rsid w:val="28A71F0D"/>
    <w:rsid w:val="28B46187"/>
    <w:rsid w:val="28E55E8C"/>
    <w:rsid w:val="28EA0DA1"/>
    <w:rsid w:val="29257339"/>
    <w:rsid w:val="29AD18A3"/>
    <w:rsid w:val="2A0F2D3A"/>
    <w:rsid w:val="2A261057"/>
    <w:rsid w:val="2B5E6AB9"/>
    <w:rsid w:val="2B6C1593"/>
    <w:rsid w:val="2B8A1DF5"/>
    <w:rsid w:val="2BB138D1"/>
    <w:rsid w:val="2BD13068"/>
    <w:rsid w:val="2BF821DF"/>
    <w:rsid w:val="2C0C4FAB"/>
    <w:rsid w:val="2CBF28F0"/>
    <w:rsid w:val="2CDC2BCF"/>
    <w:rsid w:val="2CE518FD"/>
    <w:rsid w:val="2CFE05A2"/>
    <w:rsid w:val="2D2A665D"/>
    <w:rsid w:val="2D7678C5"/>
    <w:rsid w:val="2DC14CC4"/>
    <w:rsid w:val="2DE61A6C"/>
    <w:rsid w:val="2E80471D"/>
    <w:rsid w:val="2EB227E3"/>
    <w:rsid w:val="2EC762E2"/>
    <w:rsid w:val="2EF8506F"/>
    <w:rsid w:val="2F6A55B8"/>
    <w:rsid w:val="2FBB4E44"/>
    <w:rsid w:val="2FD91648"/>
    <w:rsid w:val="2FFB5400"/>
    <w:rsid w:val="307F0D4F"/>
    <w:rsid w:val="309E6E18"/>
    <w:rsid w:val="30EF5F72"/>
    <w:rsid w:val="30F72AF3"/>
    <w:rsid w:val="315E0057"/>
    <w:rsid w:val="316A07AA"/>
    <w:rsid w:val="32922F50"/>
    <w:rsid w:val="32A10C83"/>
    <w:rsid w:val="32EE0F67"/>
    <w:rsid w:val="32F32A21"/>
    <w:rsid w:val="32F421E0"/>
    <w:rsid w:val="330C28EA"/>
    <w:rsid w:val="331C0B79"/>
    <w:rsid w:val="3363011D"/>
    <w:rsid w:val="33634ED9"/>
    <w:rsid w:val="33D97E69"/>
    <w:rsid w:val="33FD3A7A"/>
    <w:rsid w:val="34552F55"/>
    <w:rsid w:val="34657EA4"/>
    <w:rsid w:val="349B511E"/>
    <w:rsid w:val="34C25A6D"/>
    <w:rsid w:val="34DB6452"/>
    <w:rsid w:val="356E0B85"/>
    <w:rsid w:val="35C64E84"/>
    <w:rsid w:val="35ED0490"/>
    <w:rsid w:val="35F3293B"/>
    <w:rsid w:val="3632641D"/>
    <w:rsid w:val="364D2448"/>
    <w:rsid w:val="365443B2"/>
    <w:rsid w:val="367B7967"/>
    <w:rsid w:val="36915D20"/>
    <w:rsid w:val="36E7716E"/>
    <w:rsid w:val="372D1186"/>
    <w:rsid w:val="37757933"/>
    <w:rsid w:val="37EA0C97"/>
    <w:rsid w:val="38141050"/>
    <w:rsid w:val="381A5280"/>
    <w:rsid w:val="3825542A"/>
    <w:rsid w:val="3829737E"/>
    <w:rsid w:val="384016A7"/>
    <w:rsid w:val="387D7E92"/>
    <w:rsid w:val="390153E5"/>
    <w:rsid w:val="39114820"/>
    <w:rsid w:val="397B0459"/>
    <w:rsid w:val="398C5B0A"/>
    <w:rsid w:val="39963CB2"/>
    <w:rsid w:val="39A43CE3"/>
    <w:rsid w:val="39E7009F"/>
    <w:rsid w:val="39FB720A"/>
    <w:rsid w:val="3A087A14"/>
    <w:rsid w:val="3A3C6A5B"/>
    <w:rsid w:val="3A5E21D7"/>
    <w:rsid w:val="3A910545"/>
    <w:rsid w:val="3A95280D"/>
    <w:rsid w:val="3B2075C0"/>
    <w:rsid w:val="3B3840B1"/>
    <w:rsid w:val="3BA3206B"/>
    <w:rsid w:val="3BCE402B"/>
    <w:rsid w:val="3BEE647B"/>
    <w:rsid w:val="3BF17763"/>
    <w:rsid w:val="3C162A79"/>
    <w:rsid w:val="3C1A7270"/>
    <w:rsid w:val="3C213BF5"/>
    <w:rsid w:val="3C477FB1"/>
    <w:rsid w:val="3CF90C34"/>
    <w:rsid w:val="3CFEDA6A"/>
    <w:rsid w:val="3D2E4C07"/>
    <w:rsid w:val="3D360CBC"/>
    <w:rsid w:val="3D513EB5"/>
    <w:rsid w:val="3DBB0A2E"/>
    <w:rsid w:val="3DC47D28"/>
    <w:rsid w:val="3DC64D6D"/>
    <w:rsid w:val="3DD6559A"/>
    <w:rsid w:val="3E0D68B8"/>
    <w:rsid w:val="3E2E36AF"/>
    <w:rsid w:val="3E326604"/>
    <w:rsid w:val="3E4573F0"/>
    <w:rsid w:val="3E6E73FF"/>
    <w:rsid w:val="3E732E20"/>
    <w:rsid w:val="3EA67CD0"/>
    <w:rsid w:val="3EA94EFD"/>
    <w:rsid w:val="3EB1045F"/>
    <w:rsid w:val="3EB768A1"/>
    <w:rsid w:val="3EDE4585"/>
    <w:rsid w:val="3EDFD13F"/>
    <w:rsid w:val="3F9159FA"/>
    <w:rsid w:val="3F9D5EA2"/>
    <w:rsid w:val="3FC05C56"/>
    <w:rsid w:val="3FF73A41"/>
    <w:rsid w:val="40046CA8"/>
    <w:rsid w:val="40296F4A"/>
    <w:rsid w:val="403D64A9"/>
    <w:rsid w:val="405E3BCF"/>
    <w:rsid w:val="40786B47"/>
    <w:rsid w:val="40B17F15"/>
    <w:rsid w:val="412F06F1"/>
    <w:rsid w:val="414D090F"/>
    <w:rsid w:val="417E44A9"/>
    <w:rsid w:val="419B050B"/>
    <w:rsid w:val="41B76CB4"/>
    <w:rsid w:val="41F73FFF"/>
    <w:rsid w:val="42A033BF"/>
    <w:rsid w:val="42B0734B"/>
    <w:rsid w:val="42EA4E42"/>
    <w:rsid w:val="432B6695"/>
    <w:rsid w:val="435272F0"/>
    <w:rsid w:val="435979DC"/>
    <w:rsid w:val="43AA411E"/>
    <w:rsid w:val="43B2156B"/>
    <w:rsid w:val="43D65659"/>
    <w:rsid w:val="4413747D"/>
    <w:rsid w:val="444E57F2"/>
    <w:rsid w:val="44AF3E5C"/>
    <w:rsid w:val="453F0CD6"/>
    <w:rsid w:val="456D21BF"/>
    <w:rsid w:val="4592640D"/>
    <w:rsid w:val="45A24D25"/>
    <w:rsid w:val="45AC718B"/>
    <w:rsid w:val="45C02133"/>
    <w:rsid w:val="45D37EC6"/>
    <w:rsid w:val="45EC4BB2"/>
    <w:rsid w:val="461D59B4"/>
    <w:rsid w:val="462036D5"/>
    <w:rsid w:val="464078D3"/>
    <w:rsid w:val="46A368AE"/>
    <w:rsid w:val="46C626A7"/>
    <w:rsid w:val="46DD15C6"/>
    <w:rsid w:val="46EB7B00"/>
    <w:rsid w:val="47044DA5"/>
    <w:rsid w:val="474F4E44"/>
    <w:rsid w:val="479F062A"/>
    <w:rsid w:val="48245124"/>
    <w:rsid w:val="482E528F"/>
    <w:rsid w:val="483325A8"/>
    <w:rsid w:val="485711CD"/>
    <w:rsid w:val="48694BF1"/>
    <w:rsid w:val="486F752A"/>
    <w:rsid w:val="487703B1"/>
    <w:rsid w:val="489B2349"/>
    <w:rsid w:val="48CB0CFF"/>
    <w:rsid w:val="491004AC"/>
    <w:rsid w:val="49125027"/>
    <w:rsid w:val="494565CC"/>
    <w:rsid w:val="49470F79"/>
    <w:rsid w:val="49483CB7"/>
    <w:rsid w:val="495C5EEE"/>
    <w:rsid w:val="49952D80"/>
    <w:rsid w:val="49C550C7"/>
    <w:rsid w:val="49DA1036"/>
    <w:rsid w:val="4A061107"/>
    <w:rsid w:val="4A6B1E80"/>
    <w:rsid w:val="4A784A78"/>
    <w:rsid w:val="4B325411"/>
    <w:rsid w:val="4B3C64FF"/>
    <w:rsid w:val="4BDA0DE0"/>
    <w:rsid w:val="4C31567B"/>
    <w:rsid w:val="4C8233D1"/>
    <w:rsid w:val="4C916512"/>
    <w:rsid w:val="4CB66B41"/>
    <w:rsid w:val="4CD07C03"/>
    <w:rsid w:val="4CED0B60"/>
    <w:rsid w:val="4CF95FDB"/>
    <w:rsid w:val="4D4A5F5E"/>
    <w:rsid w:val="4DBE3E5E"/>
    <w:rsid w:val="4E106B45"/>
    <w:rsid w:val="4E35691E"/>
    <w:rsid w:val="4E7A212F"/>
    <w:rsid w:val="4E7A3E71"/>
    <w:rsid w:val="4E847A59"/>
    <w:rsid w:val="4EF546F2"/>
    <w:rsid w:val="4EFE3710"/>
    <w:rsid w:val="4F284A1F"/>
    <w:rsid w:val="4F6C4EA5"/>
    <w:rsid w:val="50000D7C"/>
    <w:rsid w:val="500032CC"/>
    <w:rsid w:val="502E5634"/>
    <w:rsid w:val="504F45A9"/>
    <w:rsid w:val="505E289D"/>
    <w:rsid w:val="50711030"/>
    <w:rsid w:val="50760BB0"/>
    <w:rsid w:val="5088591F"/>
    <w:rsid w:val="516205C2"/>
    <w:rsid w:val="517E6B14"/>
    <w:rsid w:val="51BA3042"/>
    <w:rsid w:val="520F3B0B"/>
    <w:rsid w:val="521F78DE"/>
    <w:rsid w:val="52302EF2"/>
    <w:rsid w:val="523044ED"/>
    <w:rsid w:val="52654E30"/>
    <w:rsid w:val="52957EF4"/>
    <w:rsid w:val="52B15FA1"/>
    <w:rsid w:val="52D75082"/>
    <w:rsid w:val="52F61F59"/>
    <w:rsid w:val="54031DFA"/>
    <w:rsid w:val="54040192"/>
    <w:rsid w:val="54084674"/>
    <w:rsid w:val="541741D6"/>
    <w:rsid w:val="54460748"/>
    <w:rsid w:val="54722B28"/>
    <w:rsid w:val="547814E5"/>
    <w:rsid w:val="54A668B4"/>
    <w:rsid w:val="54A8633F"/>
    <w:rsid w:val="54ED079A"/>
    <w:rsid w:val="55091AA3"/>
    <w:rsid w:val="5528771B"/>
    <w:rsid w:val="552A3826"/>
    <w:rsid w:val="555770FA"/>
    <w:rsid w:val="55632085"/>
    <w:rsid w:val="55CF7191"/>
    <w:rsid w:val="55DB72FA"/>
    <w:rsid w:val="5611428B"/>
    <w:rsid w:val="56597161"/>
    <w:rsid w:val="56743689"/>
    <w:rsid w:val="56912749"/>
    <w:rsid w:val="574855E8"/>
    <w:rsid w:val="576552F4"/>
    <w:rsid w:val="578D0F4B"/>
    <w:rsid w:val="57A5314F"/>
    <w:rsid w:val="57B63E99"/>
    <w:rsid w:val="57DB5CB4"/>
    <w:rsid w:val="57E645FA"/>
    <w:rsid w:val="58164938"/>
    <w:rsid w:val="58363156"/>
    <w:rsid w:val="58771241"/>
    <w:rsid w:val="58B5558C"/>
    <w:rsid w:val="5A160B46"/>
    <w:rsid w:val="5A1D3D5C"/>
    <w:rsid w:val="5A750FED"/>
    <w:rsid w:val="5A8011D0"/>
    <w:rsid w:val="5A822A56"/>
    <w:rsid w:val="5AA65CD3"/>
    <w:rsid w:val="5AE1404F"/>
    <w:rsid w:val="5B0311A3"/>
    <w:rsid w:val="5B1533D9"/>
    <w:rsid w:val="5B1E5BCC"/>
    <w:rsid w:val="5B3E568E"/>
    <w:rsid w:val="5BAD274A"/>
    <w:rsid w:val="5BD74C6E"/>
    <w:rsid w:val="5BE50BA6"/>
    <w:rsid w:val="5C2E0695"/>
    <w:rsid w:val="5C3929A3"/>
    <w:rsid w:val="5C6C394F"/>
    <w:rsid w:val="5CA02A22"/>
    <w:rsid w:val="5CDC759A"/>
    <w:rsid w:val="5CE15514"/>
    <w:rsid w:val="5CFC02A3"/>
    <w:rsid w:val="5D105DFA"/>
    <w:rsid w:val="5D1E45B7"/>
    <w:rsid w:val="5D5061F6"/>
    <w:rsid w:val="5D767C22"/>
    <w:rsid w:val="5DC539D3"/>
    <w:rsid w:val="5DCB3ACF"/>
    <w:rsid w:val="5DE4494F"/>
    <w:rsid w:val="5DF70D68"/>
    <w:rsid w:val="5E1F43E2"/>
    <w:rsid w:val="5ED03A93"/>
    <w:rsid w:val="5F0D013B"/>
    <w:rsid w:val="5F2D3A5E"/>
    <w:rsid w:val="5FA61509"/>
    <w:rsid w:val="5FB96CF3"/>
    <w:rsid w:val="5FBE08A4"/>
    <w:rsid w:val="5FD01646"/>
    <w:rsid w:val="5FFBF4D4"/>
    <w:rsid w:val="60943284"/>
    <w:rsid w:val="60A429B1"/>
    <w:rsid w:val="60F8107F"/>
    <w:rsid w:val="6116474A"/>
    <w:rsid w:val="61A508D3"/>
    <w:rsid w:val="61AB5CF3"/>
    <w:rsid w:val="61B551C2"/>
    <w:rsid w:val="61E5788F"/>
    <w:rsid w:val="620C5D31"/>
    <w:rsid w:val="62204A3D"/>
    <w:rsid w:val="6241266D"/>
    <w:rsid w:val="628030DA"/>
    <w:rsid w:val="62984579"/>
    <w:rsid w:val="62C007E7"/>
    <w:rsid w:val="62DD3137"/>
    <w:rsid w:val="630B680E"/>
    <w:rsid w:val="631275F7"/>
    <w:rsid w:val="636228EB"/>
    <w:rsid w:val="63B55EEC"/>
    <w:rsid w:val="640D742F"/>
    <w:rsid w:val="643979E4"/>
    <w:rsid w:val="645F01E2"/>
    <w:rsid w:val="647E5D3F"/>
    <w:rsid w:val="649B5961"/>
    <w:rsid w:val="64C216F4"/>
    <w:rsid w:val="64D846F3"/>
    <w:rsid w:val="64E92302"/>
    <w:rsid w:val="654A25F5"/>
    <w:rsid w:val="656568E6"/>
    <w:rsid w:val="65757CA3"/>
    <w:rsid w:val="657A3942"/>
    <w:rsid w:val="65B732B6"/>
    <w:rsid w:val="666D1130"/>
    <w:rsid w:val="671A6FD5"/>
    <w:rsid w:val="67244646"/>
    <w:rsid w:val="674865FC"/>
    <w:rsid w:val="674F5770"/>
    <w:rsid w:val="67A01CFD"/>
    <w:rsid w:val="67A9009A"/>
    <w:rsid w:val="68CA1553"/>
    <w:rsid w:val="68EB7E6E"/>
    <w:rsid w:val="691B69B6"/>
    <w:rsid w:val="691F232A"/>
    <w:rsid w:val="69F10234"/>
    <w:rsid w:val="69FB1639"/>
    <w:rsid w:val="6A1178C7"/>
    <w:rsid w:val="6A6F63E6"/>
    <w:rsid w:val="6ADE6F38"/>
    <w:rsid w:val="6AE0311F"/>
    <w:rsid w:val="6AFD7857"/>
    <w:rsid w:val="6AFE4849"/>
    <w:rsid w:val="6B182A49"/>
    <w:rsid w:val="6B3A6A4D"/>
    <w:rsid w:val="6B4D2AB4"/>
    <w:rsid w:val="6B5228EC"/>
    <w:rsid w:val="6BB34A49"/>
    <w:rsid w:val="6BCD15B6"/>
    <w:rsid w:val="6C026FBD"/>
    <w:rsid w:val="6C046B37"/>
    <w:rsid w:val="6C146412"/>
    <w:rsid w:val="6C1A6167"/>
    <w:rsid w:val="6C2D60E6"/>
    <w:rsid w:val="6C3118E9"/>
    <w:rsid w:val="6C46674A"/>
    <w:rsid w:val="6C6104BC"/>
    <w:rsid w:val="6CA24CCE"/>
    <w:rsid w:val="6CCE55B8"/>
    <w:rsid w:val="6D110A00"/>
    <w:rsid w:val="6D61634E"/>
    <w:rsid w:val="6D6F2F8C"/>
    <w:rsid w:val="6DA73A96"/>
    <w:rsid w:val="6E0355E0"/>
    <w:rsid w:val="6E041C86"/>
    <w:rsid w:val="6E712470"/>
    <w:rsid w:val="6EDF2BD2"/>
    <w:rsid w:val="6EEA0E9F"/>
    <w:rsid w:val="6EF74724"/>
    <w:rsid w:val="6FAE190D"/>
    <w:rsid w:val="6FF24B22"/>
    <w:rsid w:val="700B75C7"/>
    <w:rsid w:val="70361200"/>
    <w:rsid w:val="703A5210"/>
    <w:rsid w:val="706A7933"/>
    <w:rsid w:val="710234E6"/>
    <w:rsid w:val="7148130E"/>
    <w:rsid w:val="71804EA4"/>
    <w:rsid w:val="718B55F7"/>
    <w:rsid w:val="72086C48"/>
    <w:rsid w:val="720C2BDC"/>
    <w:rsid w:val="72122136"/>
    <w:rsid w:val="72411EE6"/>
    <w:rsid w:val="72A90315"/>
    <w:rsid w:val="72C90FC9"/>
    <w:rsid w:val="72F64917"/>
    <w:rsid w:val="730F4E23"/>
    <w:rsid w:val="73143AAC"/>
    <w:rsid w:val="734D6776"/>
    <w:rsid w:val="7377440F"/>
    <w:rsid w:val="73C44722"/>
    <w:rsid w:val="74155FFE"/>
    <w:rsid w:val="745443A8"/>
    <w:rsid w:val="7460720F"/>
    <w:rsid w:val="74B113BF"/>
    <w:rsid w:val="74C841A4"/>
    <w:rsid w:val="74EB1043"/>
    <w:rsid w:val="75214D75"/>
    <w:rsid w:val="75372CDA"/>
    <w:rsid w:val="75460511"/>
    <w:rsid w:val="75674200"/>
    <w:rsid w:val="75F307DE"/>
    <w:rsid w:val="768C2AEF"/>
    <w:rsid w:val="76946952"/>
    <w:rsid w:val="76C41A5E"/>
    <w:rsid w:val="77587BF9"/>
    <w:rsid w:val="777D6539"/>
    <w:rsid w:val="77A14A92"/>
    <w:rsid w:val="77B21B30"/>
    <w:rsid w:val="77FF51B6"/>
    <w:rsid w:val="78306CA6"/>
    <w:rsid w:val="78D67AA0"/>
    <w:rsid w:val="79870D9A"/>
    <w:rsid w:val="79984052"/>
    <w:rsid w:val="79AC07A9"/>
    <w:rsid w:val="79FDF4D4"/>
    <w:rsid w:val="7A1015CC"/>
    <w:rsid w:val="7A2A74A2"/>
    <w:rsid w:val="7A3A29FC"/>
    <w:rsid w:val="7A4D63F4"/>
    <w:rsid w:val="7A5F3547"/>
    <w:rsid w:val="7A6608C9"/>
    <w:rsid w:val="7A9FE812"/>
    <w:rsid w:val="7AA55685"/>
    <w:rsid w:val="7AD95625"/>
    <w:rsid w:val="7B23626E"/>
    <w:rsid w:val="7B5A1BAF"/>
    <w:rsid w:val="7B6F40A6"/>
    <w:rsid w:val="7B77A722"/>
    <w:rsid w:val="7BA774D1"/>
    <w:rsid w:val="7BCD76C7"/>
    <w:rsid w:val="7BE7387E"/>
    <w:rsid w:val="7BF84864"/>
    <w:rsid w:val="7C217284"/>
    <w:rsid w:val="7CB4284F"/>
    <w:rsid w:val="7D394375"/>
    <w:rsid w:val="7D40373A"/>
    <w:rsid w:val="7D503113"/>
    <w:rsid w:val="7D746944"/>
    <w:rsid w:val="7DCC76C3"/>
    <w:rsid w:val="7DEC4B7B"/>
    <w:rsid w:val="7DECC4DB"/>
    <w:rsid w:val="7DF07FE1"/>
    <w:rsid w:val="7E135D43"/>
    <w:rsid w:val="7E3239CA"/>
    <w:rsid w:val="7E4C5A53"/>
    <w:rsid w:val="7E6D4936"/>
    <w:rsid w:val="7E7D27A3"/>
    <w:rsid w:val="7E863FE4"/>
    <w:rsid w:val="7EAA3560"/>
    <w:rsid w:val="7EBA2597"/>
    <w:rsid w:val="7F086945"/>
    <w:rsid w:val="7F63F4EF"/>
    <w:rsid w:val="7F8D39DD"/>
    <w:rsid w:val="7FAD2C5D"/>
    <w:rsid w:val="7FBB0DA4"/>
    <w:rsid w:val="7FDF1D69"/>
    <w:rsid w:val="997F2CB7"/>
    <w:rsid w:val="99E322AA"/>
    <w:rsid w:val="B3EE143E"/>
    <w:rsid w:val="B7EF9BAA"/>
    <w:rsid w:val="B7FF11B3"/>
    <w:rsid w:val="BFD5FA3A"/>
    <w:rsid w:val="D55AF8CC"/>
    <w:rsid w:val="D5BBEE18"/>
    <w:rsid w:val="DFFF23B6"/>
    <w:rsid w:val="E6F5E8E5"/>
    <w:rsid w:val="ED37AEBC"/>
    <w:rsid w:val="EEE5F453"/>
    <w:rsid w:val="EFE9687F"/>
    <w:rsid w:val="F18F8FF3"/>
    <w:rsid w:val="F1BB5933"/>
    <w:rsid w:val="F9FB705A"/>
    <w:rsid w:val="FAEF7066"/>
    <w:rsid w:val="FAFFA212"/>
    <w:rsid w:val="FFF4E215"/>
    <w:rsid w:val="FFFF4D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qFormat="1" w:uiPriority="99"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bCs/>
      <w:snapToGrid w:val="0"/>
      <w:spacing w:val="10"/>
      <w:sz w:val="28"/>
      <w:szCs w:val="24"/>
      <w:lang w:val="en-US" w:eastAsia="zh-CN" w:bidi="ar-SA"/>
    </w:rPr>
  </w:style>
  <w:style w:type="paragraph" w:styleId="3">
    <w:name w:val="heading 1"/>
    <w:basedOn w:val="1"/>
    <w:next w:val="1"/>
    <w:autoRedefine/>
    <w:qFormat/>
    <w:uiPriority w:val="99"/>
    <w:pPr>
      <w:keepNext/>
      <w:overflowPunct w:val="0"/>
      <w:snapToGrid w:val="0"/>
      <w:spacing w:before="120" w:after="160" w:line="259" w:lineRule="auto"/>
      <w:ind w:left="432" w:hanging="432"/>
      <w:outlineLvl w:val="0"/>
    </w:pPr>
    <w:rPr>
      <w:rFonts w:eastAsia="黑体"/>
      <w:b/>
      <w:color w:val="000000"/>
      <w:kern w:val="44"/>
      <w:sz w:val="30"/>
      <w:szCs w:val="30"/>
    </w:rPr>
  </w:style>
  <w:style w:type="paragraph" w:styleId="4">
    <w:name w:val="heading 3"/>
    <w:basedOn w:val="1"/>
    <w:next w:val="1"/>
    <w:autoRedefine/>
    <w:qFormat/>
    <w:uiPriority w:val="0"/>
    <w:pPr>
      <w:keepNext/>
      <w:keepLines/>
      <w:spacing w:before="260" w:after="260" w:line="416" w:lineRule="auto"/>
      <w:outlineLvl w:val="2"/>
    </w:pPr>
    <w:rPr>
      <w:b/>
      <w:sz w:val="32"/>
      <w:szCs w:val="32"/>
    </w:rPr>
  </w:style>
  <w:style w:type="character" w:default="1" w:styleId="23">
    <w:name w:val="Default Paragraph Font"/>
    <w:autoRedefine/>
    <w:semiHidden/>
    <w:unhideWhenUsed/>
    <w:qFormat/>
    <w:uiPriority w:val="1"/>
  </w:style>
  <w:style w:type="table" w:default="1" w:styleId="21">
    <w:name w:val="Normal Table"/>
    <w:autoRedefine/>
    <w:semiHidden/>
    <w:unhideWhenUsed/>
    <w:qFormat/>
    <w:uiPriority w:val="99"/>
    <w:tblPr>
      <w:tblCellMar>
        <w:top w:w="0" w:type="dxa"/>
        <w:left w:w="108" w:type="dxa"/>
        <w:bottom w:w="0" w:type="dxa"/>
        <w:right w:w="108" w:type="dxa"/>
      </w:tblCellMar>
    </w:tblPr>
  </w:style>
  <w:style w:type="paragraph" w:styleId="2">
    <w:name w:val="Body Text Indent 2"/>
    <w:basedOn w:val="1"/>
    <w:next w:val="1"/>
    <w:autoRedefine/>
    <w:qFormat/>
    <w:uiPriority w:val="0"/>
    <w:pPr>
      <w:spacing w:line="500" w:lineRule="exact"/>
      <w:ind w:left="72" w:hanging="72" w:hangingChars="30"/>
      <w:jc w:val="left"/>
    </w:pPr>
    <w:rPr>
      <w:rFonts w:ascii="宋体" w:hAnsi="宋体"/>
      <w:sz w:val="24"/>
    </w:rPr>
  </w:style>
  <w:style w:type="paragraph" w:styleId="5">
    <w:name w:val="List 3"/>
    <w:basedOn w:val="1"/>
    <w:next w:val="1"/>
    <w:autoRedefine/>
    <w:qFormat/>
    <w:uiPriority w:val="0"/>
    <w:pPr>
      <w:ind w:left="100" w:leftChars="400" w:hanging="200" w:hangingChars="200"/>
    </w:pPr>
  </w:style>
  <w:style w:type="paragraph" w:styleId="6">
    <w:name w:val="Normal Indent"/>
    <w:basedOn w:val="1"/>
    <w:next w:val="1"/>
    <w:autoRedefine/>
    <w:qFormat/>
    <w:uiPriority w:val="0"/>
    <w:pPr>
      <w:ind w:firstLine="420" w:firstLineChars="200"/>
    </w:pPr>
    <w:rPr>
      <w:rFonts w:ascii="Arial" w:hAnsi="Arial" w:cs="Arial"/>
      <w:sz w:val="21"/>
    </w:rPr>
  </w:style>
  <w:style w:type="paragraph" w:styleId="7">
    <w:name w:val="annotation text"/>
    <w:basedOn w:val="1"/>
    <w:autoRedefine/>
    <w:qFormat/>
    <w:uiPriority w:val="0"/>
    <w:pPr>
      <w:jc w:val="left"/>
    </w:pPr>
  </w:style>
  <w:style w:type="paragraph" w:styleId="8">
    <w:name w:val="Body Text"/>
    <w:basedOn w:val="1"/>
    <w:next w:val="9"/>
    <w:autoRedefine/>
    <w:qFormat/>
    <w:uiPriority w:val="0"/>
    <w:pPr>
      <w:widowControl/>
      <w:snapToGrid w:val="0"/>
      <w:spacing w:before="60" w:after="160" w:line="259" w:lineRule="auto"/>
      <w:ind w:right="113"/>
    </w:pPr>
    <w:rPr>
      <w:sz w:val="18"/>
      <w:szCs w:val="20"/>
    </w:rPr>
  </w:style>
  <w:style w:type="paragraph" w:customStyle="1" w:styleId="9">
    <w:name w:val="Normal (Web)1"/>
    <w:basedOn w:val="1"/>
    <w:next w:val="10"/>
    <w:autoRedefine/>
    <w:qFormat/>
    <w:uiPriority w:val="0"/>
    <w:pPr>
      <w:widowControl/>
    </w:pPr>
    <w:rPr>
      <w:rFonts w:ascii="宋体" w:eastAsia="宋体" w:cs="Times New Roman"/>
      <w:sz w:val="24"/>
      <w:szCs w:val="21"/>
    </w:rPr>
  </w:style>
  <w:style w:type="paragraph" w:customStyle="1" w:styleId="10">
    <w:name w:val="Date1"/>
    <w:basedOn w:val="1"/>
    <w:next w:val="1"/>
    <w:autoRedefine/>
    <w:qFormat/>
    <w:uiPriority w:val="0"/>
    <w:pPr>
      <w:adjustRightInd w:val="0"/>
      <w:spacing w:line="240" w:lineRule="auto"/>
    </w:pPr>
    <w:rPr>
      <w:sz w:val="21"/>
      <w:szCs w:val="20"/>
    </w:rPr>
  </w:style>
  <w:style w:type="paragraph" w:styleId="11">
    <w:name w:val="Body Text Indent"/>
    <w:basedOn w:val="1"/>
    <w:next w:val="12"/>
    <w:autoRedefine/>
    <w:qFormat/>
    <w:uiPriority w:val="0"/>
    <w:pPr>
      <w:adjustRightInd w:val="0"/>
      <w:snapToGrid w:val="0"/>
      <w:spacing w:line="300" w:lineRule="auto"/>
      <w:ind w:firstLine="680" w:firstLineChars="200"/>
    </w:pPr>
    <w:rPr>
      <w:rFonts w:ascii="仿宋_GB2312" w:hAnsi="宋体" w:eastAsia="仿宋_GB2312"/>
      <w:sz w:val="32"/>
    </w:rPr>
  </w:style>
  <w:style w:type="paragraph" w:styleId="12">
    <w:name w:val="header"/>
    <w:basedOn w:val="1"/>
    <w:next w:val="13"/>
    <w:autoRedefine/>
    <w:qFormat/>
    <w:uiPriority w:val="0"/>
    <w:pPr>
      <w:pBdr>
        <w:bottom w:val="single" w:color="auto" w:sz="6" w:space="1"/>
      </w:pBdr>
      <w:tabs>
        <w:tab w:val="center" w:pos="4153"/>
        <w:tab w:val="right" w:pos="8306"/>
      </w:tabs>
      <w:snapToGrid w:val="0"/>
      <w:jc w:val="center"/>
    </w:pPr>
    <w:rPr>
      <w:sz w:val="18"/>
      <w:szCs w:val="18"/>
    </w:rPr>
  </w:style>
  <w:style w:type="paragraph" w:customStyle="1" w:styleId="13">
    <w:name w:val="样式5"/>
    <w:basedOn w:val="6"/>
    <w:next w:val="1"/>
    <w:autoRedefine/>
    <w:qFormat/>
    <w:uiPriority w:val="0"/>
    <w:pPr>
      <w:spacing w:line="380" w:lineRule="exact"/>
      <w:ind w:firstLine="566" w:firstLineChars="202"/>
    </w:pPr>
    <w:rPr>
      <w:rFonts w:ascii="Times New Roman" w:hAnsi="Times New Roman" w:eastAsia="华文行楷" w:cs="Times New Roman"/>
      <w:sz w:val="28"/>
    </w:rPr>
  </w:style>
  <w:style w:type="paragraph" w:styleId="14">
    <w:name w:val="Plain Text"/>
    <w:basedOn w:val="1"/>
    <w:next w:val="15"/>
    <w:autoRedefine/>
    <w:qFormat/>
    <w:uiPriority w:val="0"/>
    <w:rPr>
      <w:rFonts w:ascii="宋体" w:hAnsi="Courier New" w:cs="Courier New"/>
      <w:sz w:val="21"/>
      <w:szCs w:val="21"/>
    </w:rPr>
  </w:style>
  <w:style w:type="paragraph" w:styleId="15">
    <w:name w:val="toc 1"/>
    <w:basedOn w:val="1"/>
    <w:next w:val="1"/>
    <w:autoRedefine/>
    <w:semiHidden/>
    <w:qFormat/>
    <w:uiPriority w:val="0"/>
    <w:pPr>
      <w:tabs>
        <w:tab w:val="right" w:leader="dot" w:pos="8296"/>
      </w:tabs>
      <w:spacing w:before="120" w:after="120"/>
      <w:jc w:val="left"/>
    </w:pPr>
    <w:rPr>
      <w:rFonts w:eastAsia="仿宋_GB2312"/>
      <w:caps/>
      <w:snapToGrid/>
      <w:color w:val="000000"/>
      <w:spacing w:val="0"/>
      <w:kern w:val="2"/>
      <w:sz w:val="24"/>
    </w:rPr>
  </w:style>
  <w:style w:type="paragraph" w:styleId="16">
    <w:name w:val="footer"/>
    <w:basedOn w:val="1"/>
    <w:next w:val="1"/>
    <w:autoRedefine/>
    <w:qFormat/>
    <w:uiPriority w:val="99"/>
    <w:pPr>
      <w:tabs>
        <w:tab w:val="center" w:pos="4153"/>
        <w:tab w:val="right" w:pos="8306"/>
      </w:tabs>
      <w:snapToGrid w:val="0"/>
      <w:jc w:val="left"/>
    </w:pPr>
    <w:rPr>
      <w:sz w:val="18"/>
      <w:szCs w:val="18"/>
    </w:rPr>
  </w:style>
  <w:style w:type="paragraph" w:styleId="17">
    <w:name w:val="table of figures"/>
    <w:basedOn w:val="1"/>
    <w:next w:val="1"/>
    <w:autoRedefine/>
    <w:unhideWhenUsed/>
    <w:qFormat/>
    <w:uiPriority w:val="99"/>
    <w:pPr>
      <w:ind w:left="200" w:leftChars="200" w:hanging="200" w:hangingChars="200"/>
    </w:pPr>
  </w:style>
  <w:style w:type="paragraph" w:styleId="18">
    <w:name w:val="Normal (Web)"/>
    <w:basedOn w:val="1"/>
    <w:autoRedefine/>
    <w:qFormat/>
    <w:uiPriority w:val="0"/>
    <w:rPr>
      <w:sz w:val="24"/>
    </w:rPr>
  </w:style>
  <w:style w:type="paragraph" w:styleId="19">
    <w:name w:val="Body Text First Indent"/>
    <w:basedOn w:val="8"/>
    <w:next w:val="1"/>
    <w:autoRedefine/>
    <w:qFormat/>
    <w:uiPriority w:val="0"/>
    <w:pPr>
      <w:overflowPunct w:val="0"/>
      <w:autoSpaceDE w:val="0"/>
      <w:autoSpaceDN w:val="0"/>
      <w:adjustRightInd w:val="0"/>
      <w:spacing w:line="360" w:lineRule="auto"/>
      <w:ind w:firstLine="539" w:firstLineChars="200"/>
      <w:textAlignment w:val="baseline"/>
    </w:pPr>
    <w:rPr>
      <w:sz w:val="28"/>
    </w:rPr>
  </w:style>
  <w:style w:type="paragraph" w:styleId="20">
    <w:name w:val="Body Text First Indent 2"/>
    <w:basedOn w:val="11"/>
    <w:next w:val="19"/>
    <w:autoRedefine/>
    <w:unhideWhenUsed/>
    <w:qFormat/>
    <w:uiPriority w:val="0"/>
    <w:pPr>
      <w:spacing w:line="240" w:lineRule="auto"/>
      <w:ind w:firstLine="561"/>
    </w:pPr>
    <w:rPr>
      <w:b/>
      <w:iCs/>
      <w:sz w:val="28"/>
      <w:szCs w:val="28"/>
    </w:rPr>
  </w:style>
  <w:style w:type="table" w:styleId="22">
    <w:name w:val="Table Grid"/>
    <w:basedOn w:val="21"/>
    <w:autoRedefine/>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Strong"/>
    <w:basedOn w:val="23"/>
    <w:autoRedefine/>
    <w:qFormat/>
    <w:uiPriority w:val="0"/>
    <w:rPr>
      <w:b/>
    </w:rPr>
  </w:style>
  <w:style w:type="character" w:styleId="25">
    <w:name w:val="FollowedHyperlink"/>
    <w:basedOn w:val="23"/>
    <w:autoRedefine/>
    <w:qFormat/>
    <w:uiPriority w:val="0"/>
    <w:rPr>
      <w:color w:val="800080"/>
      <w:u w:val="none"/>
    </w:rPr>
  </w:style>
  <w:style w:type="character" w:styleId="26">
    <w:name w:val="Emphasis"/>
    <w:basedOn w:val="23"/>
    <w:autoRedefine/>
    <w:qFormat/>
    <w:uiPriority w:val="0"/>
    <w:rPr>
      <w:i/>
    </w:rPr>
  </w:style>
  <w:style w:type="character" w:styleId="27">
    <w:name w:val="Hyperlink"/>
    <w:basedOn w:val="23"/>
    <w:autoRedefine/>
    <w:qFormat/>
    <w:uiPriority w:val="0"/>
    <w:rPr>
      <w:color w:val="0000FF"/>
      <w:u w:val="none"/>
    </w:rPr>
  </w:style>
  <w:style w:type="paragraph" w:customStyle="1" w:styleId="28">
    <w:name w:val="toc 75"/>
    <w:next w:val="1"/>
    <w:autoRedefine/>
    <w:qFormat/>
    <w:uiPriority w:val="0"/>
    <w:pPr>
      <w:wordWrap w:val="0"/>
      <w:ind w:left="2550"/>
      <w:jc w:val="both"/>
    </w:pPr>
    <w:rPr>
      <w:rFonts w:ascii="Times New Roman" w:hAnsi="Times New Roman" w:eastAsia="宋体" w:cs="Times New Roman"/>
      <w:sz w:val="21"/>
      <w:lang w:val="en-US" w:eastAsia="zh-CN" w:bidi="ar-SA"/>
    </w:rPr>
  </w:style>
  <w:style w:type="paragraph" w:customStyle="1" w:styleId="29">
    <w:name w:val="_Style 4"/>
    <w:autoRedefine/>
    <w:qFormat/>
    <w:uiPriority w:val="1"/>
    <w:pPr>
      <w:widowControl w:val="0"/>
      <w:jc w:val="both"/>
    </w:pPr>
    <w:rPr>
      <w:rFonts w:ascii="Times New Roman" w:hAnsi="Times New Roman" w:eastAsia="仿宋_GB2312" w:cs="Times New Roman"/>
      <w:kern w:val="2"/>
      <w:sz w:val="24"/>
      <w:szCs w:val="22"/>
      <w:lang w:val="en-US" w:eastAsia="zh-CN" w:bidi="ar-SA"/>
    </w:rPr>
  </w:style>
  <w:style w:type="paragraph" w:customStyle="1" w:styleId="30">
    <w:name w:val="Default"/>
    <w:basedOn w:val="31"/>
    <w:next w:val="1"/>
    <w:autoRedefine/>
    <w:unhideWhenUsed/>
    <w:qFormat/>
    <w:uiPriority w:val="99"/>
    <w:pPr>
      <w:widowControl w:val="0"/>
      <w:autoSpaceDE w:val="0"/>
      <w:autoSpaceDN w:val="0"/>
      <w:adjustRightInd w:val="0"/>
    </w:pPr>
    <w:rPr>
      <w:rFonts w:hint="eastAsia" w:ascii="宋体" w:hAnsi="宋体" w:eastAsia="宋体" w:cs="Times New Roman"/>
      <w:color w:val="000000"/>
      <w:sz w:val="24"/>
      <w:lang w:val="en-US" w:eastAsia="zh-CN" w:bidi="ar-SA"/>
    </w:rPr>
  </w:style>
  <w:style w:type="paragraph" w:customStyle="1" w:styleId="31">
    <w:name w:val="纯文本1"/>
    <w:basedOn w:val="1"/>
    <w:next w:val="14"/>
    <w:autoRedefine/>
    <w:qFormat/>
    <w:uiPriority w:val="0"/>
    <w:rPr>
      <w:rFonts w:ascii="宋体" w:hAnsi="Courier New" w:cs="Courier New"/>
      <w:sz w:val="21"/>
      <w:szCs w:val="21"/>
    </w:rPr>
  </w:style>
  <w:style w:type="paragraph" w:customStyle="1" w:styleId="32">
    <w:name w:val="样式 正文首行缩进 + 首行缩进:  2 字符1"/>
    <w:basedOn w:val="19"/>
    <w:next w:val="15"/>
    <w:autoRedefine/>
    <w:qFormat/>
    <w:uiPriority w:val="0"/>
    <w:pPr>
      <w:spacing w:after="0" w:line="360" w:lineRule="auto"/>
      <w:ind w:firstLine="480" w:firstLineChars="200"/>
    </w:pPr>
    <w:rPr>
      <w:sz w:val="24"/>
    </w:rPr>
  </w:style>
  <w:style w:type="paragraph" w:customStyle="1" w:styleId="33">
    <w:name w:val="样式 正文11 + 首行缩进:  2 字符"/>
    <w:basedOn w:val="1"/>
    <w:autoRedefine/>
    <w:qFormat/>
    <w:uiPriority w:val="0"/>
    <w:pPr>
      <w:spacing w:line="500" w:lineRule="exact"/>
      <w:ind w:firstLine="560" w:firstLineChars="200"/>
    </w:pPr>
    <w:rPr>
      <w:rFonts w:ascii="宋体" w:hAnsi="宋体" w:cs="宋体"/>
      <w:b/>
      <w:color w:val="FF0000"/>
      <w:sz w:val="28"/>
    </w:rPr>
  </w:style>
  <w:style w:type="paragraph" w:customStyle="1" w:styleId="34">
    <w:name w:val="正文（缩进）"/>
    <w:basedOn w:val="1"/>
    <w:autoRedefine/>
    <w:qFormat/>
    <w:uiPriority w:val="99"/>
    <w:pPr>
      <w:spacing w:line="360" w:lineRule="auto"/>
      <w:ind w:firstLine="480" w:firstLineChars="200"/>
    </w:pPr>
    <w:rPr>
      <w:sz w:val="24"/>
    </w:rPr>
  </w:style>
  <w:style w:type="paragraph" w:customStyle="1" w:styleId="35">
    <w:name w:val="0正文"/>
    <w:basedOn w:val="11"/>
    <w:next w:val="20"/>
    <w:autoRedefine/>
    <w:unhideWhenUsed/>
    <w:qFormat/>
    <w:uiPriority w:val="0"/>
    <w:pPr>
      <w:widowControl w:val="0"/>
      <w:spacing w:line="360" w:lineRule="auto"/>
      <w:ind w:firstLine="720" w:firstLineChars="200"/>
    </w:pPr>
    <w:rPr>
      <w:rFonts w:ascii="Calibri" w:hAnsi="Calibri" w:eastAsia="宋体" w:cs="Times New Roman"/>
      <w:sz w:val="24"/>
      <w:szCs w:val="22"/>
      <w:lang w:val="en-US" w:eastAsia="zh-CN" w:bidi="ar-SA"/>
    </w:rPr>
  </w:style>
  <w:style w:type="paragraph" w:customStyle="1" w:styleId="36">
    <w:name w:val="样式 标题 1一级标题 + 段前: 0.5 行 段后: 0.5 行"/>
    <w:basedOn w:val="3"/>
    <w:autoRedefine/>
    <w:qFormat/>
    <w:uiPriority w:val="0"/>
    <w:pPr>
      <w:spacing w:line="320" w:lineRule="exact"/>
      <w:outlineLvl w:val="9"/>
    </w:pPr>
    <w:rPr>
      <w:rFonts w:eastAsia="宋体"/>
      <w:spacing w:val="-6"/>
      <w:sz w:val="21"/>
      <w:szCs w:val="21"/>
    </w:rPr>
  </w:style>
  <w:style w:type="paragraph" w:customStyle="1" w:styleId="37">
    <w:name w:val="报告正文"/>
    <w:basedOn w:val="1"/>
    <w:next w:val="1"/>
    <w:autoRedefine/>
    <w:qFormat/>
    <w:uiPriority w:val="0"/>
    <w:pPr>
      <w:numPr>
        <w:ilvl w:val="0"/>
        <w:numId w:val="1"/>
      </w:numPr>
      <w:spacing w:line="360" w:lineRule="auto"/>
      <w:ind w:firstLine="720" w:firstLineChars="200"/>
    </w:pPr>
  </w:style>
  <w:style w:type="paragraph" w:customStyle="1" w:styleId="38">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39">
    <w:name w:val="fr4"/>
    <w:basedOn w:val="23"/>
    <w:autoRedefine/>
    <w:qFormat/>
    <w:uiPriority w:val="0"/>
  </w:style>
  <w:style w:type="character" w:customStyle="1" w:styleId="40">
    <w:name w:val="last-child"/>
    <w:basedOn w:val="23"/>
    <w:autoRedefine/>
    <w:qFormat/>
    <w:uiPriority w:val="0"/>
  </w:style>
  <w:style w:type="character" w:customStyle="1" w:styleId="41">
    <w:name w:val="before"/>
    <w:basedOn w:val="23"/>
    <w:autoRedefine/>
    <w:qFormat/>
    <w:uiPriority w:val="0"/>
    <w:rPr>
      <w:rFonts w:hint="default" w:ascii="iconfont" w:hAnsi="iconfont" w:eastAsia="iconfont" w:cs="iconfont"/>
      <w:color w:val="CCCCCC"/>
    </w:rPr>
  </w:style>
  <w:style w:type="character" w:customStyle="1" w:styleId="42">
    <w:name w:val="before1"/>
    <w:basedOn w:val="23"/>
    <w:autoRedefine/>
    <w:qFormat/>
    <w:uiPriority w:val="0"/>
    <w:rPr>
      <w:shd w:val="clear" w:color="auto" w:fill="39548B"/>
    </w:rPr>
  </w:style>
  <w:style w:type="character" w:customStyle="1" w:styleId="43">
    <w:name w:val="on"/>
    <w:basedOn w:val="23"/>
    <w:autoRedefine/>
    <w:qFormat/>
    <w:uiPriority w:val="0"/>
  </w:style>
  <w:style w:type="paragraph" w:customStyle="1" w:styleId="44">
    <w:name w:val="p0"/>
    <w:basedOn w:val="1"/>
    <w:autoRedefine/>
    <w:qFormat/>
    <w:uiPriority w:val="0"/>
    <w:pPr>
      <w:widowControl/>
    </w:pPr>
    <w:rPr>
      <w:szCs w:val="21"/>
    </w:rPr>
  </w:style>
  <w:style w:type="paragraph" w:customStyle="1" w:styleId="45">
    <w:name w:val="样式1"/>
    <w:basedOn w:val="46"/>
    <w:autoRedefine/>
    <w:qFormat/>
    <w:uiPriority w:val="0"/>
    <w:pPr>
      <w:widowControl/>
      <w:spacing w:before="80" w:after="80" w:line="540" w:lineRule="exact"/>
      <w:ind w:left="-2"/>
    </w:pPr>
    <w:rPr>
      <w:rFonts w:ascii="Arial" w:hAnsi="Arial"/>
      <w:bCs/>
      <w:kern w:val="0"/>
      <w:szCs w:val="48"/>
    </w:rPr>
  </w:style>
  <w:style w:type="paragraph" w:customStyle="1" w:styleId="46">
    <w:name w:val="a-文本缩2"/>
    <w:autoRedefine/>
    <w:qFormat/>
    <w:uiPriority w:val="0"/>
    <w:pPr>
      <w:widowControl w:val="0"/>
      <w:adjustRightInd w:val="0"/>
      <w:snapToGrid w:val="0"/>
      <w:spacing w:line="360" w:lineRule="auto"/>
      <w:ind w:firstLine="480" w:firstLineChars="200"/>
      <w:jc w:val="both"/>
    </w:pPr>
    <w:rPr>
      <w:rFonts w:ascii="Times New Roman" w:hAnsi="Times New Roman" w:eastAsia="宋体" w:cs="Times New Roman"/>
      <w:kern w:val="2"/>
      <w:sz w:val="24"/>
      <w:szCs w:val="21"/>
      <w:lang w:val="en-US" w:eastAsia="zh-CN" w:bidi="ar-SA"/>
    </w:rPr>
  </w:style>
  <w:style w:type="paragraph" w:customStyle="1" w:styleId="47">
    <w:name w:val="【正文】"/>
    <w:basedOn w:val="1"/>
    <w:next w:val="1"/>
    <w:autoRedefine/>
    <w:qFormat/>
    <w:uiPriority w:val="0"/>
    <w:pPr>
      <w:spacing w:line="360" w:lineRule="auto"/>
      <w:ind w:firstLine="200" w:firstLineChars="200"/>
    </w:pPr>
    <w:rPr>
      <w:spacing w:val="17"/>
      <w:sz w:val="24"/>
      <w:szCs w:val="20"/>
      <w:lang w:val="zh-CN"/>
    </w:rPr>
  </w:style>
  <w:style w:type="character" w:customStyle="1" w:styleId="48">
    <w:name w:val="fontstyle01"/>
    <w:basedOn w:val="23"/>
    <w:autoRedefine/>
    <w:qFormat/>
    <w:uiPriority w:val="0"/>
    <w:rPr>
      <w:rFonts w:hint="eastAsia" w:ascii="宋体" w:hAnsi="宋体" w:eastAsia="宋体"/>
      <w:color w:val="000000"/>
      <w:sz w:val="24"/>
      <w:szCs w:val="24"/>
    </w:rPr>
  </w:style>
  <w:style w:type="character" w:customStyle="1" w:styleId="49">
    <w:name w:val="NormalCharacter"/>
    <w:autoRedefine/>
    <w:semiHidden/>
    <w:qFormat/>
    <w:uiPriority w:val="0"/>
    <w:rPr>
      <w:kern w:val="2"/>
      <w:sz w:val="21"/>
      <w:szCs w:val="24"/>
      <w:lang w:val="en-US" w:eastAsia="zh-CN" w:bidi="ar-SA"/>
    </w:rPr>
  </w:style>
  <w:style w:type="character" w:customStyle="1" w:styleId="50">
    <w:name w:val="样式 小四 黑色 行距: 1.5 倍行距 Char"/>
    <w:qFormat/>
    <w:uiPriority w:val="0"/>
    <w:rPr>
      <w:rFonts w:cs="宋体"/>
      <w:color w:val="000000"/>
      <w:sz w:val="24"/>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2495</Words>
  <Characters>2749</Characters>
  <Lines>18</Lines>
  <Paragraphs>5</Paragraphs>
  <TotalTime>44</TotalTime>
  <ScaleCrop>false</ScaleCrop>
  <LinksUpToDate>false</LinksUpToDate>
  <CharactersWithSpaces>2749</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2022-08-16T15:15:00Z</dcterms:created>
  <dc:creator>海霞</dc:creator>
  <cp:lastModifiedBy>李冬月</cp:lastModifiedBy>
  <cp:lastPrinted>2026-04-28T18:22:00Z</cp:lastPrinted>
  <dcterms:modified xsi:type="dcterms:W3CDTF">2026-04-28T16:38:19Z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82229F1912394B2286DBB6DD872857B8_13</vt:lpwstr>
  </property>
  <property fmtid="{D5CDD505-2E9C-101B-9397-08002B2CF9AE}" pid="4" name="KSOTemplateDocerSaveRecord">
    <vt:lpwstr>eyJoZGlkIjoiYWY2ZmMwZjEwZDNiYTBmYTAzOGI3NGU0OTZhMjdiZDAiLCJ1c2VySWQiOiI0NDQ4MzE5NjMifQ==</vt:lpwstr>
  </property>
</Properties>
</file>