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086DFB3D">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本溪市生态环境局同意设置南芬污水厂</w:t>
      </w: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入河排污口决定书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000000" w:themeColor="text1"/>
          <w:spacing w:val="0"/>
          <w:w w:val="100"/>
          <w:sz w:val="32"/>
          <w:szCs w:val="32"/>
          <w:lang w:val="en-US" w:eastAsia="zh-CN"/>
        </w:rPr>
      </w:pPr>
      <w:r>
        <w:rPr>
          <w:rFonts w:hint="eastAsia" w:ascii="Times New Roman" w:hAnsi="Times New Roman" w:eastAsia="仿宋_GB2312" w:cs="Times New Roman"/>
          <w:color w:val="000000" w:themeColor="text1"/>
          <w:spacing w:val="0"/>
          <w:w w:val="100"/>
          <w:sz w:val="32"/>
          <w:szCs w:val="32"/>
          <w:lang w:eastAsia="zh-CN"/>
        </w:rPr>
        <w:t>本环排决</w:t>
      </w:r>
      <w:r>
        <w:rPr>
          <w:rFonts w:hint="default" w:ascii="Times New Roman" w:hAnsi="Times New Roman" w:eastAsia="仿宋_GB2312" w:cs="Times New Roman"/>
          <w:color w:val="000000" w:themeColor="text1"/>
          <w:spacing w:val="0"/>
          <w:w w:val="100"/>
          <w:sz w:val="32"/>
          <w:szCs w:val="32"/>
          <w:lang w:eastAsia="zh-CN"/>
        </w:rPr>
        <w:t>〔</w:t>
      </w:r>
      <w:r>
        <w:rPr>
          <w:rFonts w:hint="default" w:ascii="Times New Roman" w:hAnsi="Times New Roman" w:eastAsia="仿宋_GB2312" w:cs="Times New Roman"/>
          <w:color w:val="000000" w:themeColor="text1"/>
          <w:spacing w:val="0"/>
          <w:w w:val="100"/>
          <w:sz w:val="32"/>
          <w:szCs w:val="32"/>
          <w:lang w:val="en-US" w:eastAsia="zh-CN"/>
        </w:rPr>
        <w:t>2025</w:t>
      </w:r>
      <w:r>
        <w:rPr>
          <w:rFonts w:hint="default" w:ascii="Times New Roman" w:hAnsi="Times New Roman" w:eastAsia="仿宋_GB2312" w:cs="Times New Roman"/>
          <w:color w:val="000000" w:themeColor="text1"/>
          <w:spacing w:val="0"/>
          <w:w w:val="100"/>
          <w:sz w:val="32"/>
          <w:szCs w:val="32"/>
          <w:lang w:eastAsia="zh-CN"/>
        </w:rPr>
        <w:t>〕</w:t>
      </w:r>
      <w:r>
        <w:rPr>
          <w:rFonts w:hint="eastAsia" w:ascii="Times New Roman" w:hAnsi="Times New Roman" w:eastAsia="仿宋_GB2312" w:cs="Times New Roman"/>
          <w:color w:val="000000" w:themeColor="text1"/>
          <w:spacing w:val="0"/>
          <w:w w:val="100"/>
          <w:sz w:val="32"/>
          <w:szCs w:val="32"/>
          <w:lang w:val="en-US" w:eastAsia="zh-CN"/>
        </w:rPr>
        <w:t>6号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本溪市南芬区科态水务有限责任公司：</w:t>
      </w:r>
    </w:p>
    <w:p w14:paraId="400403E6">
      <w:pPr>
        <w:widowControl w:val="0"/>
        <w:wordWrap/>
        <w:adjustRightInd/>
        <w:snapToGrid/>
        <w:spacing w:line="570" w:lineRule="exact"/>
        <w:ind w:firstLine="640" w:firstLineChars="200"/>
        <w:jc w:val="both"/>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日向我部门提出了南芬污水厂入河排污口设置申请。经审查，根据《中华人民共和国行政许可法》《入河排污口监督管理办法》（生态环境部令第35号）的规定，同意南芬污水厂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133"/>
        <w:gridCol w:w="851"/>
        <w:gridCol w:w="426"/>
        <w:gridCol w:w="1134"/>
        <w:gridCol w:w="1418"/>
        <w:gridCol w:w="1153"/>
      </w:tblGrid>
      <w:tr w14:paraId="1C30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830" w:type="dxa"/>
            <w:noWrap w:val="0"/>
            <w:vAlign w:val="center"/>
          </w:tcPr>
          <w:p w14:paraId="007E2964">
            <w:pPr>
              <w:pStyle w:val="3"/>
              <w:spacing w:before="0" w:line="360" w:lineRule="exact"/>
              <w:ind w:left="0"/>
              <w:jc w:val="center"/>
              <w:rPr>
                <w:rFonts w:ascii="Times New Roman" w:hAnsi="Times New Roman" w:eastAsia="宋体"/>
                <w:color w:val="auto"/>
                <w:kern w:val="2"/>
                <w:sz w:val="21"/>
                <w:szCs w:val="21"/>
                <w:lang w:eastAsia="zh-CN"/>
              </w:rPr>
            </w:pPr>
            <w:r>
              <w:rPr>
                <w:rFonts w:ascii="Times New Roman" w:hAnsi="Times New Roman"/>
                <w:color w:val="auto"/>
                <w:szCs w:val="21"/>
                <w:lang w:eastAsia="zh-CN"/>
              </w:rPr>
              <w:br w:type="page"/>
            </w:r>
            <w:r>
              <w:rPr>
                <w:rFonts w:hint="eastAsia" w:ascii="Times New Roman" w:hAnsi="Times New Roman" w:eastAsia="宋体"/>
                <w:color w:val="auto"/>
                <w:kern w:val="2"/>
                <w:sz w:val="21"/>
                <w:szCs w:val="21"/>
                <w:lang w:eastAsia="zh-CN"/>
              </w:rPr>
              <w:t>入河排污口类型</w:t>
            </w:r>
          </w:p>
        </w:tc>
        <w:tc>
          <w:tcPr>
            <w:tcW w:w="6115" w:type="dxa"/>
            <w:gridSpan w:val="6"/>
            <w:noWrap w:val="0"/>
            <w:vAlign w:val="center"/>
          </w:tcPr>
          <w:p w14:paraId="3254982B">
            <w:pPr>
              <w:widowControl/>
              <w:spacing w:line="360" w:lineRule="exact"/>
              <w:rPr>
                <w:color w:val="auto"/>
              </w:rPr>
            </w:pPr>
            <w:r>
              <w:rPr>
                <w:color w:val="auto"/>
                <w:szCs w:val="20"/>
              </w:rPr>
              <w:sym w:font="Wingdings 2" w:char="00A3"/>
            </w:r>
            <w:r>
              <w:rPr>
                <w:rFonts w:hint="eastAsia"/>
                <w:color w:val="auto"/>
              </w:rPr>
              <w:t>工矿企业入河排污口</w:t>
            </w:r>
          </w:p>
          <w:p w14:paraId="3D93A338">
            <w:pPr>
              <w:widowControl/>
              <w:spacing w:line="360" w:lineRule="exact"/>
              <w:rPr>
                <w:color w:val="auto"/>
              </w:rPr>
            </w:pPr>
            <w:r>
              <w:rPr>
                <w:color w:val="auto"/>
                <w:szCs w:val="20"/>
              </w:rPr>
              <w:sym w:font="Wingdings 2" w:char="00A3"/>
            </w:r>
            <w:r>
              <w:rPr>
                <w:rFonts w:hint="eastAsia"/>
                <w:color w:val="auto"/>
              </w:rPr>
              <w:t>工业及其他各类园区污水处理厂入河排污口</w:t>
            </w:r>
          </w:p>
          <w:p w14:paraId="0E039EC1">
            <w:pPr>
              <w:widowControl/>
              <w:spacing w:line="360" w:lineRule="exact"/>
              <w:rPr>
                <w:color w:val="auto"/>
              </w:rPr>
            </w:pPr>
            <w:r>
              <w:rPr>
                <w:color w:val="auto"/>
                <w:szCs w:val="20"/>
              </w:rPr>
              <w:sym w:font="Wingdings 2" w:char="0052"/>
            </w:r>
            <w:r>
              <w:rPr>
                <w:rFonts w:hint="eastAsia"/>
                <w:color w:val="auto"/>
              </w:rPr>
              <w:t>城镇污水处理厂入河排污口</w:t>
            </w:r>
          </w:p>
          <w:p w14:paraId="3C6A17E5">
            <w:pPr>
              <w:widowControl/>
              <w:spacing w:line="360" w:lineRule="exact"/>
              <w:rPr>
                <w:color w:val="auto"/>
              </w:rPr>
            </w:pPr>
            <w:r>
              <w:rPr>
                <w:color w:val="auto"/>
                <w:szCs w:val="20"/>
              </w:rPr>
              <w:sym w:font="Wingdings 2" w:char="00A3"/>
            </w:r>
            <w:r>
              <w:rPr>
                <w:rFonts w:hint="eastAsia"/>
                <w:color w:val="auto"/>
                <w:szCs w:val="20"/>
              </w:rPr>
              <w:t>其他参照上述管理的入河排污口_</w:t>
            </w:r>
            <w:r>
              <w:rPr>
                <w:color w:val="auto"/>
                <w:szCs w:val="20"/>
              </w:rPr>
              <w:t>______________</w:t>
            </w:r>
          </w:p>
        </w:tc>
      </w:tr>
      <w:tr w14:paraId="3389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noWrap w:val="0"/>
            <w:vAlign w:val="center"/>
          </w:tcPr>
          <w:p w14:paraId="2E6D68EE">
            <w:pPr>
              <w:widowControl/>
              <w:spacing w:line="360" w:lineRule="exact"/>
              <w:jc w:val="center"/>
              <w:rPr>
                <w:color w:val="auto"/>
                <w:szCs w:val="21"/>
              </w:rPr>
            </w:pPr>
            <w:r>
              <w:rPr>
                <w:rFonts w:hint="eastAsia"/>
                <w:color w:val="auto"/>
                <w:szCs w:val="21"/>
              </w:rPr>
              <w:t>入河排污口名称</w:t>
            </w:r>
          </w:p>
        </w:tc>
        <w:tc>
          <w:tcPr>
            <w:tcW w:w="6115" w:type="dxa"/>
            <w:gridSpan w:val="6"/>
            <w:noWrap w:val="0"/>
            <w:vAlign w:val="center"/>
          </w:tcPr>
          <w:p w14:paraId="5E4FD230">
            <w:pPr>
              <w:widowControl/>
              <w:spacing w:line="360" w:lineRule="exact"/>
              <w:rPr>
                <w:color w:val="auto"/>
                <w:szCs w:val="20"/>
              </w:rPr>
            </w:pPr>
            <w:r>
              <w:rPr>
                <w:rFonts w:hint="eastAsia"/>
                <w:color w:val="auto"/>
                <w:szCs w:val="20"/>
              </w:rPr>
              <w:t>金坑村细河左岸南芬污水厂排放口</w:t>
            </w:r>
          </w:p>
        </w:tc>
      </w:tr>
      <w:tr w14:paraId="51FE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noWrap w:val="0"/>
            <w:vAlign w:val="center"/>
          </w:tcPr>
          <w:p w14:paraId="3A40B6CC">
            <w:pPr>
              <w:widowControl/>
              <w:spacing w:line="360" w:lineRule="exact"/>
              <w:jc w:val="center"/>
              <w:rPr>
                <w:color w:val="auto"/>
                <w:szCs w:val="21"/>
              </w:rPr>
            </w:pPr>
            <w:r>
              <w:rPr>
                <w:rFonts w:hint="eastAsia"/>
                <w:color w:val="auto"/>
                <w:szCs w:val="21"/>
              </w:rPr>
              <w:t>入河排污口编码</w:t>
            </w:r>
          </w:p>
        </w:tc>
        <w:tc>
          <w:tcPr>
            <w:tcW w:w="6115" w:type="dxa"/>
            <w:gridSpan w:val="6"/>
            <w:noWrap w:val="0"/>
            <w:vAlign w:val="center"/>
          </w:tcPr>
          <w:p w14:paraId="71D70427">
            <w:pPr>
              <w:widowControl/>
              <w:spacing w:line="360" w:lineRule="exact"/>
              <w:rPr>
                <w:color w:val="auto"/>
                <w:szCs w:val="20"/>
              </w:rPr>
            </w:pPr>
            <w:r>
              <w:rPr>
                <w:rFonts w:hint="eastAsia"/>
                <w:color w:val="auto"/>
                <w:szCs w:val="20"/>
              </w:rPr>
              <w:t>BA-210505-0046-SH-00</w:t>
            </w:r>
          </w:p>
        </w:tc>
      </w:tr>
      <w:tr w14:paraId="4D7E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noWrap w:val="0"/>
            <w:vAlign w:val="center"/>
          </w:tcPr>
          <w:p w14:paraId="5938CC77">
            <w:pPr>
              <w:widowControl/>
              <w:spacing w:line="360" w:lineRule="exact"/>
              <w:jc w:val="center"/>
              <w:rPr>
                <w:color w:val="auto"/>
                <w:szCs w:val="21"/>
              </w:rPr>
            </w:pPr>
            <w:r>
              <w:rPr>
                <w:rFonts w:hint="eastAsia"/>
                <w:color w:val="auto"/>
                <w:szCs w:val="21"/>
              </w:rPr>
              <w:t>设置类型</w:t>
            </w:r>
          </w:p>
        </w:tc>
        <w:tc>
          <w:tcPr>
            <w:tcW w:w="6115" w:type="dxa"/>
            <w:gridSpan w:val="6"/>
            <w:noWrap w:val="0"/>
            <w:vAlign w:val="center"/>
          </w:tcPr>
          <w:p w14:paraId="665F85B7">
            <w:pPr>
              <w:widowControl/>
              <w:spacing w:line="360" w:lineRule="exact"/>
              <w:rPr>
                <w:color w:val="auto"/>
                <w:szCs w:val="20"/>
              </w:rPr>
            </w:pPr>
            <w:r>
              <w:rPr>
                <w:color w:val="auto"/>
                <w:szCs w:val="20"/>
              </w:rPr>
              <w:sym w:font="Wingdings 2" w:char="0052"/>
            </w:r>
            <w:r>
              <w:rPr>
                <w:rFonts w:hint="eastAsia"/>
                <w:color w:val="auto"/>
                <w:szCs w:val="21"/>
              </w:rPr>
              <w:t>新设</w:t>
            </w:r>
            <w:r>
              <w:rPr>
                <w:color w:val="auto"/>
                <w:szCs w:val="20"/>
              </w:rPr>
              <w:t xml:space="preserve">  </w:t>
            </w:r>
            <w:r>
              <w:rPr>
                <w:color w:val="auto"/>
                <w:szCs w:val="20"/>
              </w:rPr>
              <w:sym w:font="Wingdings 2" w:char="00A3"/>
            </w:r>
            <w:r>
              <w:rPr>
                <w:rFonts w:hint="eastAsia"/>
                <w:color w:val="auto"/>
                <w:szCs w:val="21"/>
              </w:rPr>
              <w:t>改设</w:t>
            </w:r>
            <w:r>
              <w:rPr>
                <w:color w:val="auto"/>
                <w:szCs w:val="20"/>
              </w:rPr>
              <w:t xml:space="preserve">  </w:t>
            </w:r>
            <w:r>
              <w:rPr>
                <w:color w:val="auto"/>
                <w:szCs w:val="20"/>
              </w:rPr>
              <w:sym w:font="Wingdings 2" w:char="00A3"/>
            </w:r>
            <w:r>
              <w:rPr>
                <w:rFonts w:hint="eastAsia"/>
                <w:color w:val="auto"/>
                <w:szCs w:val="21"/>
              </w:rPr>
              <w:t>扩大</w:t>
            </w:r>
            <w:r>
              <w:rPr>
                <w:color w:val="auto"/>
                <w:szCs w:val="20"/>
                <w:lang w:val="en"/>
              </w:rPr>
              <w:t xml:space="preserve"> </w:t>
            </w:r>
            <w:r>
              <w:rPr>
                <w:rFonts w:hint="eastAsia"/>
                <w:color w:val="auto"/>
                <w:szCs w:val="20"/>
              </w:rPr>
              <w:t xml:space="preserve"> </w:t>
            </w:r>
          </w:p>
        </w:tc>
      </w:tr>
      <w:tr w14:paraId="017B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noWrap w:val="0"/>
            <w:vAlign w:val="center"/>
          </w:tcPr>
          <w:p w14:paraId="5444DC73">
            <w:pPr>
              <w:widowControl/>
              <w:spacing w:line="360" w:lineRule="exact"/>
              <w:rPr>
                <w:color w:val="auto"/>
                <w:szCs w:val="20"/>
              </w:rPr>
            </w:pPr>
            <w:r>
              <w:rPr>
                <w:rFonts w:hint="eastAsia"/>
                <w:color w:val="auto"/>
                <w:szCs w:val="20"/>
              </w:rPr>
              <w:t>责任主体基本情况</w:t>
            </w:r>
          </w:p>
        </w:tc>
      </w:tr>
      <w:tr w14:paraId="4F2E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5" w:type="dxa"/>
            <w:gridSpan w:val="7"/>
            <w:noWrap w:val="0"/>
            <w:vAlign w:val="center"/>
          </w:tcPr>
          <w:p w14:paraId="4E6C6548">
            <w:pPr>
              <w:widowControl/>
              <w:spacing w:line="360" w:lineRule="exact"/>
              <w:rPr>
                <w:color w:val="auto"/>
                <w:kern w:val="0"/>
                <w:szCs w:val="21"/>
              </w:rPr>
            </w:pPr>
            <w:r>
              <w:rPr>
                <w:rFonts w:hint="eastAsia"/>
                <w:color w:val="auto"/>
                <w:kern w:val="0"/>
                <w:szCs w:val="21"/>
              </w:rPr>
              <w:t>责任主体名称：本溪市南芬区科态水务有限责任公司</w:t>
            </w:r>
          </w:p>
        </w:tc>
      </w:tr>
      <w:tr w14:paraId="30E8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0" w:type="dxa"/>
            <w:noWrap w:val="0"/>
            <w:vAlign w:val="center"/>
          </w:tcPr>
          <w:p w14:paraId="45DE2DF9">
            <w:pPr>
              <w:widowControl/>
              <w:spacing w:line="360" w:lineRule="exact"/>
              <w:jc w:val="center"/>
              <w:rPr>
                <w:color w:val="auto"/>
                <w:kern w:val="0"/>
                <w:szCs w:val="21"/>
              </w:rPr>
            </w:pPr>
            <w:r>
              <w:rPr>
                <w:rFonts w:hint="eastAsia"/>
                <w:color w:val="auto"/>
                <w:kern w:val="0"/>
                <w:szCs w:val="21"/>
              </w:rPr>
              <w:t>详细地址</w:t>
            </w:r>
          </w:p>
        </w:tc>
        <w:tc>
          <w:tcPr>
            <w:tcW w:w="6115" w:type="dxa"/>
            <w:gridSpan w:val="6"/>
            <w:noWrap w:val="0"/>
            <w:vAlign w:val="center"/>
          </w:tcPr>
          <w:p w14:paraId="2D4661AB">
            <w:pPr>
              <w:widowControl/>
              <w:spacing w:line="360" w:lineRule="exact"/>
              <w:rPr>
                <w:rFonts w:ascii="Times New Roman" w:hAnsi="Times New Roman" w:eastAsia="宋体" w:cs="Times New Roman"/>
                <w:color w:val="auto"/>
                <w:kern w:val="0"/>
                <w:sz w:val="21"/>
                <w:szCs w:val="21"/>
                <w:lang w:val="en-US" w:eastAsia="zh-CN" w:bidi="ar-SA"/>
              </w:rPr>
            </w:pPr>
            <w:r>
              <w:rPr>
                <w:rFonts w:hint="eastAsia"/>
                <w:color w:val="auto"/>
                <w:kern w:val="0"/>
                <w:szCs w:val="21"/>
              </w:rPr>
              <w:t>辽宁省本溪市南芬区郭家办事处金坑村三组黄岭子103-2</w:t>
            </w:r>
          </w:p>
        </w:tc>
      </w:tr>
      <w:tr w14:paraId="3516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830" w:type="dxa"/>
            <w:noWrap w:val="0"/>
            <w:vAlign w:val="center"/>
          </w:tcPr>
          <w:p w14:paraId="14DEDB25">
            <w:pPr>
              <w:widowControl/>
              <w:spacing w:line="360" w:lineRule="exact"/>
              <w:jc w:val="center"/>
              <w:rPr>
                <w:color w:val="auto"/>
                <w:szCs w:val="21"/>
              </w:rPr>
            </w:pPr>
            <w:r>
              <w:rPr>
                <w:rFonts w:hint="eastAsia"/>
                <w:color w:val="auto"/>
                <w:szCs w:val="21"/>
              </w:rPr>
              <w:t>统一社会信用代码</w:t>
            </w:r>
          </w:p>
        </w:tc>
        <w:tc>
          <w:tcPr>
            <w:tcW w:w="6115" w:type="dxa"/>
            <w:gridSpan w:val="6"/>
            <w:noWrap w:val="0"/>
            <w:vAlign w:val="center"/>
          </w:tcPr>
          <w:p w14:paraId="3F106040">
            <w:pPr>
              <w:widowControl/>
              <w:spacing w:line="360" w:lineRule="exact"/>
              <w:rPr>
                <w:rFonts w:ascii="Times New Roman" w:hAnsi="Times New Roman" w:eastAsia="宋体" w:cs="Times New Roman"/>
                <w:color w:val="auto"/>
                <w:kern w:val="2"/>
                <w:sz w:val="21"/>
                <w:szCs w:val="22"/>
                <w:lang w:val="en-US" w:eastAsia="zh-CN" w:bidi="ar-SA"/>
              </w:rPr>
            </w:pPr>
            <w:r>
              <w:rPr>
                <w:rFonts w:hint="eastAsia"/>
                <w:color w:val="auto"/>
              </w:rPr>
              <w:t>91210505MA0UM4TMXJ</w:t>
            </w:r>
          </w:p>
        </w:tc>
      </w:tr>
      <w:tr w14:paraId="002E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noWrap w:val="0"/>
            <w:vAlign w:val="center"/>
          </w:tcPr>
          <w:p w14:paraId="2C47A10D">
            <w:pPr>
              <w:widowControl/>
              <w:spacing w:line="360" w:lineRule="exact"/>
              <w:jc w:val="center"/>
              <w:rPr>
                <w:color w:val="auto"/>
                <w:szCs w:val="21"/>
              </w:rPr>
            </w:pPr>
            <w:r>
              <w:rPr>
                <w:rFonts w:hint="eastAsia"/>
                <w:color w:val="auto"/>
                <w:szCs w:val="21"/>
              </w:rPr>
              <w:t>法定代表人及联系电话</w:t>
            </w:r>
          </w:p>
        </w:tc>
        <w:tc>
          <w:tcPr>
            <w:tcW w:w="6115" w:type="dxa"/>
            <w:gridSpan w:val="6"/>
            <w:noWrap w:val="0"/>
            <w:vAlign w:val="center"/>
          </w:tcPr>
          <w:p w14:paraId="51CDEA17">
            <w:pPr>
              <w:widowControl/>
              <w:spacing w:line="360" w:lineRule="exact"/>
              <w:rPr>
                <w:rFonts w:ascii="Times New Roman" w:hAnsi="Times New Roman" w:eastAsia="宋体" w:cs="Times New Roman"/>
                <w:color w:val="auto"/>
                <w:kern w:val="2"/>
                <w:sz w:val="21"/>
                <w:szCs w:val="22"/>
                <w:lang w:val="en-US" w:eastAsia="zh-CN" w:bidi="ar-SA"/>
              </w:rPr>
            </w:pPr>
            <w:r>
              <w:rPr>
                <w:rFonts w:hint="eastAsia"/>
                <w:color w:val="auto"/>
              </w:rPr>
              <w:t>姓名：</w:t>
            </w:r>
            <w:r>
              <w:rPr>
                <w:rFonts w:hint="eastAsia"/>
                <w:color w:val="auto"/>
                <w:lang w:val="en-US" w:eastAsia="zh-CN"/>
              </w:rPr>
              <w:t>翟娜</w:t>
            </w:r>
            <w:r>
              <w:rPr>
                <w:color w:val="auto"/>
                <w:lang w:val="en"/>
              </w:rPr>
              <w:t xml:space="preserve">  </w:t>
            </w:r>
            <w:r>
              <w:rPr>
                <w:color w:val="auto"/>
              </w:rPr>
              <w:t xml:space="preserve">    </w:t>
            </w:r>
            <w:r>
              <w:rPr>
                <w:rFonts w:hint="eastAsia"/>
                <w:color w:val="auto"/>
                <w:szCs w:val="21"/>
              </w:rPr>
              <w:t>联系电话：13942445295</w:t>
            </w:r>
            <w:r>
              <w:rPr>
                <w:color w:val="auto"/>
                <w:szCs w:val="21"/>
              </w:rPr>
              <w:t xml:space="preserve">      </w:t>
            </w:r>
          </w:p>
        </w:tc>
      </w:tr>
      <w:tr w14:paraId="3EAF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noWrap w:val="0"/>
            <w:vAlign w:val="center"/>
          </w:tcPr>
          <w:p w14:paraId="23D55CA6">
            <w:pPr>
              <w:widowControl/>
              <w:spacing w:line="360" w:lineRule="exact"/>
              <w:jc w:val="center"/>
              <w:rPr>
                <w:color w:val="auto"/>
                <w:szCs w:val="21"/>
              </w:rPr>
            </w:pPr>
            <w:r>
              <w:rPr>
                <w:rFonts w:hint="eastAsia"/>
                <w:color w:val="auto"/>
                <w:szCs w:val="21"/>
              </w:rPr>
              <w:t>行业类别</w:t>
            </w:r>
          </w:p>
        </w:tc>
        <w:tc>
          <w:tcPr>
            <w:tcW w:w="6115" w:type="dxa"/>
            <w:gridSpan w:val="6"/>
            <w:noWrap w:val="0"/>
            <w:vAlign w:val="center"/>
          </w:tcPr>
          <w:p w14:paraId="42184178">
            <w:pPr>
              <w:widowControl/>
              <w:spacing w:line="360" w:lineRule="exact"/>
              <w:rPr>
                <w:rFonts w:ascii="Times New Roman" w:hAnsi="Times New Roman" w:eastAsia="宋体" w:cs="Times New Roman"/>
                <w:color w:val="auto"/>
                <w:kern w:val="2"/>
                <w:sz w:val="21"/>
                <w:szCs w:val="22"/>
                <w:lang w:val="en-US" w:eastAsia="zh-CN" w:bidi="ar-SA"/>
              </w:rPr>
            </w:pPr>
            <w:r>
              <w:rPr>
                <w:rFonts w:hint="eastAsia"/>
                <w:color w:val="auto"/>
              </w:rPr>
              <w:t>4620 污水处理及其再生利用</w:t>
            </w:r>
          </w:p>
        </w:tc>
      </w:tr>
      <w:tr w14:paraId="700F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noWrap w:val="0"/>
            <w:vAlign w:val="center"/>
          </w:tcPr>
          <w:p w14:paraId="0C8F010B">
            <w:pPr>
              <w:widowControl/>
              <w:spacing w:line="360" w:lineRule="exact"/>
              <w:jc w:val="center"/>
              <w:rPr>
                <w:color w:val="auto"/>
                <w:szCs w:val="21"/>
              </w:rPr>
            </w:pPr>
            <w:r>
              <w:rPr>
                <w:rFonts w:hint="eastAsia"/>
                <w:color w:val="auto"/>
                <w:szCs w:val="20"/>
              </w:rPr>
              <w:t>排污许可证或排污登记编号</w:t>
            </w:r>
          </w:p>
        </w:tc>
        <w:tc>
          <w:tcPr>
            <w:tcW w:w="6115" w:type="dxa"/>
            <w:gridSpan w:val="6"/>
            <w:noWrap w:val="0"/>
            <w:vAlign w:val="center"/>
          </w:tcPr>
          <w:p w14:paraId="5FA19EA0">
            <w:pPr>
              <w:widowControl/>
              <w:spacing w:line="360" w:lineRule="exact"/>
              <w:rPr>
                <w:color w:val="auto"/>
              </w:rPr>
            </w:pPr>
            <w:r>
              <w:rPr>
                <w:rFonts w:hint="eastAsia"/>
                <w:color w:val="auto"/>
              </w:rPr>
              <w:t>91210505MAOUM4TMXJ001V</w:t>
            </w:r>
          </w:p>
        </w:tc>
      </w:tr>
      <w:tr w14:paraId="6D74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830" w:type="dxa"/>
            <w:vMerge w:val="restart"/>
            <w:noWrap w:val="0"/>
            <w:vAlign w:val="center"/>
          </w:tcPr>
          <w:p w14:paraId="79409FB8">
            <w:pPr>
              <w:widowControl/>
              <w:spacing w:line="360" w:lineRule="exact"/>
              <w:jc w:val="center"/>
              <w:rPr>
                <w:color w:val="auto"/>
                <w:szCs w:val="21"/>
              </w:rPr>
            </w:pPr>
            <w:r>
              <w:rPr>
                <w:rFonts w:hint="eastAsia"/>
                <w:color w:val="auto"/>
                <w:szCs w:val="21"/>
              </w:rPr>
              <w:t>入河排污口</w:t>
            </w:r>
          </w:p>
          <w:p w14:paraId="4ADC0334">
            <w:pPr>
              <w:widowControl/>
              <w:spacing w:line="360" w:lineRule="exact"/>
              <w:jc w:val="center"/>
              <w:rPr>
                <w:color w:val="auto"/>
                <w:szCs w:val="21"/>
              </w:rPr>
            </w:pPr>
            <w:r>
              <w:rPr>
                <w:rFonts w:hint="eastAsia"/>
                <w:color w:val="auto"/>
                <w:szCs w:val="21"/>
              </w:rPr>
              <w:t>设置地点</w:t>
            </w:r>
          </w:p>
        </w:tc>
        <w:tc>
          <w:tcPr>
            <w:tcW w:w="6115" w:type="dxa"/>
            <w:gridSpan w:val="6"/>
            <w:noWrap w:val="0"/>
            <w:vAlign w:val="center"/>
          </w:tcPr>
          <w:p w14:paraId="07B23A00">
            <w:pPr>
              <w:widowControl/>
              <w:spacing w:line="360" w:lineRule="exact"/>
              <w:rPr>
                <w:rFonts w:ascii="Times New Roman" w:hAnsi="Times New Roman" w:eastAsia="宋体" w:cs="Times New Roman"/>
                <w:color w:val="auto"/>
                <w:kern w:val="2"/>
                <w:sz w:val="21"/>
                <w:szCs w:val="21"/>
                <w:lang w:val="en-US" w:eastAsia="zh-CN" w:bidi="ar-SA"/>
              </w:rPr>
            </w:pPr>
            <w:r>
              <w:rPr>
                <w:rFonts w:hint="eastAsia"/>
                <w:color w:val="auto"/>
                <w:szCs w:val="21"/>
              </w:rPr>
              <w:t>所在行政区域：辽宁省本溪市南芬区</w:t>
            </w:r>
            <w:r>
              <w:rPr>
                <w:rFonts w:hint="eastAsia"/>
                <w:color w:val="auto"/>
                <w:szCs w:val="21"/>
                <w:lang w:eastAsia="zh-CN"/>
              </w:rPr>
              <w:t>思山岭</w:t>
            </w:r>
            <w:r>
              <w:rPr>
                <w:rFonts w:hint="eastAsia"/>
                <w:color w:val="auto"/>
                <w:szCs w:val="21"/>
              </w:rPr>
              <w:t>办事处金坑村三组黄岭子103-2</w:t>
            </w:r>
          </w:p>
        </w:tc>
      </w:tr>
      <w:tr w14:paraId="43C9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830" w:type="dxa"/>
            <w:vMerge w:val="continue"/>
            <w:noWrap w:val="0"/>
            <w:vAlign w:val="center"/>
          </w:tcPr>
          <w:p w14:paraId="65BF128A">
            <w:pPr>
              <w:widowControl/>
              <w:spacing w:line="360" w:lineRule="exact"/>
              <w:jc w:val="center"/>
              <w:rPr>
                <w:color w:val="auto"/>
                <w:szCs w:val="21"/>
              </w:rPr>
            </w:pPr>
          </w:p>
        </w:tc>
        <w:tc>
          <w:tcPr>
            <w:tcW w:w="6115" w:type="dxa"/>
            <w:gridSpan w:val="6"/>
            <w:noWrap w:val="0"/>
            <w:vAlign w:val="center"/>
          </w:tcPr>
          <w:p w14:paraId="37BECDDA">
            <w:pPr>
              <w:widowControl/>
              <w:spacing w:line="360" w:lineRule="exact"/>
              <w:rPr>
                <w:rFonts w:ascii="Times New Roman" w:hAnsi="Times New Roman" w:eastAsia="宋体" w:cs="Times New Roman"/>
                <w:color w:val="auto"/>
                <w:kern w:val="2"/>
                <w:sz w:val="21"/>
                <w:szCs w:val="21"/>
                <w:lang w:val="en-US" w:eastAsia="zh-CN" w:bidi="ar-SA"/>
              </w:rPr>
            </w:pPr>
            <w:r>
              <w:rPr>
                <w:rFonts w:hint="eastAsia"/>
                <w:color w:val="auto"/>
                <w:szCs w:val="21"/>
              </w:rPr>
              <w:t>排入水体名称：细河</w:t>
            </w:r>
          </w:p>
        </w:tc>
      </w:tr>
      <w:tr w14:paraId="1F2F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30" w:type="dxa"/>
            <w:vMerge w:val="continue"/>
            <w:noWrap w:val="0"/>
            <w:vAlign w:val="center"/>
          </w:tcPr>
          <w:p w14:paraId="4772E23E">
            <w:pPr>
              <w:widowControl/>
              <w:spacing w:line="360" w:lineRule="exact"/>
              <w:jc w:val="center"/>
              <w:rPr>
                <w:color w:val="auto"/>
                <w:szCs w:val="21"/>
              </w:rPr>
            </w:pPr>
          </w:p>
        </w:tc>
        <w:tc>
          <w:tcPr>
            <w:tcW w:w="6115" w:type="dxa"/>
            <w:gridSpan w:val="6"/>
            <w:noWrap w:val="0"/>
            <w:vAlign w:val="center"/>
          </w:tcPr>
          <w:p w14:paraId="4518DADA">
            <w:pPr>
              <w:widowControl/>
              <w:spacing w:line="360" w:lineRule="exact"/>
              <w:rPr>
                <w:rFonts w:hint="default" w:ascii="Times New Roman" w:hAnsi="Times New Roman" w:eastAsia="宋体" w:cs="Times New Roman"/>
                <w:color w:val="auto"/>
                <w:kern w:val="2"/>
                <w:sz w:val="21"/>
                <w:szCs w:val="21"/>
                <w:lang w:val="en-US" w:eastAsia="zh-CN" w:bidi="ar-SA"/>
              </w:rPr>
            </w:pPr>
            <w:r>
              <w:rPr>
                <w:rFonts w:hint="eastAsia"/>
                <w:color w:val="auto"/>
                <w:szCs w:val="21"/>
              </w:rPr>
              <w:t>所在流域：</w:t>
            </w:r>
            <w:r>
              <w:rPr>
                <w:rFonts w:hint="eastAsia"/>
                <w:color w:val="auto"/>
                <w:szCs w:val="21"/>
                <w:lang w:val="en-US" w:eastAsia="zh-CN"/>
              </w:rPr>
              <w:t>辽河流域</w:t>
            </w:r>
          </w:p>
        </w:tc>
      </w:tr>
      <w:tr w14:paraId="4365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continue"/>
            <w:noWrap w:val="0"/>
            <w:vAlign w:val="center"/>
          </w:tcPr>
          <w:p w14:paraId="4AF23277">
            <w:pPr>
              <w:widowControl/>
              <w:spacing w:line="360" w:lineRule="exact"/>
              <w:jc w:val="center"/>
              <w:rPr>
                <w:color w:val="auto"/>
                <w:szCs w:val="21"/>
              </w:rPr>
            </w:pPr>
          </w:p>
        </w:tc>
        <w:tc>
          <w:tcPr>
            <w:tcW w:w="6115" w:type="dxa"/>
            <w:gridSpan w:val="6"/>
            <w:noWrap w:val="0"/>
            <w:vAlign w:val="center"/>
          </w:tcPr>
          <w:p w14:paraId="03015C76">
            <w:pPr>
              <w:widowControl/>
              <w:spacing w:line="360" w:lineRule="exact"/>
              <w:rPr>
                <w:color w:val="auto"/>
                <w:szCs w:val="20"/>
              </w:rPr>
            </w:pPr>
            <w:r>
              <w:rPr>
                <w:rFonts w:hint="eastAsia"/>
                <w:color w:val="auto"/>
                <w:szCs w:val="20"/>
              </w:rPr>
              <w:t>经度：123.744503°</w:t>
            </w:r>
          </w:p>
          <w:p w14:paraId="25308AC3">
            <w:pPr>
              <w:widowControl/>
              <w:spacing w:line="360" w:lineRule="exact"/>
              <w:rPr>
                <w:rFonts w:ascii="Times New Roman" w:hAnsi="Times New Roman" w:eastAsia="宋体" w:cs="Times New Roman"/>
                <w:color w:val="auto"/>
                <w:kern w:val="2"/>
                <w:sz w:val="21"/>
                <w:szCs w:val="21"/>
                <w:lang w:val="en-US" w:eastAsia="zh-CN" w:bidi="ar-SA"/>
              </w:rPr>
            </w:pPr>
            <w:r>
              <w:rPr>
                <w:rFonts w:hint="eastAsia"/>
                <w:color w:val="auto"/>
                <w:szCs w:val="20"/>
              </w:rPr>
              <w:t>纬度：41.039675°</w:t>
            </w:r>
          </w:p>
        </w:tc>
      </w:tr>
      <w:tr w14:paraId="3CE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noWrap w:val="0"/>
            <w:vAlign w:val="center"/>
          </w:tcPr>
          <w:p w14:paraId="78B07AA7">
            <w:pPr>
              <w:widowControl/>
              <w:spacing w:line="360" w:lineRule="exact"/>
              <w:jc w:val="center"/>
              <w:rPr>
                <w:color w:val="auto"/>
                <w:szCs w:val="20"/>
              </w:rPr>
            </w:pPr>
            <w:r>
              <w:rPr>
                <w:rFonts w:hint="eastAsia"/>
                <w:color w:val="auto"/>
                <w:szCs w:val="20"/>
              </w:rPr>
              <w:t>污水排放方式</w:t>
            </w:r>
          </w:p>
        </w:tc>
        <w:tc>
          <w:tcPr>
            <w:tcW w:w="1133" w:type="dxa"/>
            <w:noWrap w:val="0"/>
            <w:vAlign w:val="center"/>
          </w:tcPr>
          <w:p w14:paraId="10128F3A">
            <w:pPr>
              <w:widowControl/>
              <w:spacing w:line="360" w:lineRule="exact"/>
              <w:rPr>
                <w:color w:val="auto"/>
                <w:szCs w:val="20"/>
              </w:rPr>
            </w:pPr>
            <w:r>
              <w:rPr>
                <w:color w:val="auto"/>
                <w:szCs w:val="20"/>
              </w:rPr>
              <w:sym w:font="Wingdings 2" w:char="0052"/>
            </w:r>
            <w:r>
              <w:rPr>
                <w:rFonts w:hint="eastAsia"/>
                <w:color w:val="auto"/>
                <w:szCs w:val="20"/>
              </w:rPr>
              <w:t>连续</w:t>
            </w:r>
            <w:r>
              <w:rPr>
                <w:color w:val="auto"/>
                <w:szCs w:val="20"/>
              </w:rPr>
              <w:t xml:space="preserve"> </w:t>
            </w:r>
          </w:p>
          <w:p w14:paraId="41F5DFC1">
            <w:pPr>
              <w:widowControl/>
              <w:spacing w:line="360" w:lineRule="exact"/>
              <w:rPr>
                <w:color w:val="auto"/>
                <w:szCs w:val="20"/>
              </w:rPr>
            </w:pPr>
            <w:r>
              <w:rPr>
                <w:color w:val="auto"/>
                <w:szCs w:val="20"/>
              </w:rPr>
              <w:sym w:font="Wingdings 2" w:char="00A3"/>
            </w:r>
            <w:r>
              <w:rPr>
                <w:rFonts w:hint="eastAsia"/>
                <w:color w:val="auto"/>
                <w:szCs w:val="20"/>
              </w:rPr>
              <w:t>间歇</w:t>
            </w:r>
          </w:p>
        </w:tc>
        <w:tc>
          <w:tcPr>
            <w:tcW w:w="851" w:type="dxa"/>
            <w:vMerge w:val="restart"/>
            <w:noWrap w:val="0"/>
            <w:vAlign w:val="center"/>
          </w:tcPr>
          <w:p w14:paraId="47B87A1F">
            <w:pPr>
              <w:widowControl/>
              <w:spacing w:line="360" w:lineRule="exact"/>
              <w:ind w:right="-105" w:rightChars="-50"/>
              <w:rPr>
                <w:color w:val="auto"/>
                <w:szCs w:val="20"/>
              </w:rPr>
            </w:pPr>
            <w:r>
              <w:rPr>
                <w:rFonts w:hint="eastAsia"/>
                <w:color w:val="auto"/>
                <w:szCs w:val="20"/>
              </w:rPr>
              <w:t>入河</w:t>
            </w:r>
          </w:p>
          <w:p w14:paraId="1FABD59E">
            <w:pPr>
              <w:widowControl/>
              <w:spacing w:line="360" w:lineRule="exact"/>
              <w:ind w:right="-105" w:rightChars="-50"/>
              <w:rPr>
                <w:color w:val="auto"/>
                <w:szCs w:val="20"/>
              </w:rPr>
            </w:pPr>
            <w:r>
              <w:rPr>
                <w:rFonts w:hint="eastAsia"/>
                <w:color w:val="auto"/>
                <w:szCs w:val="20"/>
              </w:rPr>
              <w:t>方式</w:t>
            </w:r>
          </w:p>
        </w:tc>
        <w:tc>
          <w:tcPr>
            <w:tcW w:w="4131" w:type="dxa"/>
            <w:gridSpan w:val="4"/>
            <w:vMerge w:val="restart"/>
            <w:noWrap w:val="0"/>
            <w:vAlign w:val="center"/>
          </w:tcPr>
          <w:p w14:paraId="5D5A6060">
            <w:pPr>
              <w:spacing w:line="360" w:lineRule="exact"/>
              <w:ind w:firstLine="315" w:firstLineChars="150"/>
              <w:rPr>
                <w:color w:val="auto"/>
                <w:szCs w:val="20"/>
              </w:rPr>
            </w:pPr>
            <w:r>
              <w:rPr>
                <w:color w:val="auto"/>
                <w:szCs w:val="20"/>
              </w:rPr>
              <w:sym w:font="Wingdings 2" w:char="00A3"/>
            </w:r>
            <w:r>
              <w:rPr>
                <w:rFonts w:hint="eastAsia"/>
                <w:color w:val="auto"/>
                <w:szCs w:val="20"/>
              </w:rPr>
              <w:t>明渠</w:t>
            </w:r>
            <w:r>
              <w:rPr>
                <w:color w:val="auto"/>
                <w:szCs w:val="20"/>
              </w:rPr>
              <w:t xml:space="preserve">  </w:t>
            </w:r>
            <w:r>
              <w:rPr>
                <w:color w:val="auto"/>
                <w:szCs w:val="20"/>
              </w:rPr>
              <w:sym w:font="Wingdings 2" w:char="00A3"/>
            </w:r>
            <w:r>
              <w:rPr>
                <w:rFonts w:hint="eastAsia"/>
                <w:color w:val="auto"/>
                <w:szCs w:val="20"/>
              </w:rPr>
              <w:t>管道</w:t>
            </w:r>
          </w:p>
          <w:p w14:paraId="66C8C5ED">
            <w:pPr>
              <w:spacing w:line="360" w:lineRule="exact"/>
              <w:ind w:firstLine="315" w:firstLineChars="150"/>
              <w:rPr>
                <w:color w:val="auto"/>
                <w:szCs w:val="20"/>
              </w:rPr>
            </w:pPr>
            <w:r>
              <w:rPr>
                <w:color w:val="auto"/>
                <w:szCs w:val="20"/>
              </w:rPr>
              <w:sym w:font="Wingdings 2" w:char="00A3"/>
            </w:r>
            <w:r>
              <w:rPr>
                <w:rFonts w:hint="eastAsia"/>
                <w:color w:val="auto"/>
                <w:szCs w:val="20"/>
              </w:rPr>
              <w:t>泵站</w:t>
            </w:r>
            <w:r>
              <w:rPr>
                <w:color w:val="auto"/>
                <w:szCs w:val="20"/>
              </w:rPr>
              <w:t xml:space="preserve">  </w:t>
            </w:r>
            <w:r>
              <w:rPr>
                <w:color w:val="auto"/>
                <w:szCs w:val="20"/>
              </w:rPr>
              <w:sym w:font="Wingdings 2" w:char="00A3"/>
            </w:r>
            <w:r>
              <w:rPr>
                <w:rFonts w:hint="eastAsia"/>
                <w:color w:val="auto"/>
                <w:szCs w:val="20"/>
              </w:rPr>
              <w:t>涵闸</w:t>
            </w:r>
          </w:p>
          <w:p w14:paraId="5EB271E0">
            <w:pPr>
              <w:widowControl/>
              <w:spacing w:line="360" w:lineRule="exact"/>
              <w:ind w:firstLine="315" w:firstLineChars="150"/>
              <w:rPr>
                <w:color w:val="auto"/>
                <w:szCs w:val="20"/>
              </w:rPr>
            </w:pPr>
            <w:r>
              <w:rPr>
                <w:color w:val="auto"/>
                <w:szCs w:val="20"/>
              </w:rPr>
              <w:sym w:font="Wingdings 2" w:char="00A3"/>
            </w:r>
            <w:r>
              <w:rPr>
                <w:rFonts w:hint="eastAsia"/>
                <w:color w:val="auto"/>
                <w:szCs w:val="20"/>
              </w:rPr>
              <w:t>箱涵</w:t>
            </w:r>
            <w:r>
              <w:rPr>
                <w:color w:val="auto"/>
                <w:szCs w:val="20"/>
              </w:rPr>
              <w:t xml:space="preserve">  </w:t>
            </w:r>
            <w:r>
              <w:rPr>
                <w:color w:val="auto"/>
                <w:szCs w:val="20"/>
              </w:rPr>
              <w:sym w:font="Wingdings 2" w:char="0052"/>
            </w:r>
            <w:r>
              <w:rPr>
                <w:rFonts w:hint="eastAsia"/>
                <w:color w:val="auto"/>
                <w:szCs w:val="20"/>
              </w:rPr>
              <w:t>其他：</w:t>
            </w:r>
            <w:r>
              <w:rPr>
                <w:rFonts w:hint="eastAsia"/>
                <w:color w:val="auto"/>
                <w:szCs w:val="20"/>
                <w:lang w:eastAsia="zh-CN"/>
              </w:rPr>
              <w:t>出水明渠入河管道</w:t>
            </w:r>
          </w:p>
        </w:tc>
      </w:tr>
      <w:tr w14:paraId="4C2E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noWrap w:val="0"/>
            <w:vAlign w:val="center"/>
          </w:tcPr>
          <w:p w14:paraId="1D02EFC8">
            <w:pPr>
              <w:widowControl/>
              <w:spacing w:line="360" w:lineRule="exact"/>
              <w:jc w:val="center"/>
              <w:rPr>
                <w:color w:val="auto"/>
                <w:szCs w:val="20"/>
              </w:rPr>
            </w:pPr>
            <w:r>
              <w:rPr>
                <w:rFonts w:hint="eastAsia"/>
                <w:color w:val="auto"/>
                <w:szCs w:val="21"/>
              </w:rPr>
              <w:t>是否共用</w:t>
            </w:r>
          </w:p>
        </w:tc>
        <w:tc>
          <w:tcPr>
            <w:tcW w:w="1133" w:type="dxa"/>
            <w:noWrap w:val="0"/>
            <w:vAlign w:val="center"/>
          </w:tcPr>
          <w:p w14:paraId="0DDA7BBB">
            <w:pPr>
              <w:widowControl/>
              <w:spacing w:line="360" w:lineRule="exact"/>
              <w:rPr>
                <w:color w:val="auto"/>
                <w:szCs w:val="20"/>
              </w:rPr>
            </w:pPr>
            <w:r>
              <w:rPr>
                <w:color w:val="auto"/>
                <w:szCs w:val="20"/>
              </w:rPr>
              <w:sym w:font="Wingdings 2" w:char="00A3"/>
            </w:r>
            <w:r>
              <w:rPr>
                <w:rFonts w:hint="eastAsia"/>
                <w:color w:val="auto"/>
                <w:szCs w:val="20"/>
              </w:rPr>
              <w:t>是</w:t>
            </w:r>
          </w:p>
          <w:p w14:paraId="630F70D3">
            <w:pPr>
              <w:widowControl/>
              <w:spacing w:line="360" w:lineRule="exact"/>
              <w:rPr>
                <w:color w:val="auto"/>
                <w:szCs w:val="20"/>
              </w:rPr>
            </w:pPr>
            <w:r>
              <w:rPr>
                <w:color w:val="auto"/>
                <w:szCs w:val="20"/>
              </w:rPr>
              <w:sym w:font="Wingdings 2" w:char="0052"/>
            </w:r>
            <w:r>
              <w:rPr>
                <w:rFonts w:hint="eastAsia"/>
                <w:color w:val="auto"/>
                <w:szCs w:val="20"/>
              </w:rPr>
              <w:t>否</w:t>
            </w:r>
          </w:p>
        </w:tc>
        <w:tc>
          <w:tcPr>
            <w:tcW w:w="851" w:type="dxa"/>
            <w:vMerge w:val="continue"/>
            <w:noWrap w:val="0"/>
            <w:vAlign w:val="center"/>
          </w:tcPr>
          <w:p w14:paraId="55C82352">
            <w:pPr>
              <w:widowControl/>
              <w:spacing w:line="360" w:lineRule="exact"/>
              <w:rPr>
                <w:color w:val="auto"/>
                <w:szCs w:val="20"/>
              </w:rPr>
            </w:pPr>
          </w:p>
        </w:tc>
        <w:tc>
          <w:tcPr>
            <w:tcW w:w="4131" w:type="dxa"/>
            <w:gridSpan w:val="4"/>
            <w:vMerge w:val="continue"/>
            <w:noWrap w:val="0"/>
            <w:vAlign w:val="center"/>
          </w:tcPr>
          <w:p w14:paraId="05719EE8">
            <w:pPr>
              <w:widowControl/>
              <w:spacing w:line="360" w:lineRule="exact"/>
              <w:rPr>
                <w:color w:val="auto"/>
                <w:szCs w:val="20"/>
              </w:rPr>
            </w:pPr>
          </w:p>
        </w:tc>
      </w:tr>
      <w:tr w14:paraId="0944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noWrap w:val="0"/>
            <w:vAlign w:val="center"/>
          </w:tcPr>
          <w:p w14:paraId="09A93520">
            <w:pPr>
              <w:widowControl/>
              <w:spacing w:line="360" w:lineRule="exact"/>
              <w:jc w:val="center"/>
              <w:rPr>
                <w:color w:val="auto"/>
                <w:szCs w:val="20"/>
              </w:rPr>
            </w:pPr>
            <w:r>
              <w:rPr>
                <w:rFonts w:hint="eastAsia"/>
                <w:color w:val="auto"/>
                <w:szCs w:val="28"/>
              </w:rPr>
              <w:t>入河排污口截面信息</w:t>
            </w:r>
          </w:p>
        </w:tc>
        <w:tc>
          <w:tcPr>
            <w:tcW w:w="6115" w:type="dxa"/>
            <w:gridSpan w:val="6"/>
            <w:noWrap w:val="0"/>
            <w:vAlign w:val="center"/>
          </w:tcPr>
          <w:p w14:paraId="7BEAE2E6">
            <w:pPr>
              <w:widowControl/>
              <w:spacing w:line="360" w:lineRule="exact"/>
              <w:rPr>
                <w:rFonts w:ascii="Times New Roman" w:hAnsi="Times New Roman" w:eastAsia="宋体" w:cs="Times New Roman"/>
                <w:color w:val="auto"/>
                <w:kern w:val="2"/>
                <w:sz w:val="21"/>
                <w:szCs w:val="20"/>
                <w:lang w:val="en-US" w:eastAsia="zh-CN" w:bidi="ar-SA"/>
              </w:rPr>
            </w:pPr>
            <w:r>
              <w:rPr>
                <w:color w:val="auto"/>
                <w:szCs w:val="20"/>
              </w:rPr>
              <w:sym w:font="Wingdings 2" w:char="0052"/>
            </w:r>
            <w:r>
              <w:rPr>
                <w:rFonts w:hint="eastAsia"/>
                <w:color w:val="auto"/>
                <w:szCs w:val="20"/>
              </w:rPr>
              <w:t>圆形截面：</w:t>
            </w:r>
            <w:r>
              <w:rPr>
                <w:color w:val="auto"/>
                <w:szCs w:val="20"/>
              </w:rPr>
              <w:t>d=</w:t>
            </w:r>
            <w:r>
              <w:rPr>
                <w:rFonts w:hint="eastAsia"/>
                <w:color w:val="auto"/>
                <w:szCs w:val="20"/>
                <w:lang w:val="en-US" w:eastAsia="zh-CN"/>
              </w:rPr>
              <w:t>0.8</w:t>
            </w:r>
            <w:r>
              <w:rPr>
                <w:color w:val="auto"/>
                <w:szCs w:val="20"/>
              </w:rPr>
              <w:t>m</w:t>
            </w:r>
            <w:r>
              <w:rPr>
                <w:rFonts w:hint="eastAsia"/>
                <w:color w:val="auto"/>
                <w:szCs w:val="20"/>
              </w:rPr>
              <w:t>，</w:t>
            </w:r>
            <w:r>
              <w:rPr>
                <w:color w:val="auto"/>
                <w:szCs w:val="20"/>
              </w:rPr>
              <w:t>S=</w:t>
            </w:r>
            <w:r>
              <w:rPr>
                <w:rFonts w:hint="eastAsia"/>
                <w:color w:val="auto"/>
                <w:szCs w:val="20"/>
                <w:lang w:val="en-US" w:eastAsia="zh-CN"/>
              </w:rPr>
              <w:t>0.50</w:t>
            </w:r>
            <w:r>
              <w:rPr>
                <w:color w:val="auto"/>
                <w:szCs w:val="20"/>
              </w:rPr>
              <w:t>m</w:t>
            </w:r>
            <w:r>
              <w:rPr>
                <w:color w:val="auto"/>
                <w:szCs w:val="20"/>
                <w:vertAlign w:val="superscript"/>
              </w:rPr>
              <w:t>2</w:t>
            </w:r>
          </w:p>
        </w:tc>
      </w:tr>
      <w:tr w14:paraId="0FE1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noWrap w:val="0"/>
            <w:vAlign w:val="center"/>
          </w:tcPr>
          <w:p w14:paraId="1E6E3F01">
            <w:pPr>
              <w:widowControl/>
              <w:spacing w:line="360" w:lineRule="exact"/>
              <w:rPr>
                <w:color w:val="auto"/>
                <w:szCs w:val="28"/>
              </w:rPr>
            </w:pPr>
          </w:p>
        </w:tc>
        <w:tc>
          <w:tcPr>
            <w:tcW w:w="6115" w:type="dxa"/>
            <w:gridSpan w:val="6"/>
            <w:noWrap w:val="0"/>
            <w:vAlign w:val="center"/>
          </w:tcPr>
          <w:p w14:paraId="06111AE1">
            <w:pPr>
              <w:spacing w:line="360" w:lineRule="exact"/>
              <w:rPr>
                <w:rFonts w:ascii="Times New Roman" w:hAnsi="Times New Roman" w:eastAsia="宋体" w:cs="Times New Roman"/>
                <w:color w:val="auto"/>
                <w:kern w:val="2"/>
                <w:sz w:val="21"/>
                <w:szCs w:val="20"/>
                <w:lang w:val="en-US" w:eastAsia="zh-CN" w:bidi="ar-SA"/>
              </w:rPr>
            </w:pPr>
            <w:r>
              <w:rPr>
                <w:color w:val="auto"/>
                <w:szCs w:val="20"/>
              </w:rPr>
              <w:sym w:font="Wingdings 2" w:char="00A3"/>
            </w:r>
            <w:r>
              <w:rPr>
                <w:rFonts w:hint="eastAsia"/>
                <w:color w:val="auto"/>
                <w:szCs w:val="20"/>
              </w:rPr>
              <w:t>方形截面：</w:t>
            </w:r>
            <w:r>
              <w:rPr>
                <w:color w:val="auto"/>
                <w:szCs w:val="20"/>
              </w:rPr>
              <w:t>L×B=   m×  m</w:t>
            </w:r>
            <w:r>
              <w:rPr>
                <w:rFonts w:hint="eastAsia"/>
                <w:color w:val="auto"/>
                <w:szCs w:val="20"/>
              </w:rPr>
              <w:t>，</w:t>
            </w:r>
            <w:r>
              <w:rPr>
                <w:color w:val="auto"/>
                <w:szCs w:val="20"/>
              </w:rPr>
              <w:t>S=   m</w:t>
            </w:r>
            <w:r>
              <w:rPr>
                <w:color w:val="auto"/>
                <w:szCs w:val="20"/>
                <w:vertAlign w:val="superscript"/>
              </w:rPr>
              <w:t>2</w:t>
            </w:r>
          </w:p>
        </w:tc>
      </w:tr>
      <w:tr w14:paraId="4E1F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noWrap w:val="0"/>
            <w:vAlign w:val="center"/>
          </w:tcPr>
          <w:p w14:paraId="3A2BB7D6">
            <w:pPr>
              <w:widowControl/>
              <w:spacing w:line="360" w:lineRule="exact"/>
              <w:rPr>
                <w:color w:val="auto"/>
                <w:szCs w:val="28"/>
              </w:rPr>
            </w:pPr>
          </w:p>
        </w:tc>
        <w:tc>
          <w:tcPr>
            <w:tcW w:w="6115" w:type="dxa"/>
            <w:gridSpan w:val="6"/>
            <w:noWrap w:val="0"/>
            <w:vAlign w:val="center"/>
          </w:tcPr>
          <w:p w14:paraId="19FBE678">
            <w:pPr>
              <w:spacing w:line="360" w:lineRule="exact"/>
              <w:rPr>
                <w:color w:val="auto"/>
                <w:szCs w:val="20"/>
              </w:rPr>
            </w:pPr>
            <w:r>
              <w:rPr>
                <w:color w:val="auto"/>
                <w:szCs w:val="20"/>
              </w:rPr>
              <w:sym w:font="Wingdings 2" w:char="00A3"/>
            </w:r>
            <w:r>
              <w:rPr>
                <w:rFonts w:hint="eastAsia"/>
                <w:color w:val="auto"/>
                <w:szCs w:val="20"/>
              </w:rPr>
              <w:t>其他形状截面：</w:t>
            </w:r>
            <w:r>
              <w:rPr>
                <w:color w:val="auto"/>
                <w:szCs w:val="20"/>
              </w:rPr>
              <w:t>S=    m</w:t>
            </w:r>
            <w:r>
              <w:rPr>
                <w:color w:val="auto"/>
                <w:szCs w:val="20"/>
                <w:vertAlign w:val="superscript"/>
              </w:rPr>
              <w:t>2</w:t>
            </w:r>
          </w:p>
        </w:tc>
      </w:tr>
      <w:tr w14:paraId="037D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noWrap w:val="0"/>
            <w:vAlign w:val="center"/>
          </w:tcPr>
          <w:p w14:paraId="4EFB990D">
            <w:pPr>
              <w:widowControl/>
              <w:spacing w:line="360" w:lineRule="exact"/>
              <w:rPr>
                <w:color w:val="auto"/>
                <w:szCs w:val="20"/>
              </w:rPr>
            </w:pPr>
            <w:r>
              <w:rPr>
                <w:rFonts w:hint="eastAsia"/>
                <w:color w:val="auto"/>
                <w:szCs w:val="21"/>
              </w:rPr>
              <w:t>入河排污口污水排放量，入河排污口重点污染物排放种类、排放浓度和排放量</w:t>
            </w:r>
          </w:p>
        </w:tc>
      </w:tr>
      <w:tr w14:paraId="10EE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noWrap w:val="0"/>
            <w:vAlign w:val="center"/>
          </w:tcPr>
          <w:p w14:paraId="26F44DB4">
            <w:pPr>
              <w:widowControl/>
              <w:spacing w:line="360" w:lineRule="exact"/>
              <w:jc w:val="center"/>
              <w:rPr>
                <w:color w:val="auto"/>
                <w:szCs w:val="20"/>
              </w:rPr>
            </w:pPr>
            <w:r>
              <w:rPr>
                <w:rFonts w:hint="eastAsia"/>
                <w:color w:val="auto"/>
                <w:szCs w:val="20"/>
              </w:rPr>
              <w:t>污染物种类</w:t>
            </w:r>
          </w:p>
        </w:tc>
        <w:tc>
          <w:tcPr>
            <w:tcW w:w="1133" w:type="dxa"/>
            <w:vMerge w:val="restart"/>
            <w:noWrap w:val="0"/>
            <w:vAlign w:val="center"/>
          </w:tcPr>
          <w:p w14:paraId="7ECAE2B5">
            <w:pPr>
              <w:widowControl/>
              <w:spacing w:line="360" w:lineRule="exact"/>
              <w:jc w:val="center"/>
              <w:rPr>
                <w:color w:val="auto"/>
                <w:szCs w:val="20"/>
              </w:rPr>
            </w:pPr>
            <w:r>
              <w:rPr>
                <w:rFonts w:hint="eastAsia"/>
                <w:color w:val="auto"/>
                <w:szCs w:val="20"/>
              </w:rPr>
              <w:t>排放浓度（</w:t>
            </w:r>
            <w:r>
              <w:rPr>
                <w:color w:val="auto"/>
                <w:szCs w:val="20"/>
              </w:rPr>
              <w:t>mg/L</w:t>
            </w:r>
            <w:r>
              <w:rPr>
                <w:rFonts w:hint="eastAsia"/>
                <w:color w:val="auto"/>
                <w:szCs w:val="20"/>
              </w:rPr>
              <w:t>）</w:t>
            </w:r>
          </w:p>
        </w:tc>
        <w:tc>
          <w:tcPr>
            <w:tcW w:w="2411" w:type="dxa"/>
            <w:gridSpan w:val="3"/>
            <w:noWrap w:val="0"/>
            <w:vAlign w:val="center"/>
          </w:tcPr>
          <w:p w14:paraId="2C699267">
            <w:pPr>
              <w:widowControl/>
              <w:spacing w:line="360" w:lineRule="exact"/>
              <w:jc w:val="center"/>
              <w:rPr>
                <w:color w:val="auto"/>
                <w:szCs w:val="20"/>
              </w:rPr>
            </w:pPr>
            <w:r>
              <w:rPr>
                <w:rFonts w:hint="eastAsia"/>
                <w:color w:val="auto"/>
                <w:szCs w:val="20"/>
              </w:rPr>
              <w:t>全年</w:t>
            </w:r>
          </w:p>
        </w:tc>
        <w:tc>
          <w:tcPr>
            <w:tcW w:w="2571" w:type="dxa"/>
            <w:gridSpan w:val="2"/>
            <w:noWrap w:val="0"/>
            <w:vAlign w:val="center"/>
          </w:tcPr>
          <w:p w14:paraId="39A6B4D1">
            <w:pPr>
              <w:widowControl/>
              <w:spacing w:line="360" w:lineRule="exact"/>
              <w:jc w:val="center"/>
              <w:rPr>
                <w:color w:val="auto"/>
                <w:szCs w:val="20"/>
              </w:rPr>
            </w:pPr>
            <w:r>
              <w:rPr>
                <w:rFonts w:hint="eastAsia"/>
                <w:color w:val="auto"/>
                <w:szCs w:val="20"/>
              </w:rPr>
              <w:t>特殊时段（</w:t>
            </w:r>
            <w:r>
              <w:rPr>
                <w:color w:val="auto"/>
                <w:szCs w:val="20"/>
              </w:rPr>
              <w:t>__</w:t>
            </w:r>
            <w:r>
              <w:rPr>
                <w:rFonts w:hint="eastAsia"/>
                <w:color w:val="auto"/>
                <w:szCs w:val="20"/>
              </w:rPr>
              <w:t>月至</w:t>
            </w:r>
            <w:r>
              <w:rPr>
                <w:color w:val="auto"/>
                <w:szCs w:val="20"/>
              </w:rPr>
              <w:t>__</w:t>
            </w:r>
            <w:r>
              <w:rPr>
                <w:rFonts w:hint="eastAsia"/>
                <w:color w:val="auto"/>
                <w:szCs w:val="20"/>
              </w:rPr>
              <w:t>月）</w:t>
            </w:r>
          </w:p>
        </w:tc>
      </w:tr>
      <w:tr w14:paraId="2483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noWrap w:val="0"/>
            <w:vAlign w:val="center"/>
          </w:tcPr>
          <w:p w14:paraId="7AC510C8">
            <w:pPr>
              <w:spacing w:line="360" w:lineRule="exact"/>
              <w:rPr>
                <w:color w:val="auto"/>
                <w:szCs w:val="20"/>
              </w:rPr>
            </w:pPr>
          </w:p>
        </w:tc>
        <w:tc>
          <w:tcPr>
            <w:tcW w:w="1133" w:type="dxa"/>
            <w:vMerge w:val="continue"/>
            <w:noWrap w:val="0"/>
            <w:vAlign w:val="center"/>
          </w:tcPr>
          <w:p w14:paraId="5CFA66BC">
            <w:pPr>
              <w:widowControl/>
              <w:spacing w:line="360" w:lineRule="exact"/>
              <w:jc w:val="center"/>
              <w:rPr>
                <w:color w:val="auto"/>
                <w:szCs w:val="20"/>
              </w:rPr>
            </w:pPr>
          </w:p>
        </w:tc>
        <w:tc>
          <w:tcPr>
            <w:tcW w:w="1277" w:type="dxa"/>
            <w:gridSpan w:val="2"/>
            <w:noWrap w:val="0"/>
            <w:vAlign w:val="center"/>
          </w:tcPr>
          <w:p w14:paraId="4A1BFA59">
            <w:pPr>
              <w:widowControl/>
              <w:spacing w:line="360" w:lineRule="exact"/>
              <w:jc w:val="center"/>
              <w:rPr>
                <w:color w:val="auto"/>
                <w:szCs w:val="20"/>
              </w:rPr>
            </w:pPr>
            <w:r>
              <w:rPr>
                <w:rFonts w:hint="eastAsia"/>
                <w:color w:val="auto"/>
                <w:szCs w:val="20"/>
              </w:rPr>
              <w:t>污水排放量（万</w:t>
            </w:r>
            <w:r>
              <w:rPr>
                <w:color w:val="auto"/>
                <w:szCs w:val="20"/>
              </w:rPr>
              <w:t>t/</w:t>
            </w:r>
            <w:r>
              <w:rPr>
                <w:rFonts w:hint="eastAsia"/>
                <w:color w:val="auto"/>
                <w:szCs w:val="20"/>
              </w:rPr>
              <w:t>a）</w:t>
            </w:r>
          </w:p>
        </w:tc>
        <w:tc>
          <w:tcPr>
            <w:tcW w:w="1134" w:type="dxa"/>
            <w:noWrap w:val="0"/>
            <w:vAlign w:val="center"/>
          </w:tcPr>
          <w:p w14:paraId="1F4A920B">
            <w:pPr>
              <w:widowControl/>
              <w:spacing w:line="360" w:lineRule="exact"/>
              <w:jc w:val="center"/>
              <w:rPr>
                <w:color w:val="auto"/>
                <w:szCs w:val="20"/>
              </w:rPr>
            </w:pPr>
            <w:r>
              <w:rPr>
                <w:rFonts w:hint="eastAsia"/>
                <w:color w:val="auto"/>
                <w:szCs w:val="24"/>
              </w:rPr>
              <w:t>污染物排放量</w:t>
            </w:r>
            <w:r>
              <w:rPr>
                <w:rFonts w:hint="eastAsia"/>
                <w:color w:val="auto"/>
                <w:szCs w:val="20"/>
              </w:rPr>
              <w:t>（</w:t>
            </w:r>
            <w:r>
              <w:rPr>
                <w:color w:val="auto"/>
                <w:szCs w:val="20"/>
              </w:rPr>
              <w:t>t/</w:t>
            </w:r>
            <w:r>
              <w:rPr>
                <w:rFonts w:hint="eastAsia"/>
                <w:color w:val="auto"/>
                <w:szCs w:val="20"/>
              </w:rPr>
              <w:t>a）</w:t>
            </w:r>
          </w:p>
        </w:tc>
        <w:tc>
          <w:tcPr>
            <w:tcW w:w="1418" w:type="dxa"/>
            <w:noWrap w:val="0"/>
            <w:vAlign w:val="center"/>
          </w:tcPr>
          <w:p w14:paraId="4E48C877">
            <w:pPr>
              <w:widowControl/>
              <w:spacing w:line="360" w:lineRule="exact"/>
              <w:jc w:val="center"/>
              <w:rPr>
                <w:color w:val="auto"/>
                <w:szCs w:val="20"/>
              </w:rPr>
            </w:pPr>
            <w:r>
              <w:rPr>
                <w:rFonts w:hint="eastAsia"/>
                <w:color w:val="auto"/>
                <w:szCs w:val="20"/>
              </w:rPr>
              <w:t>污水日排放量（</w:t>
            </w:r>
            <w:r>
              <w:rPr>
                <w:color w:val="auto"/>
                <w:szCs w:val="20"/>
              </w:rPr>
              <w:t>t/</w:t>
            </w:r>
            <w:r>
              <w:rPr>
                <w:rFonts w:hint="eastAsia"/>
                <w:color w:val="auto"/>
                <w:szCs w:val="20"/>
              </w:rPr>
              <w:t>d）</w:t>
            </w:r>
          </w:p>
        </w:tc>
        <w:tc>
          <w:tcPr>
            <w:tcW w:w="1153" w:type="dxa"/>
            <w:noWrap w:val="0"/>
            <w:vAlign w:val="center"/>
          </w:tcPr>
          <w:p w14:paraId="56CBC6C9">
            <w:pPr>
              <w:spacing w:line="360" w:lineRule="exact"/>
              <w:jc w:val="center"/>
              <w:rPr>
                <w:color w:val="auto"/>
                <w:szCs w:val="20"/>
              </w:rPr>
            </w:pPr>
            <w:r>
              <w:rPr>
                <w:rFonts w:hint="eastAsia"/>
                <w:color w:val="auto"/>
                <w:szCs w:val="24"/>
              </w:rPr>
              <w:t>污染物日排放量</w:t>
            </w:r>
            <w:r>
              <w:rPr>
                <w:rFonts w:hint="eastAsia"/>
                <w:color w:val="auto"/>
                <w:szCs w:val="20"/>
              </w:rPr>
              <w:t>（</w:t>
            </w:r>
            <w:r>
              <w:rPr>
                <w:color w:val="auto"/>
                <w:szCs w:val="20"/>
              </w:rPr>
              <w:t>t/</w:t>
            </w:r>
            <w:r>
              <w:rPr>
                <w:rFonts w:hint="eastAsia"/>
                <w:color w:val="auto"/>
                <w:szCs w:val="20"/>
              </w:rPr>
              <w:t>d）</w:t>
            </w:r>
          </w:p>
        </w:tc>
      </w:tr>
      <w:tr w14:paraId="72B9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noWrap w:val="0"/>
            <w:vAlign w:val="center"/>
          </w:tcPr>
          <w:p w14:paraId="277E982C">
            <w:pPr>
              <w:widowControl/>
              <w:spacing w:line="360" w:lineRule="exact"/>
              <w:rPr>
                <w:color w:val="auto"/>
                <w:szCs w:val="20"/>
              </w:rPr>
            </w:pPr>
            <w:r>
              <w:rPr>
                <w:rFonts w:hint="eastAsia"/>
                <w:color w:val="auto"/>
                <w:szCs w:val="20"/>
              </w:rPr>
              <w:t>入河排污口合计</w:t>
            </w:r>
            <w:r>
              <w:rPr>
                <w:rFonts w:hint="eastAsia"/>
                <w:color w:val="auto"/>
                <w:kern w:val="0"/>
                <w:szCs w:val="21"/>
              </w:rPr>
              <w:t>（单一责任主体只需记载此项）</w:t>
            </w:r>
          </w:p>
        </w:tc>
      </w:tr>
      <w:tr w14:paraId="66AF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noWrap w:val="0"/>
            <w:vAlign w:val="center"/>
          </w:tcPr>
          <w:p w14:paraId="23AC5598">
            <w:pPr>
              <w:widowControl/>
              <w:spacing w:line="360" w:lineRule="exact"/>
              <w:jc w:val="center"/>
              <w:rPr>
                <w:color w:val="auto"/>
                <w:szCs w:val="20"/>
              </w:rPr>
            </w:pPr>
            <w:r>
              <w:rPr>
                <w:color w:val="auto"/>
                <w:szCs w:val="20"/>
              </w:rPr>
              <w:t>COD</w:t>
            </w:r>
          </w:p>
        </w:tc>
        <w:tc>
          <w:tcPr>
            <w:tcW w:w="1133" w:type="dxa"/>
            <w:noWrap w:val="0"/>
            <w:vAlign w:val="center"/>
          </w:tcPr>
          <w:p w14:paraId="20599275">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en-US"/>
              </w:rPr>
              <w:t>50</w:t>
            </w:r>
          </w:p>
        </w:tc>
        <w:tc>
          <w:tcPr>
            <w:tcW w:w="1277" w:type="dxa"/>
            <w:gridSpan w:val="2"/>
            <w:vMerge w:val="restart"/>
            <w:noWrap w:val="0"/>
            <w:vAlign w:val="center"/>
          </w:tcPr>
          <w:p w14:paraId="7FC88DC0">
            <w:pPr>
              <w:widowControl/>
              <w:spacing w:line="360" w:lineRule="exact"/>
              <w:jc w:val="center"/>
              <w:rPr>
                <w:color w:val="auto"/>
                <w:szCs w:val="20"/>
              </w:rPr>
            </w:pPr>
            <w:r>
              <w:rPr>
                <w:rFonts w:hint="eastAsia" w:ascii="Times New Roman" w:hAnsi="Times New Roman" w:eastAsia="宋体" w:cs="Times New Roman"/>
                <w:color w:val="auto"/>
                <w:szCs w:val="20"/>
                <w:lang w:val="en-US" w:eastAsia="zh-CN"/>
              </w:rPr>
              <w:t>730</w:t>
            </w:r>
          </w:p>
        </w:tc>
        <w:tc>
          <w:tcPr>
            <w:tcW w:w="1134" w:type="dxa"/>
            <w:noWrap w:val="0"/>
            <w:vAlign w:val="center"/>
          </w:tcPr>
          <w:p w14:paraId="2F5ABC2E">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zh-CN"/>
              </w:rPr>
              <w:t>365</w:t>
            </w:r>
          </w:p>
        </w:tc>
        <w:tc>
          <w:tcPr>
            <w:tcW w:w="1418" w:type="dxa"/>
            <w:vMerge w:val="restart"/>
            <w:noWrap w:val="0"/>
            <w:vAlign w:val="center"/>
          </w:tcPr>
          <w:p w14:paraId="5BCE039E">
            <w:pPr>
              <w:widowControl/>
              <w:spacing w:line="360" w:lineRule="exact"/>
              <w:jc w:val="center"/>
              <w:rPr>
                <w:color w:val="auto"/>
                <w:szCs w:val="20"/>
              </w:rPr>
            </w:pPr>
            <w:r>
              <w:rPr>
                <w:rFonts w:hint="eastAsia"/>
                <w:color w:val="auto"/>
                <w:szCs w:val="20"/>
                <w:lang w:val="en-US" w:eastAsia="zh-CN"/>
              </w:rPr>
              <w:t>20000</w:t>
            </w:r>
          </w:p>
        </w:tc>
        <w:tc>
          <w:tcPr>
            <w:tcW w:w="1153" w:type="dxa"/>
            <w:noWrap w:val="0"/>
            <w:vAlign w:val="center"/>
          </w:tcPr>
          <w:p w14:paraId="5CD26970">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color w:val="auto"/>
                <w:szCs w:val="20"/>
                <w:lang w:val="en-US" w:eastAsia="zh-CN"/>
              </w:rPr>
              <w:t>1.0</w:t>
            </w:r>
          </w:p>
        </w:tc>
      </w:tr>
      <w:tr w14:paraId="7A63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noWrap w:val="0"/>
            <w:vAlign w:val="center"/>
          </w:tcPr>
          <w:p w14:paraId="62ECDCA5">
            <w:pPr>
              <w:widowControl/>
              <w:spacing w:line="360" w:lineRule="exact"/>
              <w:jc w:val="center"/>
              <w:rPr>
                <w:color w:val="auto"/>
                <w:szCs w:val="20"/>
              </w:rPr>
            </w:pPr>
            <w:r>
              <w:rPr>
                <w:color w:val="auto"/>
                <w:szCs w:val="20"/>
              </w:rPr>
              <w:t>NH</w:t>
            </w:r>
            <w:r>
              <w:rPr>
                <w:color w:val="auto"/>
                <w:szCs w:val="20"/>
                <w:vertAlign w:val="subscript"/>
              </w:rPr>
              <w:t>3</w:t>
            </w:r>
            <w:r>
              <w:rPr>
                <w:color w:val="auto"/>
                <w:szCs w:val="20"/>
              </w:rPr>
              <w:t>-N</w:t>
            </w:r>
          </w:p>
        </w:tc>
        <w:tc>
          <w:tcPr>
            <w:tcW w:w="1133" w:type="dxa"/>
            <w:noWrap w:val="0"/>
            <w:vAlign w:val="center"/>
          </w:tcPr>
          <w:p w14:paraId="091D8D04">
            <w:pPr>
              <w:widowControl/>
              <w:spacing w:line="360" w:lineRule="exact"/>
              <w:jc w:val="center"/>
              <w:rPr>
                <w:rFonts w:hint="eastAsia"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zh-CN"/>
              </w:rPr>
              <w:t>5（8）</w:t>
            </w:r>
          </w:p>
        </w:tc>
        <w:tc>
          <w:tcPr>
            <w:tcW w:w="1277" w:type="dxa"/>
            <w:gridSpan w:val="2"/>
            <w:vMerge w:val="continue"/>
            <w:noWrap w:val="0"/>
            <w:vAlign w:val="center"/>
          </w:tcPr>
          <w:p w14:paraId="38EC9BE1">
            <w:pPr>
              <w:widowControl/>
              <w:spacing w:line="360" w:lineRule="exact"/>
              <w:rPr>
                <w:color w:val="auto"/>
                <w:szCs w:val="20"/>
              </w:rPr>
            </w:pPr>
          </w:p>
        </w:tc>
        <w:tc>
          <w:tcPr>
            <w:tcW w:w="1134" w:type="dxa"/>
            <w:noWrap w:val="0"/>
            <w:vAlign w:val="center"/>
          </w:tcPr>
          <w:p w14:paraId="501F5AA0">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zh-CN"/>
              </w:rPr>
              <w:t>36.</w:t>
            </w:r>
            <w:r>
              <w:rPr>
                <w:rFonts w:hint="default" w:ascii="Times New Roman" w:hAnsi="Times New Roman" w:eastAsia="宋体" w:cs="Times New Roman"/>
                <w:color w:val="auto"/>
                <w:szCs w:val="20"/>
                <w:lang w:val="en-US" w:eastAsia="en-US"/>
              </w:rPr>
              <w:t>5</w:t>
            </w:r>
          </w:p>
        </w:tc>
        <w:tc>
          <w:tcPr>
            <w:tcW w:w="1418" w:type="dxa"/>
            <w:vMerge w:val="continue"/>
            <w:noWrap w:val="0"/>
            <w:vAlign w:val="center"/>
          </w:tcPr>
          <w:p w14:paraId="16E73A55">
            <w:pPr>
              <w:widowControl/>
              <w:spacing w:line="360" w:lineRule="exact"/>
              <w:rPr>
                <w:color w:val="auto"/>
                <w:szCs w:val="20"/>
              </w:rPr>
            </w:pPr>
          </w:p>
        </w:tc>
        <w:tc>
          <w:tcPr>
            <w:tcW w:w="1153" w:type="dxa"/>
            <w:noWrap w:val="0"/>
            <w:vAlign w:val="center"/>
          </w:tcPr>
          <w:p w14:paraId="6B649A4D">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color w:val="auto"/>
                <w:szCs w:val="20"/>
                <w:lang w:val="en-US" w:eastAsia="zh-CN"/>
              </w:rPr>
              <w:t>0.1（0.16）</w:t>
            </w:r>
          </w:p>
        </w:tc>
      </w:tr>
      <w:tr w14:paraId="2B6F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noWrap w:val="0"/>
            <w:vAlign w:val="center"/>
          </w:tcPr>
          <w:p w14:paraId="5814B48C">
            <w:pPr>
              <w:widowControl/>
              <w:spacing w:line="360" w:lineRule="exact"/>
              <w:jc w:val="center"/>
              <w:rPr>
                <w:color w:val="auto"/>
                <w:szCs w:val="20"/>
              </w:rPr>
            </w:pPr>
            <w:r>
              <w:rPr>
                <w:rFonts w:hint="eastAsia"/>
                <w:color w:val="auto"/>
                <w:szCs w:val="20"/>
              </w:rPr>
              <w:t>T</w:t>
            </w:r>
            <w:r>
              <w:rPr>
                <w:color w:val="auto"/>
                <w:szCs w:val="20"/>
              </w:rPr>
              <w:t>N</w:t>
            </w:r>
          </w:p>
        </w:tc>
        <w:tc>
          <w:tcPr>
            <w:tcW w:w="1133" w:type="dxa"/>
            <w:noWrap w:val="0"/>
            <w:vAlign w:val="center"/>
          </w:tcPr>
          <w:p w14:paraId="5B0AC839">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ascii="Times New Roman" w:hAnsi="Times New Roman" w:eastAsia="宋体" w:cs="Times New Roman"/>
                <w:color w:val="auto"/>
                <w:szCs w:val="20"/>
                <w:lang w:val="en-US" w:eastAsia="zh-CN"/>
              </w:rPr>
              <w:t>15</w:t>
            </w:r>
          </w:p>
        </w:tc>
        <w:tc>
          <w:tcPr>
            <w:tcW w:w="1277" w:type="dxa"/>
            <w:gridSpan w:val="2"/>
            <w:vMerge w:val="continue"/>
            <w:noWrap w:val="0"/>
            <w:vAlign w:val="center"/>
          </w:tcPr>
          <w:p w14:paraId="385C871E">
            <w:pPr>
              <w:widowControl/>
              <w:spacing w:line="360" w:lineRule="exact"/>
              <w:rPr>
                <w:color w:val="auto"/>
                <w:szCs w:val="20"/>
              </w:rPr>
            </w:pPr>
          </w:p>
        </w:tc>
        <w:tc>
          <w:tcPr>
            <w:tcW w:w="1134" w:type="dxa"/>
            <w:noWrap w:val="0"/>
            <w:vAlign w:val="center"/>
          </w:tcPr>
          <w:p w14:paraId="7064703D">
            <w:pPr>
              <w:widowControl/>
              <w:spacing w:line="360" w:lineRule="exact"/>
              <w:jc w:val="center"/>
              <w:rPr>
                <w:rFonts w:hint="eastAsia"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en-US"/>
              </w:rPr>
              <w:t>109.5</w:t>
            </w:r>
          </w:p>
        </w:tc>
        <w:tc>
          <w:tcPr>
            <w:tcW w:w="1418" w:type="dxa"/>
            <w:vMerge w:val="continue"/>
            <w:noWrap w:val="0"/>
            <w:vAlign w:val="center"/>
          </w:tcPr>
          <w:p w14:paraId="7246592E">
            <w:pPr>
              <w:widowControl/>
              <w:spacing w:line="360" w:lineRule="exact"/>
              <w:rPr>
                <w:color w:val="auto"/>
                <w:szCs w:val="20"/>
              </w:rPr>
            </w:pPr>
          </w:p>
        </w:tc>
        <w:tc>
          <w:tcPr>
            <w:tcW w:w="1153" w:type="dxa"/>
            <w:noWrap w:val="0"/>
            <w:vAlign w:val="center"/>
          </w:tcPr>
          <w:p w14:paraId="22258A1B">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color w:val="auto"/>
                <w:szCs w:val="20"/>
                <w:lang w:val="en-US" w:eastAsia="zh-CN"/>
              </w:rPr>
              <w:t>0.3</w:t>
            </w:r>
          </w:p>
        </w:tc>
      </w:tr>
      <w:tr w14:paraId="15D7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noWrap w:val="0"/>
            <w:vAlign w:val="center"/>
          </w:tcPr>
          <w:p w14:paraId="0B71CAF8">
            <w:pPr>
              <w:widowControl/>
              <w:spacing w:line="360" w:lineRule="exact"/>
              <w:jc w:val="center"/>
              <w:rPr>
                <w:color w:val="auto"/>
                <w:szCs w:val="20"/>
              </w:rPr>
            </w:pPr>
            <w:r>
              <w:rPr>
                <w:rFonts w:hint="eastAsia"/>
                <w:color w:val="auto"/>
                <w:szCs w:val="20"/>
              </w:rPr>
              <w:t>T</w:t>
            </w:r>
            <w:r>
              <w:rPr>
                <w:color w:val="auto"/>
                <w:szCs w:val="20"/>
              </w:rPr>
              <w:t>P</w:t>
            </w:r>
          </w:p>
        </w:tc>
        <w:tc>
          <w:tcPr>
            <w:tcW w:w="1133" w:type="dxa"/>
            <w:noWrap w:val="0"/>
            <w:vAlign w:val="center"/>
          </w:tcPr>
          <w:p w14:paraId="547D4CED">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ascii="Times New Roman" w:hAnsi="Times New Roman" w:eastAsia="宋体" w:cs="Times New Roman"/>
                <w:color w:val="auto"/>
                <w:szCs w:val="20"/>
                <w:lang w:val="en-US" w:eastAsia="zh-CN"/>
              </w:rPr>
              <w:t>0.5</w:t>
            </w:r>
          </w:p>
        </w:tc>
        <w:tc>
          <w:tcPr>
            <w:tcW w:w="1277" w:type="dxa"/>
            <w:gridSpan w:val="2"/>
            <w:vMerge w:val="continue"/>
            <w:noWrap w:val="0"/>
            <w:vAlign w:val="center"/>
          </w:tcPr>
          <w:p w14:paraId="5AE2D350">
            <w:pPr>
              <w:widowControl/>
              <w:spacing w:line="360" w:lineRule="exact"/>
              <w:rPr>
                <w:color w:val="auto"/>
                <w:szCs w:val="20"/>
              </w:rPr>
            </w:pPr>
          </w:p>
        </w:tc>
        <w:tc>
          <w:tcPr>
            <w:tcW w:w="1134" w:type="dxa"/>
            <w:noWrap w:val="0"/>
            <w:vAlign w:val="center"/>
          </w:tcPr>
          <w:p w14:paraId="36540CCE">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Cs w:val="20"/>
                <w:lang w:val="en-US" w:eastAsia="zh-CN"/>
              </w:rPr>
              <w:t>3.6</w:t>
            </w:r>
            <w:r>
              <w:rPr>
                <w:rFonts w:hint="default" w:ascii="Times New Roman" w:hAnsi="Times New Roman" w:eastAsia="宋体" w:cs="Times New Roman"/>
                <w:color w:val="auto"/>
                <w:szCs w:val="20"/>
                <w:lang w:val="en-US" w:eastAsia="en-US"/>
              </w:rPr>
              <w:t>5</w:t>
            </w:r>
          </w:p>
        </w:tc>
        <w:tc>
          <w:tcPr>
            <w:tcW w:w="1418" w:type="dxa"/>
            <w:vMerge w:val="continue"/>
            <w:noWrap w:val="0"/>
            <w:vAlign w:val="center"/>
          </w:tcPr>
          <w:p w14:paraId="7295452A">
            <w:pPr>
              <w:widowControl/>
              <w:spacing w:line="360" w:lineRule="exact"/>
              <w:rPr>
                <w:color w:val="auto"/>
                <w:szCs w:val="20"/>
              </w:rPr>
            </w:pPr>
          </w:p>
        </w:tc>
        <w:tc>
          <w:tcPr>
            <w:tcW w:w="1153" w:type="dxa"/>
            <w:noWrap w:val="0"/>
            <w:vAlign w:val="center"/>
          </w:tcPr>
          <w:p w14:paraId="70013B9B">
            <w:pPr>
              <w:widowControl/>
              <w:spacing w:line="360" w:lineRule="exact"/>
              <w:jc w:val="center"/>
              <w:rPr>
                <w:rFonts w:hint="default" w:ascii="Times New Roman" w:hAnsi="Times New Roman" w:eastAsia="宋体" w:cs="Times New Roman"/>
                <w:color w:val="auto"/>
                <w:kern w:val="2"/>
                <w:sz w:val="21"/>
                <w:szCs w:val="20"/>
                <w:lang w:val="en-US" w:eastAsia="zh-CN" w:bidi="ar-SA"/>
              </w:rPr>
            </w:pPr>
            <w:r>
              <w:rPr>
                <w:rFonts w:hint="eastAsia"/>
                <w:color w:val="auto"/>
                <w:szCs w:val="20"/>
                <w:lang w:val="en-US" w:eastAsia="zh-CN"/>
              </w:rPr>
              <w:t>0.01</w:t>
            </w:r>
          </w:p>
        </w:tc>
      </w:tr>
      <w:tr w14:paraId="283B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noWrap w:val="0"/>
            <w:vAlign w:val="center"/>
          </w:tcPr>
          <w:p w14:paraId="5651FC5D">
            <w:pPr>
              <w:widowControl/>
              <w:spacing w:line="360" w:lineRule="exact"/>
              <w:jc w:val="center"/>
              <w:rPr>
                <w:color w:val="auto"/>
                <w:szCs w:val="20"/>
              </w:rPr>
            </w:pPr>
            <w:r>
              <w:rPr>
                <w:rFonts w:hint="eastAsia"/>
                <w:color w:val="auto"/>
                <w:szCs w:val="20"/>
              </w:rPr>
              <w:t>（其他重点污染物）</w:t>
            </w:r>
          </w:p>
        </w:tc>
        <w:tc>
          <w:tcPr>
            <w:tcW w:w="1133" w:type="dxa"/>
            <w:noWrap w:val="0"/>
            <w:vAlign w:val="center"/>
          </w:tcPr>
          <w:p w14:paraId="49FB2670">
            <w:pPr>
              <w:widowControl/>
              <w:spacing w:line="360" w:lineRule="exact"/>
              <w:rPr>
                <w:color w:val="auto"/>
                <w:szCs w:val="20"/>
              </w:rPr>
            </w:pPr>
          </w:p>
        </w:tc>
        <w:tc>
          <w:tcPr>
            <w:tcW w:w="1277" w:type="dxa"/>
            <w:gridSpan w:val="2"/>
            <w:vMerge w:val="continue"/>
            <w:noWrap w:val="0"/>
            <w:vAlign w:val="center"/>
          </w:tcPr>
          <w:p w14:paraId="5E92D044">
            <w:pPr>
              <w:widowControl/>
              <w:spacing w:line="360" w:lineRule="exact"/>
              <w:rPr>
                <w:color w:val="auto"/>
                <w:szCs w:val="20"/>
              </w:rPr>
            </w:pPr>
          </w:p>
        </w:tc>
        <w:tc>
          <w:tcPr>
            <w:tcW w:w="1134" w:type="dxa"/>
            <w:noWrap w:val="0"/>
            <w:vAlign w:val="center"/>
          </w:tcPr>
          <w:p w14:paraId="68794AD4">
            <w:pPr>
              <w:widowControl/>
              <w:spacing w:line="360" w:lineRule="exact"/>
              <w:jc w:val="center"/>
              <w:rPr>
                <w:rFonts w:ascii="Times New Roman" w:hAnsi="Times New Roman" w:eastAsia="宋体" w:cs="Times New Roman"/>
                <w:color w:val="auto"/>
                <w:kern w:val="2"/>
                <w:sz w:val="21"/>
                <w:szCs w:val="24"/>
                <w:lang w:val="en-US" w:eastAsia="zh-CN" w:bidi="ar-SA"/>
              </w:rPr>
            </w:pPr>
          </w:p>
        </w:tc>
        <w:tc>
          <w:tcPr>
            <w:tcW w:w="1418" w:type="dxa"/>
            <w:vMerge w:val="continue"/>
            <w:noWrap w:val="0"/>
            <w:vAlign w:val="center"/>
          </w:tcPr>
          <w:p w14:paraId="0A30BC3A">
            <w:pPr>
              <w:widowControl/>
              <w:spacing w:line="360" w:lineRule="exact"/>
              <w:rPr>
                <w:color w:val="auto"/>
                <w:szCs w:val="20"/>
              </w:rPr>
            </w:pPr>
          </w:p>
        </w:tc>
        <w:tc>
          <w:tcPr>
            <w:tcW w:w="1153" w:type="dxa"/>
            <w:noWrap w:val="0"/>
            <w:vAlign w:val="center"/>
          </w:tcPr>
          <w:p w14:paraId="548D58DC">
            <w:pPr>
              <w:widowControl/>
              <w:spacing w:line="360" w:lineRule="exact"/>
              <w:jc w:val="center"/>
              <w:rPr>
                <w:rFonts w:ascii="Times New Roman" w:hAnsi="Times New Roman" w:eastAsia="宋体" w:cs="Times New Roman"/>
                <w:color w:val="auto"/>
                <w:kern w:val="2"/>
                <w:sz w:val="21"/>
                <w:szCs w:val="20"/>
                <w:lang w:val="en-US" w:eastAsia="zh-CN" w:bidi="ar-SA"/>
              </w:rPr>
            </w:pPr>
          </w:p>
        </w:tc>
      </w:tr>
      <w:tr w14:paraId="51D2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noWrap w:val="0"/>
            <w:vAlign w:val="top"/>
          </w:tcPr>
          <w:p w14:paraId="741A19B2">
            <w:pPr>
              <w:widowControl/>
              <w:snapToGrid w:val="0"/>
              <w:spacing w:line="360" w:lineRule="exact"/>
              <w:rPr>
                <w:color w:val="auto"/>
                <w:szCs w:val="20"/>
              </w:rPr>
            </w:pPr>
            <w:r>
              <w:rPr>
                <w:rFonts w:hint="eastAsia"/>
                <w:color w:val="auto"/>
                <w:szCs w:val="20"/>
              </w:rPr>
              <w:t>信息公开要求：</w:t>
            </w:r>
          </w:p>
          <w:p w14:paraId="3C7641ED">
            <w:pPr>
              <w:pStyle w:val="3"/>
              <w:widowControl/>
              <w:snapToGrid w:val="0"/>
              <w:spacing w:line="360" w:lineRule="exact"/>
              <w:ind w:left="0" w:firstLine="420" w:firstLineChars="200"/>
              <w:jc w:val="both"/>
              <w:rPr>
                <w:color w:val="auto"/>
                <w:lang w:eastAsia="zh-CN"/>
              </w:rPr>
            </w:pPr>
            <w:r>
              <w:rPr>
                <w:rFonts w:hint="eastAsia" w:ascii="等线" w:hAnsi="等线" w:eastAsia="等线" w:cs="黑体"/>
                <w:color w:val="auto"/>
                <w:kern w:val="2"/>
                <w:sz w:val="21"/>
                <w:szCs w:val="21"/>
                <w:highlight w:val="none"/>
                <w:lang w:val="en-US" w:eastAsia="zh-CN" w:bidi="ar-SA"/>
              </w:rPr>
              <w:t>根据《</w:t>
            </w:r>
            <w:r>
              <w:rPr>
                <w:rFonts w:hint="eastAsia" w:asciiTheme="minorEastAsia" w:hAnsiTheme="minorEastAsia" w:eastAsiaTheme="minorEastAsia" w:cstheme="minorEastAsia"/>
                <w:color w:val="auto"/>
                <w:kern w:val="2"/>
                <w:sz w:val="21"/>
                <w:szCs w:val="21"/>
                <w:highlight w:val="none"/>
                <w:lang w:val="en-US" w:eastAsia="zh-CN" w:bidi="ar-SA"/>
              </w:rPr>
              <w:t>入河排污口监督管理办法》以及HJ1386标准要求，该入河排污口的</w:t>
            </w:r>
            <w:r>
              <w:rPr>
                <w:rFonts w:hint="eastAsia" w:asciiTheme="minorEastAsia" w:hAnsiTheme="minorEastAsia" w:eastAsiaTheme="minorEastAsia" w:cstheme="minorEastAsia"/>
                <w:color w:val="auto"/>
                <w:kern w:val="2"/>
                <w:sz w:val="21"/>
                <w:szCs w:val="21"/>
                <w:u w:val="single"/>
                <w:lang w:eastAsia="zh-CN"/>
              </w:rPr>
              <w:t>_排污口名称、编码、类型、责任主体、监管主体单位、监管电话</w:t>
            </w:r>
            <w:r>
              <w:rPr>
                <w:rFonts w:hint="eastAsia" w:asciiTheme="minorEastAsia" w:hAnsiTheme="minorEastAsia" w:eastAsiaTheme="minorEastAsia" w:cstheme="minorEastAsia"/>
                <w:color w:val="auto"/>
                <w:kern w:val="2"/>
                <w:sz w:val="21"/>
                <w:szCs w:val="21"/>
                <w:lang w:eastAsia="zh-CN"/>
              </w:rPr>
              <w:t>等信息应以</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kern w:val="2"/>
                <w:sz w:val="21"/>
                <w:szCs w:val="21"/>
                <w:lang w:eastAsia="zh-CN"/>
              </w:rPr>
              <w:t>标识牌</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color w:val="auto"/>
                <w:kern w:val="2"/>
                <w:sz w:val="21"/>
                <w:szCs w:val="21"/>
                <w:lang w:eastAsia="zh-CN"/>
              </w:rPr>
              <w:t>二维码等方式在入河排污口处信息公开。</w:t>
            </w:r>
          </w:p>
        </w:tc>
      </w:tr>
      <w:tr w14:paraId="3C27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8945" w:type="dxa"/>
            <w:gridSpan w:val="7"/>
            <w:noWrap w:val="0"/>
            <w:vAlign w:val="center"/>
          </w:tcPr>
          <w:p w14:paraId="30EF40F2">
            <w:pPr>
              <w:widowControl/>
              <w:snapToGrid w:val="0"/>
              <w:spacing w:line="360" w:lineRule="exact"/>
              <w:rPr>
                <w:color w:val="auto"/>
                <w:szCs w:val="20"/>
              </w:rPr>
            </w:pPr>
            <w:r>
              <w:rPr>
                <w:rFonts w:hint="eastAsia"/>
                <w:color w:val="auto"/>
                <w:szCs w:val="20"/>
              </w:rPr>
              <w:t>水污染事故应急处理预案以及环境风险防范措施：</w:t>
            </w:r>
          </w:p>
          <w:p w14:paraId="34CADCAD">
            <w:pPr>
              <w:snapToGrid w:val="0"/>
              <w:spacing w:line="360" w:lineRule="exact"/>
              <w:ind w:firstLine="420" w:firstLineChars="200"/>
              <w:rPr>
                <w:color w:val="auto"/>
              </w:rPr>
            </w:pPr>
            <w:r>
              <w:rPr>
                <w:rFonts w:hint="eastAsia"/>
                <w:color w:val="auto"/>
              </w:rPr>
              <w:t>该入河排污口对应的责任主体</w:t>
            </w:r>
            <w:r>
              <w:rPr>
                <w:rFonts w:hint="eastAsia"/>
                <w:color w:val="auto"/>
                <w:u w:val="single"/>
              </w:rPr>
              <w:t>本溪市南芬区科态水务有限责任公司</w:t>
            </w:r>
            <w:r>
              <w:rPr>
                <w:rFonts w:hint="eastAsia"/>
                <w:color w:val="auto"/>
              </w:rPr>
              <w:t>应当按照排污单位有关要求，做好污染事故应急处理预案、环境风险防范及应急处置措施，具体包括：</w:t>
            </w:r>
            <w:r>
              <w:rPr>
                <w:rFonts w:hint="eastAsia"/>
                <w:highlight w:val="none"/>
                <w:lang w:eastAsia="zh-CN"/>
              </w:rPr>
              <w:t>《入河排污口设置论证报告》第</w:t>
            </w:r>
            <w:r>
              <w:rPr>
                <w:rFonts w:hint="eastAsia"/>
                <w:highlight w:val="none"/>
                <w:lang w:val="en-US" w:eastAsia="zh-CN"/>
              </w:rPr>
              <w:t>8节“入河排污口设置水环境风险影响分析”部分提出的</w:t>
            </w:r>
            <w:r>
              <w:rPr>
                <w:rFonts w:hint="eastAsia"/>
                <w:color w:val="auto"/>
                <w:lang w:eastAsia="zh-CN"/>
              </w:rPr>
              <w:t>排</w:t>
            </w:r>
            <w:r>
              <w:rPr>
                <w:rFonts w:hint="eastAsia"/>
                <w:color w:val="auto"/>
              </w:rPr>
              <w:t>水水质不达标、</w:t>
            </w:r>
            <w:r>
              <w:rPr>
                <w:rFonts w:hint="eastAsia"/>
                <w:color w:val="auto"/>
                <w:lang w:eastAsia="zh-CN"/>
              </w:rPr>
              <w:t>污水溢流、停电污水处理设施无法正常运行等</w:t>
            </w:r>
            <w:r>
              <w:rPr>
                <w:rFonts w:hint="eastAsia"/>
                <w:highlight w:val="none"/>
                <w:lang w:val="en-US" w:eastAsia="zh-CN"/>
              </w:rPr>
              <w:t>应急处理。此外，入河排污口排放污染物造成或可能造成水污染事故时，应立即启动应急预案并报告，同时采取应急措施切断或控制事故污染源，拦截、导流、分流事故污水并进行妥善处理。</w:t>
            </w:r>
          </w:p>
        </w:tc>
      </w:tr>
      <w:tr w14:paraId="2CDA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noWrap w:val="0"/>
            <w:vAlign w:val="top"/>
          </w:tcPr>
          <w:p w14:paraId="2EBE77E3">
            <w:pPr>
              <w:pStyle w:val="3"/>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水生态环境保护措施：</w:t>
            </w:r>
          </w:p>
          <w:p w14:paraId="5BEF91CA">
            <w:pPr>
              <w:snapToGrid w:val="0"/>
              <w:spacing w:line="360" w:lineRule="exact"/>
              <w:ind w:firstLine="420" w:firstLineChars="200"/>
              <w:rPr>
                <w:color w:val="auto"/>
                <w:lang w:eastAsia="zh-CN"/>
              </w:rPr>
            </w:pPr>
            <w:r>
              <w:rPr>
                <w:rFonts w:hint="eastAsia" w:ascii="等线" w:hAnsi="等线" w:eastAsia="等线" w:cs="黑体"/>
                <w:color w:val="auto"/>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入海排污口监督管理技术指南  监测》（HJ1387-2024）要求，开展自行监测。</w:t>
            </w:r>
          </w:p>
        </w:tc>
      </w:tr>
      <w:tr w14:paraId="46A9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noWrap w:val="0"/>
            <w:vAlign w:val="top"/>
          </w:tcPr>
          <w:p w14:paraId="0D7C7719">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其他需要注意的事项：</w:t>
            </w:r>
          </w:p>
          <w:p w14:paraId="087F0CB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（一）在满足污染排放要求基础上，应符合相关部门对供水、堤防安全和河势稳定等问题的保护措施要求；</w:t>
            </w:r>
          </w:p>
          <w:p w14:paraId="3C47DA7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（二）项目运营期，应确保排放浓度和排放量符合批复要求，并采取有效措施杜绝入河排污口排放事故发生；</w:t>
            </w:r>
          </w:p>
          <w:p w14:paraId="1C96222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w:t>
            </w:r>
            <w:bookmarkStart w:id="0" w:name="_GoBack"/>
            <w:bookmarkEnd w:id="0"/>
            <w:r>
              <w:rPr>
                <w:rFonts w:hint="eastAsia" w:ascii="等线" w:hAnsi="等线" w:eastAsia="等线" w:cs="黑体"/>
                <w:color w:val="auto"/>
                <w:kern w:val="2"/>
                <w:sz w:val="21"/>
                <w:szCs w:val="22"/>
                <w:highlight w:val="none"/>
                <w:lang w:val="en-US" w:eastAsia="zh-CN" w:bidi="ar-SA"/>
              </w:rPr>
              <w:t>析记录，定期向主管部门报送信息；接受并配合主管部门及监测机构定期或不定期的监测；</w:t>
            </w:r>
          </w:p>
          <w:p w14:paraId="548CF730">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四</w:t>
            </w:r>
            <w:r>
              <w:rPr>
                <w:rFonts w:hint="eastAsia" w:ascii="等线" w:hAnsi="等线" w:eastAsia="等线" w:cs="黑体"/>
                <w:color w:val="auto"/>
                <w:kern w:val="2"/>
                <w:sz w:val="21"/>
                <w:szCs w:val="22"/>
                <w:highlight w:val="none"/>
                <w:lang w:val="en-US" w:eastAsia="zh-CN" w:bidi="ar-SA"/>
              </w:rPr>
              <w:t>）作好入河排污口规范化建设</w:t>
            </w:r>
            <w:r>
              <w:rPr>
                <w:rFonts w:hint="eastAsia" w:cs="黑体"/>
                <w:color w:val="auto"/>
                <w:kern w:val="2"/>
                <w:sz w:val="21"/>
                <w:szCs w:val="22"/>
                <w:highlight w:val="none"/>
                <w:lang w:val="en-US" w:eastAsia="zh-CN" w:bidi="ar-SA"/>
              </w:rPr>
              <w:t>；</w:t>
            </w:r>
          </w:p>
          <w:p w14:paraId="493D4D6D">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五</w:t>
            </w:r>
            <w:r>
              <w:rPr>
                <w:rFonts w:hint="eastAsia" w:ascii="等线" w:hAnsi="等线" w:eastAsia="等线" w:cs="黑体"/>
                <w:color w:val="auto"/>
                <w:kern w:val="2"/>
                <w:sz w:val="21"/>
                <w:szCs w:val="22"/>
                <w:highlight w:val="none"/>
                <w:lang w:val="en-US" w:eastAsia="zh-CN" w:bidi="ar-SA"/>
              </w:rPr>
              <w:t>）入河排污口</w:t>
            </w:r>
            <w:r>
              <w:rPr>
                <w:rFonts w:hint="eastAsia" w:cs="黑体"/>
                <w:color w:val="auto"/>
                <w:kern w:val="2"/>
                <w:sz w:val="21"/>
                <w:szCs w:val="22"/>
                <w:highlight w:val="none"/>
                <w:lang w:val="en-US" w:eastAsia="zh-CN" w:bidi="ar-SA"/>
              </w:rPr>
              <w:t>排放</w:t>
            </w:r>
            <w:r>
              <w:rPr>
                <w:rFonts w:hint="eastAsia" w:ascii="等线" w:hAnsi="等线" w:eastAsia="等线" w:cs="黑体"/>
                <w:color w:val="auto"/>
                <w:kern w:val="2"/>
                <w:sz w:val="21"/>
                <w:szCs w:val="22"/>
                <w:highlight w:val="none"/>
                <w:lang w:val="en-US" w:eastAsia="zh-CN" w:bidi="ar-SA"/>
              </w:rPr>
              <w:t>位置、排放方式</w:t>
            </w:r>
            <w:r>
              <w:rPr>
                <w:rFonts w:hint="eastAsia" w:cs="黑体"/>
                <w:color w:val="auto"/>
                <w:kern w:val="2"/>
                <w:sz w:val="21"/>
                <w:szCs w:val="22"/>
                <w:highlight w:val="none"/>
                <w:lang w:val="en-US" w:eastAsia="zh-CN" w:bidi="ar-SA"/>
              </w:rPr>
              <w:t>等事项有重大改变，或排污能力提高，</w:t>
            </w:r>
            <w:r>
              <w:rPr>
                <w:rFonts w:hint="eastAsia" w:ascii="等线" w:hAnsi="等线" w:eastAsia="等线" w:cs="黑体"/>
                <w:color w:val="auto"/>
                <w:kern w:val="2"/>
                <w:sz w:val="21"/>
                <w:szCs w:val="22"/>
                <w:highlight w:val="none"/>
                <w:lang w:val="en-US" w:eastAsia="zh-CN" w:bidi="ar-SA"/>
              </w:rPr>
              <w:t>应重新办理入河排污口设置申请</w:t>
            </w:r>
            <w:r>
              <w:rPr>
                <w:rFonts w:hint="eastAsia" w:cs="黑体"/>
                <w:color w:val="auto"/>
                <w:kern w:val="2"/>
                <w:sz w:val="21"/>
                <w:szCs w:val="22"/>
                <w:highlight w:val="none"/>
                <w:lang w:val="en-US" w:eastAsia="zh-CN" w:bidi="ar-SA"/>
              </w:rPr>
              <w:t>；</w:t>
            </w:r>
          </w:p>
          <w:p w14:paraId="3E021C7F">
            <w:pPr>
              <w:snapToGrid w:val="0"/>
              <w:spacing w:line="360" w:lineRule="exact"/>
              <w:ind w:firstLine="420" w:firstLineChars="200"/>
              <w:rPr>
                <w:color w:val="auto"/>
              </w:rPr>
            </w:pPr>
            <w:r>
              <w:rPr>
                <w:rFonts w:hint="eastAsia" w:cs="黑体"/>
                <w:color w:val="auto"/>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tc>
      </w:tr>
    </w:tbl>
    <w:p w14:paraId="1F6732EE">
      <w:pPr>
        <w:widowControl w:val="0"/>
        <w:numPr>
          <w:ilvl w:val="0"/>
          <w:numId w:val="0"/>
        </w:numPr>
        <w:jc w:val="both"/>
        <w:rPr>
          <w:rFonts w:hint="default" w:ascii="Times New Roman" w:hAnsi="Times New Roman" w:eastAsia="仿宋_GB2312" w:cs="Times New Roman"/>
          <w:color w:val="auto"/>
          <w:sz w:val="32"/>
          <w:szCs w:val="32"/>
          <w:lang w:val="en-US" w:eastAsia="zh-CN"/>
        </w:rPr>
      </w:pPr>
    </w:p>
    <w:p w14:paraId="3C91283F">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p>
    <w:p w14:paraId="639F397A">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p>
    <w:p w14:paraId="447EFD8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18F021A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US" w:eastAsia="zh-CN"/>
        </w:rPr>
        <w:t>日</w:t>
      </w: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抄送：本溪市南芬生态环境分局、本溪市生态环境服务中心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B3D5FC5"/>
    <w:rsid w:val="133E02C4"/>
    <w:rsid w:val="16942624"/>
    <w:rsid w:val="16F21AF1"/>
    <w:rsid w:val="186B3909"/>
    <w:rsid w:val="18EB5549"/>
    <w:rsid w:val="264867C4"/>
    <w:rsid w:val="2B1B219C"/>
    <w:rsid w:val="2C574478"/>
    <w:rsid w:val="2FD14541"/>
    <w:rsid w:val="316C6853"/>
    <w:rsid w:val="38325D99"/>
    <w:rsid w:val="3D900539"/>
    <w:rsid w:val="3ED32646"/>
    <w:rsid w:val="41BF2E32"/>
    <w:rsid w:val="44DE2270"/>
    <w:rsid w:val="4D4D5364"/>
    <w:rsid w:val="5035633C"/>
    <w:rsid w:val="540D50E7"/>
    <w:rsid w:val="565B56A9"/>
    <w:rsid w:val="594E211D"/>
    <w:rsid w:val="5A6E67CC"/>
    <w:rsid w:val="6016241F"/>
    <w:rsid w:val="6587225D"/>
    <w:rsid w:val="6A042842"/>
    <w:rsid w:val="70B10DCE"/>
    <w:rsid w:val="72230F7B"/>
    <w:rsid w:val="75A102A0"/>
    <w:rsid w:val="7C50094C"/>
    <w:rsid w:val="7EA575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4">
    <w:name w:val="Body Text Indent 2"/>
    <w:basedOn w:val="1"/>
    <w:next w:val="1"/>
    <w:qFormat/>
    <w:uiPriority w:val="0"/>
    <w:pPr>
      <w:spacing w:after="120" w:line="480" w:lineRule="auto"/>
      <w:ind w:left="420" w:leftChars="200" w:firstLine="200" w:firstLineChars="200"/>
    </w:pPr>
    <w:rPr>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1572</Words>
  <Characters>1778</Characters>
  <Lines>2</Lines>
  <Paragraphs>1</Paragraphs>
  <TotalTime>5</TotalTime>
  <ScaleCrop>false</ScaleCrop>
  <LinksUpToDate>false</LinksUpToDate>
  <CharactersWithSpaces>1818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Administrator</cp:lastModifiedBy>
  <cp:lastPrinted>2025-06-30T06:59:20Z</cp:lastPrinted>
  <dcterms:modified xsi:type="dcterms:W3CDTF">2025-06-30T06:59:23Z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eyJoZGlkIjoiNWY1ZDgxNzJkMmE5YWM5NzAxNzgxMTVhNjdmMDIwMjUifQ==</vt:lpwstr>
  </property>
</Properties>
</file>