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EDA34D">
      <w:pPr>
        <w:widowControl w:val="0"/>
        <w:wordWrap/>
        <w:adjustRightInd/>
        <w:snapToGrid/>
        <w:spacing w:line="578" w:lineRule="exact"/>
        <w:textAlignment w:val="auto"/>
        <w:rPr>
          <w:rFonts w:hint="default" w:ascii="Times New Roman" w:hAnsi="Times New Roman" w:eastAsia="仿宋_GB2312" w:cs="Times New Roman"/>
          <w:color w:val="auto"/>
          <w:sz w:val="32"/>
          <w:szCs w:val="32"/>
        </w:rPr>
      </w:pPr>
    </w:p>
    <w:p w14:paraId="712AEED2">
      <w:pPr>
        <w:widowControl w:val="0"/>
        <w:wordWrap/>
        <w:adjustRightInd/>
        <w:snapToGrid/>
        <w:spacing w:line="578" w:lineRule="exact"/>
        <w:textAlignment w:val="auto"/>
        <w:rPr>
          <w:rFonts w:hint="default" w:ascii="Times New Roman" w:hAnsi="Times New Roman" w:eastAsia="仿宋_GB2312" w:cs="Times New Roman"/>
          <w:color w:val="auto"/>
          <w:sz w:val="32"/>
          <w:szCs w:val="32"/>
        </w:rPr>
      </w:pPr>
    </w:p>
    <w:p w14:paraId="0C7C957F">
      <w:pPr>
        <w:widowControl w:val="0"/>
        <w:wordWrap/>
        <w:adjustRightInd/>
        <w:snapToGrid/>
        <w:spacing w:line="578" w:lineRule="exact"/>
        <w:textAlignment w:val="auto"/>
        <w:rPr>
          <w:rFonts w:hint="eastAsia" w:ascii="Times New Roman" w:hAnsi="Times New Roman" w:eastAsia="仿宋_GB2312" w:cs="Times New Roman"/>
          <w:b/>
          <w:bCs/>
          <w:color w:val="auto"/>
          <w:sz w:val="32"/>
          <w:szCs w:val="32"/>
          <w:lang w:eastAsia="zh-CN"/>
        </w:rPr>
      </w:pPr>
    </w:p>
    <w:p w14:paraId="1A7BE3E7">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方正小标宋简体" w:hAnsi="方正小标宋简体" w:eastAsia="方正小标宋简体" w:cs="方正小标宋简体"/>
          <w:b w:val="0"/>
          <w:bCs w:val="0"/>
          <w:color w:val="auto"/>
          <w:sz w:val="44"/>
          <w:szCs w:val="44"/>
          <w:lang w:eastAsia="zh-CN"/>
        </w:rPr>
      </w:pPr>
      <w:r>
        <w:rPr>
          <w:rFonts w:hint="eastAsia" w:ascii="方正小标宋简体" w:hAnsi="方正小标宋简体" w:eastAsia="方正小标宋简体" w:cs="方正小标宋简体"/>
          <w:b w:val="0"/>
          <w:bCs w:val="0"/>
          <w:color w:val="auto"/>
          <w:sz w:val="44"/>
          <w:szCs w:val="44"/>
          <w:lang w:eastAsia="zh-CN"/>
        </w:rPr>
        <w:t>本溪市生态环境局同意设置本溪市石桥子开发区污水处理厂入河排污口决定书</w:t>
      </w:r>
    </w:p>
    <w:p w14:paraId="0B07DB81">
      <w:pPr>
        <w:keepNext w:val="0"/>
        <w:keepLines w:val="0"/>
        <w:pageBreakBefore w:val="0"/>
        <w:widowControl w:val="0"/>
        <w:kinsoku/>
        <w:wordWrap/>
        <w:overflowPunct/>
        <w:topLinePunct w:val="0"/>
        <w:autoSpaceDE/>
        <w:autoSpaceDN/>
        <w:bidi w:val="0"/>
        <w:adjustRightInd/>
        <w:snapToGrid/>
        <w:spacing w:line="800" w:lineRule="exact"/>
        <w:jc w:val="right"/>
        <w:textAlignment w:val="auto"/>
        <w:rPr>
          <w:rFonts w:hint="eastAsia" w:ascii="Times New Roman" w:hAnsi="Times New Roman" w:eastAsia="仿宋_GB2312" w:cs="Times New Roman"/>
          <w:color w:val="000000" w:themeColor="text1"/>
          <w:spacing w:val="0"/>
          <w:w w:val="100"/>
          <w:sz w:val="32"/>
          <w:szCs w:val="32"/>
          <w:lang w:val="en-US" w:eastAsia="zh-CN"/>
        </w:rPr>
      </w:pPr>
      <w:r>
        <w:rPr>
          <w:rFonts w:hint="eastAsia" w:ascii="Times New Roman" w:hAnsi="Times New Roman" w:eastAsia="仿宋_GB2312" w:cs="Times New Roman"/>
          <w:color w:val="000000" w:themeColor="text1"/>
          <w:spacing w:val="0"/>
          <w:w w:val="100"/>
          <w:sz w:val="32"/>
          <w:szCs w:val="32"/>
          <w:lang w:eastAsia="zh-CN"/>
        </w:rPr>
        <w:t>本环排决</w:t>
      </w:r>
      <w:r>
        <w:rPr>
          <w:rFonts w:hint="default" w:ascii="Times New Roman" w:hAnsi="Times New Roman" w:eastAsia="仿宋_GB2312" w:cs="Times New Roman"/>
          <w:color w:val="000000" w:themeColor="text1"/>
          <w:spacing w:val="0"/>
          <w:w w:val="100"/>
          <w:sz w:val="32"/>
          <w:szCs w:val="32"/>
          <w:lang w:eastAsia="zh-CN"/>
        </w:rPr>
        <w:t>〔</w:t>
      </w:r>
      <w:r>
        <w:rPr>
          <w:rFonts w:hint="default" w:ascii="Times New Roman" w:hAnsi="Times New Roman" w:eastAsia="仿宋_GB2312" w:cs="Times New Roman"/>
          <w:color w:val="000000" w:themeColor="text1"/>
          <w:spacing w:val="0"/>
          <w:w w:val="100"/>
          <w:sz w:val="32"/>
          <w:szCs w:val="32"/>
          <w:lang w:val="en-US" w:eastAsia="zh-CN"/>
        </w:rPr>
        <w:t>2025</w:t>
      </w:r>
      <w:r>
        <w:rPr>
          <w:rFonts w:hint="default" w:ascii="Times New Roman" w:hAnsi="Times New Roman" w:eastAsia="仿宋_GB2312" w:cs="Times New Roman"/>
          <w:color w:val="000000" w:themeColor="text1"/>
          <w:spacing w:val="0"/>
          <w:w w:val="100"/>
          <w:sz w:val="32"/>
          <w:szCs w:val="32"/>
          <w:lang w:eastAsia="zh-CN"/>
        </w:rPr>
        <w:t>〕</w:t>
      </w:r>
      <w:r>
        <w:rPr>
          <w:rFonts w:hint="eastAsia" w:ascii="Times New Roman" w:hAnsi="Times New Roman" w:eastAsia="仿宋_GB2312" w:cs="Times New Roman"/>
          <w:color w:val="000000" w:themeColor="text1"/>
          <w:spacing w:val="0"/>
          <w:w w:val="100"/>
          <w:sz w:val="32"/>
          <w:szCs w:val="32"/>
          <w:lang w:val="en-US" w:eastAsia="zh-CN"/>
        </w:rPr>
        <w:t>4号</w:t>
      </w:r>
    </w:p>
    <w:p w14:paraId="4FBC3F53">
      <w:pPr>
        <w:widowControl w:val="0"/>
        <w:wordWrap/>
        <w:adjustRightInd/>
        <w:snapToGrid/>
        <w:spacing w:line="570" w:lineRule="exact"/>
        <w:jc w:val="both"/>
        <w:textAlignment w:val="auto"/>
        <w:rPr>
          <w:rFonts w:hint="eastAsia" w:ascii="Times New Roman" w:hAnsi="Times New Roman" w:eastAsia="仿宋" w:cs="Times New Roman"/>
          <w:color w:val="auto"/>
          <w:sz w:val="32"/>
          <w:szCs w:val="32"/>
          <w:lang w:val="en-US" w:eastAsia="zh-CN"/>
        </w:rPr>
      </w:pPr>
      <w:r>
        <w:rPr>
          <w:rFonts w:hint="eastAsia" w:ascii="Times New Roman" w:hAnsi="Times New Roman" w:eastAsia="仿宋" w:cs="Times New Roman"/>
          <w:color w:val="auto"/>
          <w:sz w:val="32"/>
          <w:szCs w:val="32"/>
          <w:lang w:val="en-US" w:eastAsia="zh-CN"/>
        </w:rPr>
        <w:t>辽宁省环保集团清源水务有限公司高新区污水处理厂：</w:t>
      </w:r>
    </w:p>
    <w:p w14:paraId="570C5E5C">
      <w:pPr>
        <w:widowControl w:val="0"/>
        <w:wordWrap/>
        <w:adjustRightInd/>
        <w:snapToGrid/>
        <w:spacing w:line="570" w:lineRule="exact"/>
        <w:ind w:firstLine="640" w:firstLineChars="200"/>
        <w:jc w:val="both"/>
        <w:textAlignment w:val="auto"/>
        <w:rPr>
          <w:rFonts w:hint="default" w:ascii="Times New Roman" w:hAnsi="Times New Roman" w:eastAsia="仿宋" w:cs="Times New Roman"/>
          <w:color w:val="auto"/>
          <w:sz w:val="32"/>
          <w:szCs w:val="32"/>
          <w:lang w:val="en-US" w:eastAsia="zh-CN"/>
        </w:rPr>
      </w:pPr>
      <w:r>
        <w:rPr>
          <w:rFonts w:hint="eastAsia" w:ascii="Times New Roman" w:hAnsi="Times New Roman" w:eastAsia="仿宋" w:cs="Times New Roman"/>
          <w:color w:val="auto"/>
          <w:sz w:val="32"/>
          <w:szCs w:val="32"/>
          <w:lang w:val="en-US" w:eastAsia="zh-CN"/>
        </w:rPr>
        <w:t>你单位于2025年6月27日向我部门提出了本溪市石桥子开发区污水处理厂入河排污口设置申请。经审查，根据《中华人民共和国行政许可法》《入河排污口监督管理办法》（生态环境部令第35号）的规定，同意本溪市石桥子开发区污水处理厂入河排污口设置决定如下：</w:t>
      </w:r>
    </w:p>
    <w:tbl>
      <w:tblPr>
        <w:tblStyle w:val="9"/>
        <w:tblW w:w="89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0"/>
        <w:gridCol w:w="1133"/>
        <w:gridCol w:w="851"/>
        <w:gridCol w:w="426"/>
        <w:gridCol w:w="1134"/>
        <w:gridCol w:w="1418"/>
        <w:gridCol w:w="1153"/>
      </w:tblGrid>
      <w:tr w14:paraId="528E5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3" w:hRule="atLeast"/>
          <w:jc w:val="center"/>
        </w:trPr>
        <w:tc>
          <w:tcPr>
            <w:tcW w:w="2830" w:type="dxa"/>
            <w:vAlign w:val="center"/>
          </w:tcPr>
          <w:p w14:paraId="066E8913">
            <w:pPr>
              <w:pStyle w:val="3"/>
              <w:spacing w:before="0" w:line="360" w:lineRule="exact"/>
              <w:ind w:left="0"/>
              <w:jc w:val="center"/>
              <w:rPr>
                <w:rFonts w:ascii="Times New Roman" w:hAnsi="Times New Roman" w:eastAsia="宋体"/>
                <w:kern w:val="2"/>
                <w:sz w:val="21"/>
                <w:szCs w:val="21"/>
                <w:lang w:eastAsia="zh-CN"/>
              </w:rPr>
            </w:pPr>
            <w:r>
              <w:rPr>
                <w:rFonts w:ascii="Times New Roman" w:hAnsi="Times New Roman"/>
                <w:szCs w:val="21"/>
                <w:lang w:eastAsia="zh-CN"/>
              </w:rPr>
              <w:br w:type="page"/>
            </w:r>
            <w:r>
              <w:rPr>
                <w:rFonts w:hint="eastAsia" w:ascii="Times New Roman" w:hAnsi="Times New Roman" w:eastAsia="宋体"/>
                <w:kern w:val="2"/>
                <w:sz w:val="21"/>
                <w:szCs w:val="21"/>
                <w:lang w:eastAsia="zh-CN"/>
              </w:rPr>
              <w:t>入河排污口类型</w:t>
            </w:r>
          </w:p>
        </w:tc>
        <w:tc>
          <w:tcPr>
            <w:tcW w:w="6115" w:type="dxa"/>
            <w:gridSpan w:val="6"/>
            <w:vAlign w:val="center"/>
          </w:tcPr>
          <w:p w14:paraId="2061CD58">
            <w:pPr>
              <w:widowControl/>
              <w:spacing w:line="360" w:lineRule="exact"/>
            </w:pPr>
            <w:r>
              <w:rPr>
                <w:szCs w:val="20"/>
              </w:rPr>
              <w:sym w:font="Wingdings 2" w:char="00A3"/>
            </w:r>
            <w:r>
              <w:rPr>
                <w:rFonts w:hint="eastAsia"/>
              </w:rPr>
              <w:t>工矿企业入河排污口</w:t>
            </w:r>
          </w:p>
          <w:p w14:paraId="06EABB70">
            <w:pPr>
              <w:widowControl/>
              <w:spacing w:line="360" w:lineRule="exact"/>
            </w:pPr>
            <w:r>
              <w:rPr>
                <w:szCs w:val="20"/>
              </w:rPr>
              <w:sym w:font="Wingdings 2" w:char="00A3"/>
            </w:r>
            <w:r>
              <w:rPr>
                <w:rFonts w:hint="eastAsia"/>
              </w:rPr>
              <w:t>工业及其他各类园区污水处理厂入河排污口</w:t>
            </w:r>
          </w:p>
          <w:p w14:paraId="07F67238">
            <w:pPr>
              <w:widowControl/>
              <w:spacing w:line="360" w:lineRule="exact"/>
            </w:pPr>
            <w:r>
              <w:rPr>
                <w:rFonts w:hint="eastAsia"/>
                <w:szCs w:val="20"/>
                <w:lang w:eastAsia="zh-CN"/>
              </w:rPr>
              <w:t>☑</w:t>
            </w:r>
            <w:r>
              <w:rPr>
                <w:rFonts w:hint="eastAsia"/>
              </w:rPr>
              <w:t>城镇污水处理厂入河排污口</w:t>
            </w:r>
          </w:p>
          <w:p w14:paraId="08AD2371">
            <w:pPr>
              <w:widowControl/>
              <w:spacing w:line="360" w:lineRule="exact"/>
            </w:pPr>
            <w:r>
              <w:rPr>
                <w:szCs w:val="20"/>
              </w:rPr>
              <w:sym w:font="Wingdings 2" w:char="00A3"/>
            </w:r>
            <w:r>
              <w:rPr>
                <w:rFonts w:hint="eastAsia"/>
                <w:szCs w:val="20"/>
              </w:rPr>
              <w:t>其他参照上述管理的入河排污口_</w:t>
            </w:r>
            <w:r>
              <w:rPr>
                <w:szCs w:val="20"/>
              </w:rPr>
              <w:t>______________</w:t>
            </w:r>
          </w:p>
        </w:tc>
      </w:tr>
      <w:tr w14:paraId="243FE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2830" w:type="dxa"/>
            <w:vAlign w:val="center"/>
          </w:tcPr>
          <w:p w14:paraId="4193C16C">
            <w:pPr>
              <w:widowControl/>
              <w:spacing w:line="360" w:lineRule="exact"/>
              <w:jc w:val="center"/>
              <w:rPr>
                <w:szCs w:val="21"/>
              </w:rPr>
            </w:pPr>
            <w:r>
              <w:rPr>
                <w:rFonts w:hint="eastAsia"/>
                <w:szCs w:val="21"/>
              </w:rPr>
              <w:t>入河排污口名称</w:t>
            </w:r>
          </w:p>
        </w:tc>
        <w:tc>
          <w:tcPr>
            <w:tcW w:w="6115" w:type="dxa"/>
            <w:gridSpan w:val="6"/>
            <w:vAlign w:val="center"/>
          </w:tcPr>
          <w:p w14:paraId="13D097CF">
            <w:pPr>
              <w:widowControl/>
              <w:spacing w:line="360" w:lineRule="exact"/>
              <w:jc w:val="both"/>
              <w:rPr>
                <w:szCs w:val="20"/>
              </w:rPr>
            </w:pPr>
            <w:r>
              <w:rPr>
                <w:rFonts w:hint="eastAsia"/>
                <w:szCs w:val="20"/>
              </w:rPr>
              <w:t>本溪石桥子开发区污水处理厂排污口</w:t>
            </w:r>
          </w:p>
        </w:tc>
      </w:tr>
      <w:tr w14:paraId="45EB8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2830" w:type="dxa"/>
            <w:vAlign w:val="center"/>
          </w:tcPr>
          <w:p w14:paraId="0626511C">
            <w:pPr>
              <w:widowControl/>
              <w:spacing w:line="360" w:lineRule="exact"/>
              <w:jc w:val="center"/>
              <w:rPr>
                <w:szCs w:val="21"/>
              </w:rPr>
            </w:pPr>
            <w:r>
              <w:rPr>
                <w:rFonts w:hint="eastAsia"/>
                <w:szCs w:val="21"/>
              </w:rPr>
              <w:t>入河排污口编码</w:t>
            </w:r>
          </w:p>
        </w:tc>
        <w:tc>
          <w:tcPr>
            <w:tcW w:w="6115" w:type="dxa"/>
            <w:gridSpan w:val="6"/>
            <w:vAlign w:val="center"/>
          </w:tcPr>
          <w:p w14:paraId="723919C3">
            <w:pPr>
              <w:widowControl/>
              <w:spacing w:line="360" w:lineRule="exact"/>
              <w:rPr>
                <w:szCs w:val="20"/>
              </w:rPr>
            </w:pPr>
            <w:r>
              <w:rPr>
                <w:rFonts w:hint="eastAsia"/>
                <w:szCs w:val="20"/>
                <w:lang w:val="en-US" w:eastAsia="zh-CN"/>
              </w:rPr>
              <w:t>BA-000000-0144-SH-00</w:t>
            </w:r>
          </w:p>
        </w:tc>
      </w:tr>
      <w:tr w14:paraId="49E74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2830" w:type="dxa"/>
            <w:vAlign w:val="center"/>
          </w:tcPr>
          <w:p w14:paraId="7D411F90">
            <w:pPr>
              <w:widowControl/>
              <w:spacing w:line="360" w:lineRule="exact"/>
              <w:jc w:val="center"/>
              <w:rPr>
                <w:szCs w:val="21"/>
              </w:rPr>
            </w:pPr>
            <w:r>
              <w:rPr>
                <w:rFonts w:hint="eastAsia"/>
                <w:szCs w:val="21"/>
              </w:rPr>
              <w:t>设置类型</w:t>
            </w:r>
          </w:p>
        </w:tc>
        <w:tc>
          <w:tcPr>
            <w:tcW w:w="6115" w:type="dxa"/>
            <w:gridSpan w:val="6"/>
            <w:vAlign w:val="center"/>
          </w:tcPr>
          <w:p w14:paraId="7BB502CF">
            <w:pPr>
              <w:widowControl/>
              <w:spacing w:line="360" w:lineRule="exact"/>
              <w:rPr>
                <w:szCs w:val="20"/>
              </w:rPr>
            </w:pPr>
            <w:r>
              <w:rPr>
                <w:rFonts w:hint="eastAsia"/>
                <w:szCs w:val="20"/>
                <w:lang w:eastAsia="zh-CN"/>
              </w:rPr>
              <w:t>☑</w:t>
            </w:r>
            <w:r>
              <w:rPr>
                <w:rFonts w:hint="eastAsia"/>
                <w:szCs w:val="21"/>
              </w:rPr>
              <w:t>新设</w:t>
            </w:r>
            <w:r>
              <w:rPr>
                <w:szCs w:val="20"/>
              </w:rPr>
              <w:t xml:space="preserve">  </w:t>
            </w:r>
            <w:r>
              <w:rPr>
                <w:szCs w:val="20"/>
              </w:rPr>
              <w:sym w:font="Wingdings 2" w:char="00A3"/>
            </w:r>
            <w:r>
              <w:rPr>
                <w:rFonts w:hint="eastAsia"/>
                <w:szCs w:val="21"/>
              </w:rPr>
              <w:t>改设</w:t>
            </w:r>
            <w:r>
              <w:rPr>
                <w:szCs w:val="20"/>
              </w:rPr>
              <w:t xml:space="preserve">  </w:t>
            </w:r>
            <w:r>
              <w:rPr>
                <w:szCs w:val="20"/>
              </w:rPr>
              <w:sym w:font="Wingdings 2" w:char="00A3"/>
            </w:r>
            <w:r>
              <w:rPr>
                <w:rFonts w:hint="eastAsia"/>
                <w:szCs w:val="21"/>
              </w:rPr>
              <w:t>扩大</w:t>
            </w:r>
            <w:r>
              <w:rPr>
                <w:szCs w:val="20"/>
                <w:lang w:val="en"/>
              </w:rPr>
              <w:t xml:space="preserve"> </w:t>
            </w:r>
            <w:r>
              <w:rPr>
                <w:rFonts w:hint="eastAsia"/>
                <w:szCs w:val="20"/>
              </w:rPr>
              <w:t xml:space="preserve"> </w:t>
            </w:r>
          </w:p>
        </w:tc>
      </w:tr>
      <w:tr w14:paraId="04B8B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8945" w:type="dxa"/>
            <w:gridSpan w:val="7"/>
            <w:vAlign w:val="center"/>
          </w:tcPr>
          <w:p w14:paraId="01D571CB">
            <w:pPr>
              <w:widowControl/>
              <w:spacing w:line="360" w:lineRule="exact"/>
              <w:rPr>
                <w:szCs w:val="20"/>
              </w:rPr>
            </w:pPr>
            <w:r>
              <w:rPr>
                <w:rFonts w:hint="eastAsia"/>
                <w:szCs w:val="20"/>
                <w:highlight w:val="none"/>
              </w:rPr>
              <w:t>责任主体基本情况</w:t>
            </w:r>
          </w:p>
        </w:tc>
      </w:tr>
      <w:tr w14:paraId="71852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45" w:type="dxa"/>
            <w:gridSpan w:val="7"/>
            <w:vAlign w:val="center"/>
          </w:tcPr>
          <w:p w14:paraId="01C7B0FE">
            <w:pPr>
              <w:widowControl/>
              <w:spacing w:line="360" w:lineRule="exact"/>
              <w:rPr>
                <w:kern w:val="0"/>
                <w:szCs w:val="21"/>
              </w:rPr>
            </w:pPr>
            <w:r>
              <w:rPr>
                <w:rFonts w:hint="eastAsia"/>
                <w:kern w:val="0"/>
                <w:szCs w:val="21"/>
              </w:rPr>
              <w:t>责任主体名称：</w:t>
            </w:r>
            <w:r>
              <w:rPr>
                <w:rFonts w:hint="eastAsia"/>
                <w:color w:val="auto"/>
                <w:kern w:val="0"/>
                <w:szCs w:val="21"/>
              </w:rPr>
              <w:t>辽宁省环保集团清源水务有限公司</w:t>
            </w:r>
            <w:r>
              <w:rPr>
                <w:rFonts w:hint="eastAsia"/>
                <w:color w:val="auto"/>
                <w:kern w:val="0"/>
                <w:szCs w:val="21"/>
                <w:lang w:val="en-US" w:eastAsia="zh-CN"/>
              </w:rPr>
              <w:t>高新区污水处理厂</w:t>
            </w:r>
          </w:p>
        </w:tc>
      </w:tr>
      <w:tr w14:paraId="4571C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2830" w:type="dxa"/>
            <w:vAlign w:val="center"/>
          </w:tcPr>
          <w:p w14:paraId="1ADF8AD4">
            <w:pPr>
              <w:widowControl/>
              <w:spacing w:line="360" w:lineRule="exact"/>
              <w:jc w:val="center"/>
              <w:rPr>
                <w:kern w:val="0"/>
                <w:szCs w:val="21"/>
              </w:rPr>
            </w:pPr>
            <w:r>
              <w:rPr>
                <w:rFonts w:hint="eastAsia"/>
                <w:kern w:val="0"/>
                <w:szCs w:val="21"/>
              </w:rPr>
              <w:t>详细地址</w:t>
            </w:r>
          </w:p>
        </w:tc>
        <w:tc>
          <w:tcPr>
            <w:tcW w:w="6115" w:type="dxa"/>
            <w:gridSpan w:val="6"/>
            <w:vAlign w:val="center"/>
          </w:tcPr>
          <w:p w14:paraId="0096292F">
            <w:pPr>
              <w:widowControl/>
              <w:spacing w:line="360" w:lineRule="exact"/>
              <w:rPr>
                <w:kern w:val="0"/>
                <w:szCs w:val="21"/>
              </w:rPr>
            </w:pPr>
            <w:r>
              <w:rPr>
                <w:szCs w:val="21"/>
                <w:u w:val="single"/>
              </w:rPr>
              <w:t xml:space="preserve"> </w:t>
            </w:r>
            <w:r>
              <w:rPr>
                <w:rFonts w:hint="eastAsia"/>
                <w:szCs w:val="21"/>
                <w:u w:val="single"/>
                <w:lang w:val="en-US" w:eastAsia="zh-CN"/>
              </w:rPr>
              <w:t>辽宁</w:t>
            </w:r>
            <w:r>
              <w:rPr>
                <w:rFonts w:hint="eastAsia"/>
                <w:szCs w:val="21"/>
              </w:rPr>
              <w:t>省</w:t>
            </w:r>
            <w:r>
              <w:rPr>
                <w:rFonts w:hint="eastAsia"/>
                <w:szCs w:val="21"/>
                <w:u w:val="single"/>
                <w:lang w:val="en-US" w:eastAsia="zh-CN"/>
              </w:rPr>
              <w:t>本溪</w:t>
            </w:r>
            <w:r>
              <w:rPr>
                <w:rFonts w:hint="eastAsia"/>
                <w:szCs w:val="21"/>
              </w:rPr>
              <w:t>市</w:t>
            </w:r>
            <w:r>
              <w:rPr>
                <w:rFonts w:hint="eastAsia"/>
                <w:szCs w:val="21"/>
                <w:u w:val="single"/>
                <w:lang w:eastAsia="zh-CN"/>
              </w:rPr>
              <w:t>溪湖区石桥子街道</w:t>
            </w:r>
            <w:r>
              <w:rPr>
                <w:rFonts w:hint="eastAsia"/>
                <w:color w:val="auto"/>
                <w:szCs w:val="21"/>
                <w:u w:val="single"/>
              </w:rPr>
              <w:t>滨河路</w:t>
            </w:r>
          </w:p>
        </w:tc>
      </w:tr>
      <w:tr w14:paraId="63D25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2830" w:type="dxa"/>
            <w:vAlign w:val="center"/>
          </w:tcPr>
          <w:p w14:paraId="742BE99C">
            <w:pPr>
              <w:widowControl/>
              <w:spacing w:line="360" w:lineRule="exact"/>
              <w:jc w:val="center"/>
              <w:rPr>
                <w:szCs w:val="21"/>
              </w:rPr>
            </w:pPr>
            <w:r>
              <w:rPr>
                <w:rFonts w:hint="eastAsia"/>
                <w:szCs w:val="21"/>
              </w:rPr>
              <w:t>统一社会信用代码</w:t>
            </w:r>
          </w:p>
        </w:tc>
        <w:tc>
          <w:tcPr>
            <w:tcW w:w="6115" w:type="dxa"/>
            <w:gridSpan w:val="6"/>
            <w:vAlign w:val="center"/>
          </w:tcPr>
          <w:p w14:paraId="29163B35">
            <w:pPr>
              <w:widowControl/>
              <w:spacing w:line="360" w:lineRule="exact"/>
            </w:pPr>
            <w:r>
              <w:rPr>
                <w:rFonts w:hint="eastAsia"/>
              </w:rPr>
              <w:t>9121011255079583X0</w:t>
            </w:r>
          </w:p>
        </w:tc>
      </w:tr>
      <w:tr w14:paraId="46BF9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2830" w:type="dxa"/>
            <w:vAlign w:val="center"/>
          </w:tcPr>
          <w:p w14:paraId="3F9B3E20">
            <w:pPr>
              <w:widowControl/>
              <w:spacing w:line="360" w:lineRule="exact"/>
              <w:jc w:val="center"/>
              <w:rPr>
                <w:szCs w:val="21"/>
              </w:rPr>
            </w:pPr>
            <w:r>
              <w:rPr>
                <w:rFonts w:hint="eastAsia"/>
                <w:szCs w:val="21"/>
              </w:rPr>
              <w:t>法定代表人及联系电话</w:t>
            </w:r>
          </w:p>
        </w:tc>
        <w:tc>
          <w:tcPr>
            <w:tcW w:w="6115" w:type="dxa"/>
            <w:gridSpan w:val="6"/>
            <w:vAlign w:val="center"/>
          </w:tcPr>
          <w:p w14:paraId="5D064964">
            <w:pPr>
              <w:widowControl/>
              <w:spacing w:line="360" w:lineRule="exact"/>
            </w:pPr>
            <w:r>
              <w:rPr>
                <w:rFonts w:hint="eastAsia"/>
              </w:rPr>
              <w:t>姓名：谷成国</w:t>
            </w:r>
            <w:r>
              <w:t xml:space="preserve">         </w:t>
            </w:r>
            <w:r>
              <w:rPr>
                <w:rFonts w:hint="eastAsia"/>
              </w:rPr>
              <w:t xml:space="preserve">联系电话：  </w:t>
            </w:r>
            <w:r>
              <w:rPr>
                <w:rFonts w:hint="eastAsia"/>
                <w:lang w:val="en-US" w:eastAsia="zh-CN"/>
              </w:rPr>
              <w:t>13840362761</w:t>
            </w:r>
            <w:r>
              <w:rPr>
                <w:rFonts w:hint="eastAsia"/>
              </w:rPr>
              <w:t xml:space="preserve">  </w:t>
            </w:r>
            <w:r>
              <w:rPr>
                <w:szCs w:val="21"/>
              </w:rPr>
              <w:t xml:space="preserve">              </w:t>
            </w:r>
          </w:p>
        </w:tc>
      </w:tr>
      <w:tr w14:paraId="3E41E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2830" w:type="dxa"/>
            <w:vAlign w:val="center"/>
          </w:tcPr>
          <w:p w14:paraId="6481C301">
            <w:pPr>
              <w:widowControl/>
              <w:spacing w:line="360" w:lineRule="exact"/>
              <w:jc w:val="center"/>
              <w:rPr>
                <w:szCs w:val="21"/>
              </w:rPr>
            </w:pPr>
            <w:r>
              <w:rPr>
                <w:rFonts w:hint="eastAsia"/>
                <w:szCs w:val="21"/>
              </w:rPr>
              <w:t>行业类别</w:t>
            </w:r>
          </w:p>
        </w:tc>
        <w:tc>
          <w:tcPr>
            <w:tcW w:w="6115" w:type="dxa"/>
            <w:gridSpan w:val="6"/>
            <w:vAlign w:val="center"/>
          </w:tcPr>
          <w:p w14:paraId="73426DB1">
            <w:pPr>
              <w:widowControl/>
              <w:spacing w:line="360" w:lineRule="exact"/>
            </w:pPr>
            <w:r>
              <w:rPr>
                <w:rFonts w:hint="eastAsia"/>
                <w:color w:val="auto"/>
              </w:rPr>
              <w:t>4620 污水处理及其再生利用</w:t>
            </w:r>
          </w:p>
        </w:tc>
      </w:tr>
      <w:tr w14:paraId="30D6C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30" w:type="dxa"/>
            <w:vAlign w:val="center"/>
          </w:tcPr>
          <w:p w14:paraId="0DF3E795">
            <w:pPr>
              <w:widowControl/>
              <w:spacing w:line="360" w:lineRule="exact"/>
              <w:jc w:val="center"/>
              <w:rPr>
                <w:szCs w:val="21"/>
              </w:rPr>
            </w:pPr>
            <w:r>
              <w:rPr>
                <w:rFonts w:hint="eastAsia"/>
                <w:szCs w:val="20"/>
              </w:rPr>
              <w:t>排污许可证或排污登记编号</w:t>
            </w:r>
          </w:p>
        </w:tc>
        <w:tc>
          <w:tcPr>
            <w:tcW w:w="6115" w:type="dxa"/>
            <w:gridSpan w:val="6"/>
            <w:vAlign w:val="center"/>
          </w:tcPr>
          <w:p w14:paraId="43F57093">
            <w:pPr>
              <w:widowControl/>
              <w:spacing w:line="360" w:lineRule="exact"/>
              <w:rPr>
                <w:rFonts w:hint="default" w:eastAsia="宋体"/>
                <w:lang w:val="en-US" w:eastAsia="zh-CN"/>
              </w:rPr>
            </w:pPr>
            <w:r>
              <w:rPr>
                <w:rFonts w:hint="eastAsia"/>
              </w:rPr>
              <w:t>9121011255079583X0007V</w:t>
            </w:r>
          </w:p>
        </w:tc>
      </w:tr>
      <w:tr w14:paraId="7298D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2830" w:type="dxa"/>
            <w:vMerge w:val="restart"/>
            <w:vAlign w:val="center"/>
          </w:tcPr>
          <w:p w14:paraId="76A6F90E">
            <w:pPr>
              <w:widowControl/>
              <w:spacing w:line="360" w:lineRule="exact"/>
              <w:jc w:val="center"/>
              <w:rPr>
                <w:szCs w:val="21"/>
              </w:rPr>
            </w:pPr>
            <w:r>
              <w:rPr>
                <w:rFonts w:hint="eastAsia"/>
                <w:szCs w:val="21"/>
              </w:rPr>
              <w:t>入河排污口</w:t>
            </w:r>
          </w:p>
          <w:p w14:paraId="6ACF4262">
            <w:pPr>
              <w:widowControl/>
              <w:spacing w:line="360" w:lineRule="exact"/>
              <w:jc w:val="center"/>
              <w:rPr>
                <w:szCs w:val="21"/>
              </w:rPr>
            </w:pPr>
            <w:r>
              <w:rPr>
                <w:rFonts w:hint="eastAsia"/>
                <w:szCs w:val="21"/>
              </w:rPr>
              <w:t>设置地点</w:t>
            </w:r>
          </w:p>
        </w:tc>
        <w:tc>
          <w:tcPr>
            <w:tcW w:w="6115" w:type="dxa"/>
            <w:gridSpan w:val="6"/>
            <w:vAlign w:val="center"/>
          </w:tcPr>
          <w:p w14:paraId="37FAD612">
            <w:pPr>
              <w:widowControl/>
              <w:spacing w:line="360" w:lineRule="exact"/>
              <w:rPr>
                <w:rFonts w:hint="eastAsia" w:eastAsia="等线"/>
                <w:szCs w:val="21"/>
                <w:highlight w:val="none"/>
                <w:lang w:eastAsia="zh-CN"/>
              </w:rPr>
            </w:pPr>
            <w:r>
              <w:rPr>
                <w:rFonts w:hint="eastAsia"/>
                <w:szCs w:val="21"/>
                <w:highlight w:val="none"/>
              </w:rPr>
              <w:t>所在行政区域：</w:t>
            </w:r>
            <w:r>
              <w:rPr>
                <w:szCs w:val="21"/>
                <w:highlight w:val="none"/>
                <w:u w:val="single"/>
              </w:rPr>
              <w:t xml:space="preserve"> </w:t>
            </w:r>
            <w:r>
              <w:rPr>
                <w:rFonts w:hint="eastAsia"/>
                <w:szCs w:val="21"/>
                <w:u w:val="single"/>
                <w:lang w:val="en-US" w:eastAsia="zh-CN"/>
              </w:rPr>
              <w:t>辽宁</w:t>
            </w:r>
            <w:r>
              <w:rPr>
                <w:rFonts w:hint="eastAsia"/>
                <w:szCs w:val="21"/>
              </w:rPr>
              <w:t>省</w:t>
            </w:r>
            <w:r>
              <w:rPr>
                <w:rFonts w:hint="eastAsia"/>
                <w:szCs w:val="21"/>
                <w:u w:val="single"/>
                <w:lang w:val="en-US" w:eastAsia="zh-CN"/>
              </w:rPr>
              <w:t>本溪</w:t>
            </w:r>
            <w:r>
              <w:rPr>
                <w:rFonts w:hint="eastAsia"/>
                <w:szCs w:val="21"/>
              </w:rPr>
              <w:t>市</w:t>
            </w:r>
            <w:r>
              <w:rPr>
                <w:rFonts w:hint="eastAsia"/>
                <w:color w:val="auto"/>
                <w:szCs w:val="21"/>
                <w:u w:val="single"/>
                <w:lang w:eastAsia="zh-CN"/>
              </w:rPr>
              <w:t>溪湖区石桥子街道</w:t>
            </w:r>
            <w:r>
              <w:rPr>
                <w:rFonts w:hint="eastAsia"/>
                <w:color w:val="auto"/>
                <w:szCs w:val="21"/>
                <w:u w:val="single"/>
              </w:rPr>
              <w:t>滨河路</w:t>
            </w:r>
            <w:r>
              <w:rPr>
                <w:rFonts w:hint="eastAsia"/>
                <w:color w:val="auto"/>
                <w:szCs w:val="21"/>
                <w:u w:val="single"/>
                <w:lang w:eastAsia="zh-CN"/>
              </w:rPr>
              <w:t>北沙河右岸</w:t>
            </w:r>
          </w:p>
        </w:tc>
      </w:tr>
      <w:tr w14:paraId="54A72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830" w:type="dxa"/>
            <w:vMerge w:val="continue"/>
            <w:vAlign w:val="center"/>
          </w:tcPr>
          <w:p w14:paraId="57B9FB75">
            <w:pPr>
              <w:widowControl/>
              <w:spacing w:line="360" w:lineRule="exact"/>
              <w:jc w:val="center"/>
              <w:rPr>
                <w:szCs w:val="21"/>
              </w:rPr>
            </w:pPr>
          </w:p>
        </w:tc>
        <w:tc>
          <w:tcPr>
            <w:tcW w:w="6115" w:type="dxa"/>
            <w:gridSpan w:val="6"/>
            <w:vAlign w:val="center"/>
          </w:tcPr>
          <w:p w14:paraId="16AC00F8">
            <w:pPr>
              <w:widowControl/>
              <w:spacing w:line="360" w:lineRule="exact"/>
              <w:rPr>
                <w:rFonts w:hint="eastAsia" w:eastAsia="宋体"/>
                <w:szCs w:val="21"/>
                <w:lang w:eastAsia="zh-CN"/>
              </w:rPr>
            </w:pPr>
            <w:r>
              <w:rPr>
                <w:rFonts w:hint="eastAsia"/>
                <w:szCs w:val="21"/>
              </w:rPr>
              <w:t>排入水体名称：</w:t>
            </w:r>
            <w:r>
              <w:rPr>
                <w:rFonts w:hint="eastAsia"/>
                <w:color w:val="auto"/>
                <w:szCs w:val="21"/>
                <w:lang w:eastAsia="zh-CN"/>
              </w:rPr>
              <w:t>北沙河南支</w:t>
            </w:r>
          </w:p>
        </w:tc>
      </w:tr>
      <w:tr w14:paraId="30330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830" w:type="dxa"/>
            <w:vMerge w:val="continue"/>
            <w:vAlign w:val="center"/>
          </w:tcPr>
          <w:p w14:paraId="024D14E1">
            <w:pPr>
              <w:widowControl/>
              <w:spacing w:line="360" w:lineRule="exact"/>
              <w:jc w:val="center"/>
              <w:rPr>
                <w:szCs w:val="21"/>
              </w:rPr>
            </w:pPr>
          </w:p>
        </w:tc>
        <w:tc>
          <w:tcPr>
            <w:tcW w:w="6115" w:type="dxa"/>
            <w:gridSpan w:val="6"/>
            <w:vAlign w:val="center"/>
          </w:tcPr>
          <w:p w14:paraId="6723AEEC">
            <w:pPr>
              <w:widowControl/>
              <w:spacing w:line="360" w:lineRule="exact"/>
              <w:rPr>
                <w:rFonts w:hint="eastAsia" w:eastAsia="宋体"/>
                <w:szCs w:val="21"/>
                <w:lang w:eastAsia="zh-CN"/>
              </w:rPr>
            </w:pPr>
            <w:r>
              <w:rPr>
                <w:rFonts w:hint="eastAsia"/>
                <w:szCs w:val="21"/>
              </w:rPr>
              <w:t>所在流域：</w:t>
            </w:r>
            <w:r>
              <w:rPr>
                <w:rFonts w:hint="eastAsia"/>
                <w:szCs w:val="21"/>
                <w:lang w:eastAsia="zh-CN"/>
              </w:rPr>
              <w:t>辽河流域</w:t>
            </w:r>
          </w:p>
        </w:tc>
      </w:tr>
      <w:tr w14:paraId="39B0F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2830" w:type="dxa"/>
            <w:vMerge w:val="continue"/>
            <w:vAlign w:val="center"/>
          </w:tcPr>
          <w:p w14:paraId="1493B2FF">
            <w:pPr>
              <w:widowControl/>
              <w:spacing w:line="360" w:lineRule="exact"/>
              <w:jc w:val="center"/>
              <w:rPr>
                <w:szCs w:val="21"/>
              </w:rPr>
            </w:pPr>
          </w:p>
        </w:tc>
        <w:tc>
          <w:tcPr>
            <w:tcW w:w="6115" w:type="dxa"/>
            <w:gridSpan w:val="6"/>
            <w:vAlign w:val="center"/>
          </w:tcPr>
          <w:p w14:paraId="0CCE944B">
            <w:pPr>
              <w:widowControl/>
              <w:spacing w:line="360" w:lineRule="exact"/>
              <w:rPr>
                <w:rFonts w:hint="eastAsia"/>
                <w:szCs w:val="21"/>
              </w:rPr>
            </w:pPr>
            <w:r>
              <w:rPr>
                <w:rFonts w:hint="eastAsia"/>
                <w:szCs w:val="20"/>
                <w:highlight w:val="none"/>
              </w:rPr>
              <w:t>经度</w:t>
            </w:r>
            <w:r>
              <w:rPr>
                <w:rFonts w:hint="eastAsia"/>
                <w:szCs w:val="21"/>
              </w:rPr>
              <w:t>：</w:t>
            </w:r>
            <w:r>
              <w:rPr>
                <w:rFonts w:hint="default"/>
                <w:szCs w:val="21"/>
                <w:lang w:val="en-US" w:eastAsia="zh-CN"/>
              </w:rPr>
              <w:t>123.713342</w:t>
            </w:r>
          </w:p>
          <w:p w14:paraId="3A85392C">
            <w:pPr>
              <w:widowControl/>
              <w:spacing w:line="360" w:lineRule="exact"/>
              <w:rPr>
                <w:szCs w:val="21"/>
                <w:highlight w:val="none"/>
              </w:rPr>
            </w:pPr>
            <w:r>
              <w:rPr>
                <w:rFonts w:hint="eastAsia"/>
                <w:szCs w:val="21"/>
              </w:rPr>
              <w:t>纬度：</w:t>
            </w:r>
            <w:r>
              <w:rPr>
                <w:rFonts w:hint="default"/>
                <w:szCs w:val="21"/>
                <w:lang w:val="en-US" w:eastAsia="zh-CN"/>
              </w:rPr>
              <w:t>41.467457</w:t>
            </w:r>
          </w:p>
        </w:tc>
      </w:tr>
      <w:tr w14:paraId="07218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830" w:type="dxa"/>
            <w:vAlign w:val="center"/>
          </w:tcPr>
          <w:p w14:paraId="70273312">
            <w:pPr>
              <w:widowControl/>
              <w:spacing w:line="360" w:lineRule="exact"/>
              <w:jc w:val="center"/>
              <w:rPr>
                <w:szCs w:val="20"/>
              </w:rPr>
            </w:pPr>
            <w:r>
              <w:rPr>
                <w:rFonts w:hint="eastAsia"/>
                <w:szCs w:val="20"/>
              </w:rPr>
              <w:t>污水排放方式</w:t>
            </w:r>
          </w:p>
        </w:tc>
        <w:tc>
          <w:tcPr>
            <w:tcW w:w="1133" w:type="dxa"/>
            <w:vAlign w:val="center"/>
          </w:tcPr>
          <w:p w14:paraId="095B623D">
            <w:pPr>
              <w:widowControl/>
              <w:spacing w:line="360" w:lineRule="exact"/>
              <w:rPr>
                <w:szCs w:val="20"/>
              </w:rPr>
            </w:pPr>
            <w:r>
              <w:rPr>
                <w:rFonts w:hint="eastAsia"/>
                <w:szCs w:val="20"/>
                <w:lang w:eastAsia="zh-CN"/>
              </w:rPr>
              <w:t>☑</w:t>
            </w:r>
            <w:r>
              <w:rPr>
                <w:rFonts w:hint="eastAsia"/>
                <w:szCs w:val="20"/>
              </w:rPr>
              <w:t>连续</w:t>
            </w:r>
            <w:r>
              <w:rPr>
                <w:szCs w:val="20"/>
              </w:rPr>
              <w:t xml:space="preserve"> </w:t>
            </w:r>
          </w:p>
          <w:p w14:paraId="44A6DF52">
            <w:pPr>
              <w:widowControl/>
              <w:spacing w:line="360" w:lineRule="exact"/>
              <w:rPr>
                <w:szCs w:val="20"/>
              </w:rPr>
            </w:pPr>
            <w:r>
              <w:rPr>
                <w:szCs w:val="20"/>
              </w:rPr>
              <w:sym w:font="Wingdings 2" w:char="00A3"/>
            </w:r>
            <w:r>
              <w:rPr>
                <w:rFonts w:hint="eastAsia"/>
                <w:szCs w:val="20"/>
              </w:rPr>
              <w:t>间歇</w:t>
            </w:r>
          </w:p>
        </w:tc>
        <w:tc>
          <w:tcPr>
            <w:tcW w:w="851" w:type="dxa"/>
            <w:vMerge w:val="restart"/>
            <w:vAlign w:val="center"/>
          </w:tcPr>
          <w:p w14:paraId="4489C89D">
            <w:pPr>
              <w:widowControl/>
              <w:spacing w:line="360" w:lineRule="exact"/>
              <w:ind w:right="-105" w:rightChars="-50"/>
              <w:rPr>
                <w:szCs w:val="20"/>
              </w:rPr>
            </w:pPr>
            <w:r>
              <w:rPr>
                <w:rFonts w:hint="eastAsia"/>
                <w:szCs w:val="20"/>
              </w:rPr>
              <w:t>入河</w:t>
            </w:r>
          </w:p>
          <w:p w14:paraId="27E381E9">
            <w:pPr>
              <w:widowControl/>
              <w:spacing w:line="360" w:lineRule="exact"/>
              <w:ind w:right="-105" w:rightChars="-50"/>
              <w:rPr>
                <w:szCs w:val="20"/>
              </w:rPr>
            </w:pPr>
            <w:r>
              <w:rPr>
                <w:rFonts w:hint="eastAsia"/>
                <w:szCs w:val="20"/>
              </w:rPr>
              <w:t>方式</w:t>
            </w:r>
          </w:p>
        </w:tc>
        <w:tc>
          <w:tcPr>
            <w:tcW w:w="4131" w:type="dxa"/>
            <w:gridSpan w:val="4"/>
            <w:vMerge w:val="restart"/>
            <w:vAlign w:val="center"/>
          </w:tcPr>
          <w:p w14:paraId="0547E421">
            <w:pPr>
              <w:spacing w:line="360" w:lineRule="exact"/>
              <w:ind w:firstLine="315" w:firstLineChars="150"/>
              <w:rPr>
                <w:szCs w:val="20"/>
              </w:rPr>
            </w:pPr>
            <w:r>
              <w:rPr>
                <w:szCs w:val="20"/>
              </w:rPr>
              <w:sym w:font="Wingdings 2" w:char="00A3"/>
            </w:r>
            <w:r>
              <w:rPr>
                <w:rFonts w:hint="eastAsia"/>
                <w:szCs w:val="20"/>
              </w:rPr>
              <w:t>明渠</w:t>
            </w:r>
            <w:r>
              <w:rPr>
                <w:szCs w:val="20"/>
              </w:rPr>
              <w:t xml:space="preserve"> </w:t>
            </w:r>
            <w:r>
              <w:rPr>
                <w:rFonts w:hint="eastAsia"/>
                <w:szCs w:val="20"/>
                <w:lang w:eastAsia="zh-CN"/>
              </w:rPr>
              <w:t>☑</w:t>
            </w:r>
            <w:r>
              <w:rPr>
                <w:rFonts w:hint="eastAsia"/>
                <w:szCs w:val="20"/>
              </w:rPr>
              <w:t>管道</w:t>
            </w:r>
          </w:p>
          <w:p w14:paraId="1BFDE023">
            <w:pPr>
              <w:spacing w:line="360" w:lineRule="exact"/>
              <w:ind w:firstLine="315" w:firstLineChars="150"/>
              <w:rPr>
                <w:szCs w:val="20"/>
              </w:rPr>
            </w:pPr>
            <w:r>
              <w:rPr>
                <w:szCs w:val="20"/>
              </w:rPr>
              <w:sym w:font="Wingdings 2" w:char="00A3"/>
            </w:r>
            <w:r>
              <w:rPr>
                <w:rFonts w:hint="eastAsia"/>
                <w:szCs w:val="20"/>
              </w:rPr>
              <w:t>泵站</w:t>
            </w:r>
            <w:r>
              <w:rPr>
                <w:szCs w:val="20"/>
              </w:rPr>
              <w:t xml:space="preserve">  </w:t>
            </w:r>
            <w:r>
              <w:rPr>
                <w:szCs w:val="20"/>
              </w:rPr>
              <w:sym w:font="Wingdings 2" w:char="00A3"/>
            </w:r>
            <w:r>
              <w:rPr>
                <w:rFonts w:hint="eastAsia"/>
                <w:szCs w:val="20"/>
              </w:rPr>
              <w:t>涵闸</w:t>
            </w:r>
          </w:p>
          <w:p w14:paraId="3AA33006">
            <w:pPr>
              <w:widowControl/>
              <w:spacing w:line="360" w:lineRule="exact"/>
              <w:ind w:firstLine="315" w:firstLineChars="150"/>
              <w:rPr>
                <w:szCs w:val="20"/>
              </w:rPr>
            </w:pPr>
            <w:r>
              <w:rPr>
                <w:szCs w:val="20"/>
              </w:rPr>
              <w:sym w:font="Wingdings 2" w:char="00A3"/>
            </w:r>
            <w:r>
              <w:rPr>
                <w:rFonts w:hint="eastAsia"/>
                <w:szCs w:val="20"/>
              </w:rPr>
              <w:t>箱涵</w:t>
            </w:r>
            <w:r>
              <w:rPr>
                <w:szCs w:val="20"/>
              </w:rPr>
              <w:t xml:space="preserve">  </w:t>
            </w:r>
            <w:r>
              <w:rPr>
                <w:szCs w:val="20"/>
              </w:rPr>
              <w:sym w:font="Wingdings 2" w:char="00A3"/>
            </w:r>
            <w:r>
              <w:rPr>
                <w:rFonts w:hint="eastAsia"/>
                <w:szCs w:val="20"/>
              </w:rPr>
              <w:t>其他：</w:t>
            </w:r>
            <w:r>
              <w:rPr>
                <w:szCs w:val="20"/>
              </w:rPr>
              <w:t>_______</w:t>
            </w:r>
          </w:p>
        </w:tc>
      </w:tr>
      <w:tr w14:paraId="01540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2830" w:type="dxa"/>
            <w:vAlign w:val="center"/>
          </w:tcPr>
          <w:p w14:paraId="18A80F5E">
            <w:pPr>
              <w:widowControl/>
              <w:spacing w:line="360" w:lineRule="exact"/>
              <w:jc w:val="center"/>
              <w:rPr>
                <w:szCs w:val="20"/>
              </w:rPr>
            </w:pPr>
            <w:r>
              <w:rPr>
                <w:rFonts w:hint="eastAsia"/>
                <w:szCs w:val="21"/>
              </w:rPr>
              <w:t>是否共用</w:t>
            </w:r>
          </w:p>
        </w:tc>
        <w:tc>
          <w:tcPr>
            <w:tcW w:w="1133" w:type="dxa"/>
            <w:vAlign w:val="center"/>
          </w:tcPr>
          <w:p w14:paraId="54A8264D">
            <w:pPr>
              <w:widowControl/>
              <w:spacing w:line="360" w:lineRule="exact"/>
              <w:rPr>
                <w:szCs w:val="20"/>
              </w:rPr>
            </w:pPr>
            <w:r>
              <w:rPr>
                <w:szCs w:val="20"/>
              </w:rPr>
              <w:sym w:font="Wingdings 2" w:char="00A3"/>
            </w:r>
            <w:r>
              <w:rPr>
                <w:rFonts w:hint="eastAsia"/>
                <w:szCs w:val="20"/>
              </w:rPr>
              <w:t>是</w:t>
            </w:r>
          </w:p>
          <w:p w14:paraId="4D229AF6">
            <w:pPr>
              <w:widowControl/>
              <w:spacing w:line="360" w:lineRule="exact"/>
              <w:rPr>
                <w:szCs w:val="20"/>
              </w:rPr>
            </w:pPr>
            <w:r>
              <w:rPr>
                <w:rFonts w:hint="eastAsia"/>
                <w:szCs w:val="20"/>
                <w:lang w:eastAsia="zh-CN"/>
              </w:rPr>
              <w:t>☑</w:t>
            </w:r>
            <w:r>
              <w:rPr>
                <w:rFonts w:hint="eastAsia"/>
                <w:szCs w:val="20"/>
              </w:rPr>
              <w:t>否</w:t>
            </w:r>
          </w:p>
        </w:tc>
        <w:tc>
          <w:tcPr>
            <w:tcW w:w="851" w:type="dxa"/>
            <w:vMerge w:val="continue"/>
            <w:vAlign w:val="center"/>
          </w:tcPr>
          <w:p w14:paraId="74E84AC4">
            <w:pPr>
              <w:widowControl/>
              <w:spacing w:line="360" w:lineRule="exact"/>
              <w:rPr>
                <w:szCs w:val="20"/>
              </w:rPr>
            </w:pPr>
          </w:p>
        </w:tc>
        <w:tc>
          <w:tcPr>
            <w:tcW w:w="4131" w:type="dxa"/>
            <w:gridSpan w:val="4"/>
            <w:vMerge w:val="continue"/>
            <w:vAlign w:val="center"/>
          </w:tcPr>
          <w:p w14:paraId="57A688D9">
            <w:pPr>
              <w:widowControl/>
              <w:spacing w:line="360" w:lineRule="exact"/>
              <w:rPr>
                <w:szCs w:val="20"/>
              </w:rPr>
            </w:pPr>
          </w:p>
        </w:tc>
      </w:tr>
      <w:tr w14:paraId="3CC07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2830" w:type="dxa"/>
            <w:vMerge w:val="restart"/>
            <w:vAlign w:val="center"/>
          </w:tcPr>
          <w:p w14:paraId="6F7E8982">
            <w:pPr>
              <w:widowControl/>
              <w:spacing w:line="360" w:lineRule="exact"/>
              <w:jc w:val="center"/>
              <w:rPr>
                <w:szCs w:val="20"/>
                <w:highlight w:val="none"/>
              </w:rPr>
            </w:pPr>
            <w:r>
              <w:rPr>
                <w:rFonts w:hint="eastAsia"/>
                <w:szCs w:val="28"/>
                <w:highlight w:val="none"/>
              </w:rPr>
              <w:t>入河排污口截面信息</w:t>
            </w:r>
          </w:p>
        </w:tc>
        <w:tc>
          <w:tcPr>
            <w:tcW w:w="6115" w:type="dxa"/>
            <w:gridSpan w:val="6"/>
            <w:vAlign w:val="center"/>
          </w:tcPr>
          <w:p w14:paraId="35DAE19A">
            <w:pPr>
              <w:widowControl/>
              <w:spacing w:line="360" w:lineRule="exact"/>
              <w:rPr>
                <w:szCs w:val="20"/>
                <w:highlight w:val="none"/>
              </w:rPr>
            </w:pPr>
            <w:r>
              <w:rPr>
                <w:rFonts w:hint="eastAsia"/>
                <w:szCs w:val="20"/>
                <w:lang w:eastAsia="zh-CN"/>
              </w:rPr>
              <w:t>☑</w:t>
            </w:r>
            <w:r>
              <w:rPr>
                <w:rFonts w:hint="eastAsia"/>
                <w:szCs w:val="20"/>
                <w:highlight w:val="none"/>
              </w:rPr>
              <w:t>圆形截面：</w:t>
            </w:r>
            <w:r>
              <w:rPr>
                <w:szCs w:val="20"/>
                <w:highlight w:val="none"/>
              </w:rPr>
              <w:t xml:space="preserve">d= </w:t>
            </w:r>
            <w:r>
              <w:rPr>
                <w:rFonts w:hint="eastAsia"/>
                <w:szCs w:val="20"/>
                <w:highlight w:val="none"/>
                <w:lang w:val="en-US" w:eastAsia="zh-CN"/>
              </w:rPr>
              <w:t>1</w:t>
            </w:r>
            <w:r>
              <w:rPr>
                <w:szCs w:val="20"/>
                <w:highlight w:val="none"/>
              </w:rPr>
              <w:t xml:space="preserve"> m</w:t>
            </w:r>
            <w:r>
              <w:rPr>
                <w:rFonts w:hint="eastAsia"/>
                <w:szCs w:val="20"/>
                <w:highlight w:val="none"/>
              </w:rPr>
              <w:t>，</w:t>
            </w:r>
            <w:r>
              <w:rPr>
                <w:szCs w:val="20"/>
                <w:highlight w:val="none"/>
              </w:rPr>
              <w:t xml:space="preserve">S=  </w:t>
            </w:r>
            <w:r>
              <w:rPr>
                <w:rFonts w:hint="eastAsia"/>
                <w:szCs w:val="20"/>
                <w:highlight w:val="none"/>
                <w:lang w:val="en-US" w:eastAsia="zh-CN"/>
              </w:rPr>
              <w:t>0.785</w:t>
            </w:r>
            <w:r>
              <w:rPr>
                <w:szCs w:val="20"/>
                <w:highlight w:val="none"/>
              </w:rPr>
              <w:t xml:space="preserve"> m</w:t>
            </w:r>
            <w:r>
              <w:rPr>
                <w:szCs w:val="20"/>
                <w:highlight w:val="none"/>
                <w:vertAlign w:val="superscript"/>
              </w:rPr>
              <w:t>2</w:t>
            </w:r>
          </w:p>
        </w:tc>
      </w:tr>
      <w:tr w14:paraId="64DBC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830" w:type="dxa"/>
            <w:vMerge w:val="continue"/>
            <w:vAlign w:val="center"/>
          </w:tcPr>
          <w:p w14:paraId="49E24F5E">
            <w:pPr>
              <w:widowControl/>
              <w:spacing w:line="360" w:lineRule="exact"/>
              <w:rPr>
                <w:szCs w:val="28"/>
                <w:highlight w:val="none"/>
              </w:rPr>
            </w:pPr>
          </w:p>
        </w:tc>
        <w:tc>
          <w:tcPr>
            <w:tcW w:w="6115" w:type="dxa"/>
            <w:gridSpan w:val="6"/>
            <w:vAlign w:val="center"/>
          </w:tcPr>
          <w:p w14:paraId="7D9701DE">
            <w:pPr>
              <w:spacing w:line="360" w:lineRule="exact"/>
              <w:rPr>
                <w:szCs w:val="20"/>
                <w:highlight w:val="none"/>
              </w:rPr>
            </w:pPr>
            <w:r>
              <w:rPr>
                <w:szCs w:val="20"/>
                <w:highlight w:val="none"/>
              </w:rPr>
              <w:sym w:font="Wingdings 2" w:char="00A3"/>
            </w:r>
            <w:r>
              <w:rPr>
                <w:rFonts w:hint="eastAsia"/>
                <w:szCs w:val="20"/>
                <w:highlight w:val="none"/>
              </w:rPr>
              <w:t>方形截面：</w:t>
            </w:r>
            <w:r>
              <w:rPr>
                <w:szCs w:val="20"/>
                <w:highlight w:val="none"/>
              </w:rPr>
              <w:t>L×B=   m×  m</w:t>
            </w:r>
            <w:r>
              <w:rPr>
                <w:rFonts w:hint="eastAsia"/>
                <w:szCs w:val="20"/>
                <w:highlight w:val="none"/>
              </w:rPr>
              <w:t>，</w:t>
            </w:r>
            <w:r>
              <w:rPr>
                <w:szCs w:val="20"/>
                <w:highlight w:val="none"/>
              </w:rPr>
              <w:t>S=   m</w:t>
            </w:r>
            <w:r>
              <w:rPr>
                <w:szCs w:val="20"/>
                <w:highlight w:val="none"/>
                <w:vertAlign w:val="superscript"/>
              </w:rPr>
              <w:t>2</w:t>
            </w:r>
          </w:p>
        </w:tc>
      </w:tr>
      <w:tr w14:paraId="5CB94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jc w:val="center"/>
        </w:trPr>
        <w:tc>
          <w:tcPr>
            <w:tcW w:w="2830" w:type="dxa"/>
            <w:vMerge w:val="continue"/>
            <w:vAlign w:val="center"/>
          </w:tcPr>
          <w:p w14:paraId="2B2789E1">
            <w:pPr>
              <w:widowControl/>
              <w:spacing w:line="360" w:lineRule="exact"/>
              <w:rPr>
                <w:szCs w:val="28"/>
                <w:highlight w:val="none"/>
              </w:rPr>
            </w:pPr>
          </w:p>
        </w:tc>
        <w:tc>
          <w:tcPr>
            <w:tcW w:w="6115" w:type="dxa"/>
            <w:gridSpan w:val="6"/>
            <w:vAlign w:val="center"/>
          </w:tcPr>
          <w:p w14:paraId="0CEF5309">
            <w:pPr>
              <w:spacing w:line="360" w:lineRule="exact"/>
              <w:rPr>
                <w:szCs w:val="20"/>
                <w:highlight w:val="none"/>
              </w:rPr>
            </w:pPr>
            <w:r>
              <w:rPr>
                <w:szCs w:val="20"/>
                <w:highlight w:val="none"/>
              </w:rPr>
              <w:sym w:font="Wingdings 2" w:char="00A3"/>
            </w:r>
            <w:r>
              <w:rPr>
                <w:rFonts w:hint="eastAsia"/>
                <w:szCs w:val="20"/>
                <w:highlight w:val="none"/>
              </w:rPr>
              <w:t>其他形状截面：</w:t>
            </w:r>
            <w:r>
              <w:rPr>
                <w:szCs w:val="20"/>
                <w:highlight w:val="none"/>
              </w:rPr>
              <w:t>S=    m</w:t>
            </w:r>
            <w:r>
              <w:rPr>
                <w:szCs w:val="20"/>
                <w:highlight w:val="none"/>
                <w:vertAlign w:val="superscript"/>
              </w:rPr>
              <w:t>2</w:t>
            </w:r>
          </w:p>
        </w:tc>
      </w:tr>
      <w:tr w14:paraId="4E639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945" w:type="dxa"/>
            <w:gridSpan w:val="7"/>
            <w:vAlign w:val="center"/>
          </w:tcPr>
          <w:p w14:paraId="536B374D">
            <w:pPr>
              <w:widowControl/>
              <w:spacing w:line="360" w:lineRule="exact"/>
              <w:rPr>
                <w:szCs w:val="20"/>
              </w:rPr>
            </w:pPr>
            <w:r>
              <w:rPr>
                <w:rFonts w:hint="eastAsia"/>
                <w:szCs w:val="21"/>
              </w:rPr>
              <w:t>入河排污口污水排放量，入河排污口重点污染物排放种类、排放浓度和排放量</w:t>
            </w:r>
          </w:p>
        </w:tc>
      </w:tr>
      <w:tr w14:paraId="3FF1A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2830" w:type="dxa"/>
            <w:vMerge w:val="restart"/>
            <w:vAlign w:val="center"/>
          </w:tcPr>
          <w:p w14:paraId="7075D750">
            <w:pPr>
              <w:widowControl/>
              <w:spacing w:line="360" w:lineRule="exact"/>
              <w:jc w:val="center"/>
              <w:rPr>
                <w:szCs w:val="20"/>
              </w:rPr>
            </w:pPr>
            <w:r>
              <w:rPr>
                <w:rFonts w:hint="eastAsia"/>
                <w:szCs w:val="20"/>
              </w:rPr>
              <w:t>污染物种类</w:t>
            </w:r>
          </w:p>
        </w:tc>
        <w:tc>
          <w:tcPr>
            <w:tcW w:w="1133" w:type="dxa"/>
            <w:vMerge w:val="restart"/>
            <w:vAlign w:val="center"/>
          </w:tcPr>
          <w:p w14:paraId="00FD804B">
            <w:pPr>
              <w:widowControl/>
              <w:spacing w:line="360" w:lineRule="exact"/>
              <w:jc w:val="center"/>
              <w:rPr>
                <w:szCs w:val="20"/>
              </w:rPr>
            </w:pPr>
            <w:r>
              <w:rPr>
                <w:rFonts w:hint="eastAsia"/>
                <w:szCs w:val="20"/>
              </w:rPr>
              <w:t>排放浓度（</w:t>
            </w:r>
            <w:r>
              <w:rPr>
                <w:szCs w:val="20"/>
              </w:rPr>
              <w:t>mg/L</w:t>
            </w:r>
            <w:r>
              <w:rPr>
                <w:rFonts w:hint="eastAsia"/>
                <w:szCs w:val="20"/>
              </w:rPr>
              <w:t>）</w:t>
            </w:r>
          </w:p>
        </w:tc>
        <w:tc>
          <w:tcPr>
            <w:tcW w:w="2411" w:type="dxa"/>
            <w:gridSpan w:val="3"/>
            <w:vAlign w:val="center"/>
          </w:tcPr>
          <w:p w14:paraId="2F811465">
            <w:pPr>
              <w:widowControl/>
              <w:spacing w:line="360" w:lineRule="exact"/>
              <w:jc w:val="center"/>
              <w:rPr>
                <w:szCs w:val="20"/>
              </w:rPr>
            </w:pPr>
            <w:r>
              <w:rPr>
                <w:rFonts w:hint="eastAsia"/>
                <w:szCs w:val="20"/>
              </w:rPr>
              <w:t>全年</w:t>
            </w:r>
          </w:p>
        </w:tc>
        <w:tc>
          <w:tcPr>
            <w:tcW w:w="2571" w:type="dxa"/>
            <w:gridSpan w:val="2"/>
            <w:vAlign w:val="center"/>
          </w:tcPr>
          <w:p w14:paraId="72717F70">
            <w:pPr>
              <w:widowControl/>
              <w:spacing w:line="360" w:lineRule="exact"/>
              <w:jc w:val="center"/>
              <w:rPr>
                <w:szCs w:val="20"/>
              </w:rPr>
            </w:pPr>
            <w:r>
              <w:rPr>
                <w:rFonts w:hint="eastAsia"/>
                <w:szCs w:val="20"/>
              </w:rPr>
              <w:t>特殊时段（</w:t>
            </w:r>
            <w:r>
              <w:rPr>
                <w:szCs w:val="20"/>
              </w:rPr>
              <w:t>__</w:t>
            </w:r>
            <w:r>
              <w:rPr>
                <w:rFonts w:hint="eastAsia"/>
                <w:szCs w:val="20"/>
              </w:rPr>
              <w:t>月至</w:t>
            </w:r>
            <w:r>
              <w:rPr>
                <w:szCs w:val="20"/>
              </w:rPr>
              <w:t>__</w:t>
            </w:r>
            <w:r>
              <w:rPr>
                <w:rFonts w:hint="eastAsia"/>
                <w:szCs w:val="20"/>
              </w:rPr>
              <w:t>月）</w:t>
            </w:r>
          </w:p>
        </w:tc>
      </w:tr>
      <w:tr w14:paraId="21717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2830" w:type="dxa"/>
            <w:vMerge w:val="continue"/>
            <w:vAlign w:val="center"/>
          </w:tcPr>
          <w:p w14:paraId="5DC60037">
            <w:pPr>
              <w:spacing w:line="360" w:lineRule="exact"/>
              <w:rPr>
                <w:szCs w:val="20"/>
              </w:rPr>
            </w:pPr>
          </w:p>
        </w:tc>
        <w:tc>
          <w:tcPr>
            <w:tcW w:w="1133" w:type="dxa"/>
            <w:vMerge w:val="continue"/>
            <w:vAlign w:val="center"/>
          </w:tcPr>
          <w:p w14:paraId="7EDAF81D">
            <w:pPr>
              <w:widowControl/>
              <w:spacing w:line="360" w:lineRule="exact"/>
              <w:jc w:val="center"/>
              <w:rPr>
                <w:szCs w:val="20"/>
              </w:rPr>
            </w:pPr>
          </w:p>
        </w:tc>
        <w:tc>
          <w:tcPr>
            <w:tcW w:w="1277" w:type="dxa"/>
            <w:gridSpan w:val="2"/>
            <w:vAlign w:val="center"/>
          </w:tcPr>
          <w:p w14:paraId="41834EA6">
            <w:pPr>
              <w:widowControl/>
              <w:spacing w:line="360" w:lineRule="exact"/>
              <w:jc w:val="center"/>
              <w:rPr>
                <w:szCs w:val="20"/>
              </w:rPr>
            </w:pPr>
            <w:r>
              <w:rPr>
                <w:rFonts w:hint="eastAsia"/>
                <w:szCs w:val="20"/>
              </w:rPr>
              <w:t>污水排放量（万</w:t>
            </w:r>
            <w:r>
              <w:rPr>
                <w:szCs w:val="20"/>
              </w:rPr>
              <w:t>t/</w:t>
            </w:r>
            <w:r>
              <w:rPr>
                <w:rFonts w:hint="eastAsia"/>
                <w:szCs w:val="20"/>
              </w:rPr>
              <w:t>a）</w:t>
            </w:r>
          </w:p>
        </w:tc>
        <w:tc>
          <w:tcPr>
            <w:tcW w:w="1134" w:type="dxa"/>
            <w:vAlign w:val="center"/>
          </w:tcPr>
          <w:p w14:paraId="13925E8F">
            <w:pPr>
              <w:widowControl/>
              <w:spacing w:line="360" w:lineRule="exact"/>
              <w:jc w:val="center"/>
              <w:rPr>
                <w:szCs w:val="20"/>
              </w:rPr>
            </w:pPr>
            <w:r>
              <w:rPr>
                <w:rFonts w:hint="eastAsia"/>
                <w:szCs w:val="24"/>
              </w:rPr>
              <w:t>污染物排放量</w:t>
            </w:r>
            <w:r>
              <w:rPr>
                <w:rFonts w:hint="eastAsia"/>
                <w:szCs w:val="20"/>
              </w:rPr>
              <w:t>（</w:t>
            </w:r>
            <w:r>
              <w:rPr>
                <w:szCs w:val="20"/>
              </w:rPr>
              <w:t>t/</w:t>
            </w:r>
            <w:r>
              <w:rPr>
                <w:rFonts w:hint="eastAsia"/>
                <w:szCs w:val="20"/>
              </w:rPr>
              <w:t>a）</w:t>
            </w:r>
          </w:p>
        </w:tc>
        <w:tc>
          <w:tcPr>
            <w:tcW w:w="1418" w:type="dxa"/>
            <w:vAlign w:val="center"/>
          </w:tcPr>
          <w:p w14:paraId="6BAC2700">
            <w:pPr>
              <w:widowControl/>
              <w:spacing w:line="360" w:lineRule="exact"/>
              <w:jc w:val="center"/>
              <w:rPr>
                <w:szCs w:val="20"/>
              </w:rPr>
            </w:pPr>
            <w:r>
              <w:rPr>
                <w:rFonts w:hint="eastAsia"/>
                <w:szCs w:val="20"/>
              </w:rPr>
              <w:t>污水日排放量（</w:t>
            </w:r>
            <w:r>
              <w:rPr>
                <w:szCs w:val="20"/>
              </w:rPr>
              <w:t>t/</w:t>
            </w:r>
            <w:r>
              <w:rPr>
                <w:rFonts w:hint="eastAsia"/>
                <w:szCs w:val="20"/>
              </w:rPr>
              <w:t>d）</w:t>
            </w:r>
          </w:p>
        </w:tc>
        <w:tc>
          <w:tcPr>
            <w:tcW w:w="1153" w:type="dxa"/>
            <w:vAlign w:val="center"/>
          </w:tcPr>
          <w:p w14:paraId="1CF509BC">
            <w:pPr>
              <w:spacing w:line="360" w:lineRule="exact"/>
              <w:jc w:val="center"/>
              <w:rPr>
                <w:szCs w:val="20"/>
              </w:rPr>
            </w:pPr>
            <w:r>
              <w:rPr>
                <w:rFonts w:hint="eastAsia"/>
                <w:szCs w:val="24"/>
              </w:rPr>
              <w:t>污染物日排放量</w:t>
            </w:r>
            <w:r>
              <w:rPr>
                <w:rFonts w:hint="eastAsia"/>
                <w:szCs w:val="20"/>
              </w:rPr>
              <w:t>（</w:t>
            </w:r>
            <w:r>
              <w:rPr>
                <w:szCs w:val="20"/>
              </w:rPr>
              <w:t>t/</w:t>
            </w:r>
            <w:r>
              <w:rPr>
                <w:rFonts w:hint="eastAsia"/>
                <w:szCs w:val="20"/>
              </w:rPr>
              <w:t>d）</w:t>
            </w:r>
          </w:p>
        </w:tc>
      </w:tr>
      <w:tr w14:paraId="4EF10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945" w:type="dxa"/>
            <w:gridSpan w:val="7"/>
            <w:vAlign w:val="center"/>
          </w:tcPr>
          <w:p w14:paraId="1E36522A">
            <w:pPr>
              <w:widowControl/>
              <w:spacing w:line="360" w:lineRule="exact"/>
              <w:rPr>
                <w:szCs w:val="20"/>
              </w:rPr>
            </w:pPr>
            <w:r>
              <w:rPr>
                <w:rFonts w:hint="eastAsia"/>
                <w:szCs w:val="20"/>
              </w:rPr>
              <w:t>入河排污口合计</w:t>
            </w:r>
          </w:p>
        </w:tc>
      </w:tr>
      <w:tr w14:paraId="5E1CA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830" w:type="dxa"/>
            <w:shd w:val="clear" w:color="auto" w:fill="auto"/>
            <w:vAlign w:val="center"/>
          </w:tcPr>
          <w:p w14:paraId="50DBCCFA">
            <w:pPr>
              <w:widowControl/>
              <w:spacing w:line="360" w:lineRule="exact"/>
              <w:jc w:val="center"/>
              <w:rPr>
                <w:szCs w:val="20"/>
              </w:rPr>
            </w:pPr>
            <w:r>
              <w:rPr>
                <w:szCs w:val="20"/>
              </w:rPr>
              <w:t>COD</w:t>
            </w:r>
          </w:p>
        </w:tc>
        <w:tc>
          <w:tcPr>
            <w:tcW w:w="1133" w:type="dxa"/>
            <w:vAlign w:val="center"/>
          </w:tcPr>
          <w:p w14:paraId="37D668D5">
            <w:pPr>
              <w:widowControl/>
              <w:spacing w:line="360" w:lineRule="exact"/>
              <w:jc w:val="center"/>
              <w:rPr>
                <w:szCs w:val="20"/>
              </w:rPr>
            </w:pPr>
            <w:r>
              <w:rPr>
                <w:rFonts w:hint="eastAsia"/>
                <w:szCs w:val="20"/>
                <w:lang w:val="en-US" w:eastAsia="zh-CN"/>
              </w:rPr>
              <w:t>50</w:t>
            </w:r>
          </w:p>
        </w:tc>
        <w:tc>
          <w:tcPr>
            <w:tcW w:w="1277" w:type="dxa"/>
            <w:gridSpan w:val="2"/>
            <w:vMerge w:val="restart"/>
            <w:vAlign w:val="center"/>
          </w:tcPr>
          <w:p w14:paraId="4BB26C23">
            <w:pPr>
              <w:widowControl/>
              <w:spacing w:line="360" w:lineRule="exact"/>
              <w:jc w:val="center"/>
              <w:rPr>
                <w:rFonts w:hint="default"/>
                <w:szCs w:val="20"/>
                <w:lang w:val="en-US"/>
              </w:rPr>
            </w:pPr>
            <w:r>
              <w:rPr>
                <w:rFonts w:hint="eastAsia"/>
                <w:color w:val="auto"/>
                <w:szCs w:val="24"/>
                <w:lang w:val="en-US" w:eastAsia="zh-CN"/>
              </w:rPr>
              <w:t>730</w:t>
            </w:r>
          </w:p>
        </w:tc>
        <w:tc>
          <w:tcPr>
            <w:tcW w:w="1134" w:type="dxa"/>
            <w:vAlign w:val="center"/>
          </w:tcPr>
          <w:p w14:paraId="19FC6372">
            <w:pPr>
              <w:widowControl/>
              <w:spacing w:line="360" w:lineRule="exact"/>
              <w:jc w:val="center"/>
              <w:rPr>
                <w:rFonts w:hint="default"/>
                <w:szCs w:val="20"/>
                <w:lang w:val="en-US"/>
              </w:rPr>
            </w:pPr>
            <w:r>
              <w:rPr>
                <w:rFonts w:hint="eastAsia"/>
                <w:szCs w:val="24"/>
                <w:lang w:val="en-US" w:eastAsia="zh-CN"/>
              </w:rPr>
              <w:t>365</w:t>
            </w:r>
          </w:p>
        </w:tc>
        <w:tc>
          <w:tcPr>
            <w:tcW w:w="1418" w:type="dxa"/>
            <w:vMerge w:val="restart"/>
            <w:vAlign w:val="center"/>
          </w:tcPr>
          <w:p w14:paraId="52A3277A">
            <w:pPr>
              <w:widowControl/>
              <w:spacing w:line="360" w:lineRule="exact"/>
              <w:jc w:val="center"/>
              <w:rPr>
                <w:szCs w:val="20"/>
              </w:rPr>
            </w:pPr>
            <w:r>
              <w:rPr>
                <w:rFonts w:hint="eastAsia"/>
                <w:szCs w:val="20"/>
                <w:lang w:val="en-US" w:eastAsia="zh-CN"/>
              </w:rPr>
              <w:t>20000</w:t>
            </w:r>
          </w:p>
        </w:tc>
        <w:tc>
          <w:tcPr>
            <w:tcW w:w="1153" w:type="dxa"/>
            <w:vAlign w:val="center"/>
          </w:tcPr>
          <w:p w14:paraId="364A9777">
            <w:pPr>
              <w:widowControl/>
              <w:spacing w:line="360" w:lineRule="exact"/>
              <w:jc w:val="center"/>
              <w:rPr>
                <w:szCs w:val="20"/>
              </w:rPr>
            </w:pPr>
            <w:r>
              <w:rPr>
                <w:rFonts w:hint="eastAsia"/>
                <w:szCs w:val="20"/>
                <w:lang w:val="en-US" w:eastAsia="zh-CN"/>
              </w:rPr>
              <w:t>1</w:t>
            </w:r>
          </w:p>
        </w:tc>
      </w:tr>
      <w:tr w14:paraId="356F9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830" w:type="dxa"/>
            <w:shd w:val="clear" w:color="auto" w:fill="auto"/>
            <w:vAlign w:val="center"/>
          </w:tcPr>
          <w:p w14:paraId="34E7C62F">
            <w:pPr>
              <w:widowControl/>
              <w:spacing w:line="360" w:lineRule="exact"/>
              <w:jc w:val="center"/>
              <w:rPr>
                <w:szCs w:val="20"/>
              </w:rPr>
            </w:pPr>
            <w:r>
              <w:rPr>
                <w:szCs w:val="20"/>
              </w:rPr>
              <w:t>NH</w:t>
            </w:r>
            <w:r>
              <w:rPr>
                <w:szCs w:val="20"/>
                <w:vertAlign w:val="subscript"/>
              </w:rPr>
              <w:t>3</w:t>
            </w:r>
            <w:r>
              <w:rPr>
                <w:szCs w:val="20"/>
              </w:rPr>
              <w:t>-N</w:t>
            </w:r>
          </w:p>
        </w:tc>
        <w:tc>
          <w:tcPr>
            <w:tcW w:w="1133" w:type="dxa"/>
            <w:vAlign w:val="center"/>
          </w:tcPr>
          <w:p w14:paraId="52EE580D">
            <w:pPr>
              <w:widowControl/>
              <w:spacing w:line="360" w:lineRule="exact"/>
              <w:jc w:val="center"/>
              <w:rPr>
                <w:szCs w:val="20"/>
              </w:rPr>
            </w:pPr>
            <w:r>
              <w:rPr>
                <w:rFonts w:hint="eastAsia"/>
                <w:szCs w:val="20"/>
                <w:lang w:val="en-US" w:eastAsia="zh-CN"/>
              </w:rPr>
              <w:t>5（8）</w:t>
            </w:r>
          </w:p>
        </w:tc>
        <w:tc>
          <w:tcPr>
            <w:tcW w:w="1277" w:type="dxa"/>
            <w:gridSpan w:val="2"/>
            <w:vMerge w:val="continue"/>
            <w:vAlign w:val="center"/>
          </w:tcPr>
          <w:p w14:paraId="129DD7EB">
            <w:pPr>
              <w:widowControl/>
              <w:spacing w:line="360" w:lineRule="exact"/>
              <w:jc w:val="center"/>
              <w:rPr>
                <w:szCs w:val="20"/>
              </w:rPr>
            </w:pPr>
          </w:p>
        </w:tc>
        <w:tc>
          <w:tcPr>
            <w:tcW w:w="1134" w:type="dxa"/>
            <w:vAlign w:val="center"/>
          </w:tcPr>
          <w:p w14:paraId="141A135E">
            <w:pPr>
              <w:widowControl/>
              <w:spacing w:line="360" w:lineRule="exact"/>
              <w:jc w:val="center"/>
              <w:rPr>
                <w:rFonts w:hint="default"/>
                <w:szCs w:val="20"/>
                <w:lang w:val="en-US"/>
              </w:rPr>
            </w:pPr>
            <w:r>
              <w:rPr>
                <w:rFonts w:hint="eastAsia"/>
                <w:szCs w:val="24"/>
                <w:lang w:val="en-US" w:eastAsia="zh-CN"/>
              </w:rPr>
              <w:t>36.5</w:t>
            </w:r>
          </w:p>
        </w:tc>
        <w:tc>
          <w:tcPr>
            <w:tcW w:w="1418" w:type="dxa"/>
            <w:vMerge w:val="continue"/>
            <w:vAlign w:val="center"/>
          </w:tcPr>
          <w:p w14:paraId="1B0CAC47">
            <w:pPr>
              <w:widowControl/>
              <w:spacing w:line="360" w:lineRule="exact"/>
              <w:jc w:val="center"/>
              <w:rPr>
                <w:szCs w:val="20"/>
              </w:rPr>
            </w:pPr>
          </w:p>
        </w:tc>
        <w:tc>
          <w:tcPr>
            <w:tcW w:w="1153" w:type="dxa"/>
            <w:vAlign w:val="center"/>
          </w:tcPr>
          <w:p w14:paraId="63A6DFF7">
            <w:pPr>
              <w:widowControl/>
              <w:spacing w:line="360" w:lineRule="exact"/>
              <w:jc w:val="center"/>
              <w:rPr>
                <w:rFonts w:hint="default"/>
                <w:szCs w:val="20"/>
                <w:lang w:val="en-US"/>
              </w:rPr>
            </w:pPr>
            <w:r>
              <w:rPr>
                <w:rFonts w:hint="eastAsia"/>
                <w:szCs w:val="20"/>
                <w:lang w:val="en-US" w:eastAsia="zh-CN"/>
              </w:rPr>
              <w:t>0.1</w:t>
            </w:r>
          </w:p>
        </w:tc>
      </w:tr>
      <w:tr w14:paraId="537DA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830" w:type="dxa"/>
            <w:shd w:val="clear" w:color="auto" w:fill="auto"/>
            <w:vAlign w:val="center"/>
          </w:tcPr>
          <w:p w14:paraId="632371B3">
            <w:pPr>
              <w:widowControl/>
              <w:spacing w:line="360" w:lineRule="exact"/>
              <w:jc w:val="center"/>
              <w:rPr>
                <w:szCs w:val="20"/>
              </w:rPr>
            </w:pPr>
            <w:r>
              <w:rPr>
                <w:rFonts w:hint="eastAsia"/>
                <w:szCs w:val="20"/>
              </w:rPr>
              <w:t>T</w:t>
            </w:r>
            <w:r>
              <w:rPr>
                <w:szCs w:val="20"/>
              </w:rPr>
              <w:t>N</w:t>
            </w:r>
          </w:p>
        </w:tc>
        <w:tc>
          <w:tcPr>
            <w:tcW w:w="1133" w:type="dxa"/>
            <w:vAlign w:val="center"/>
          </w:tcPr>
          <w:p w14:paraId="7BDABF54">
            <w:pPr>
              <w:widowControl/>
              <w:spacing w:line="360" w:lineRule="exact"/>
              <w:jc w:val="center"/>
              <w:rPr>
                <w:szCs w:val="20"/>
              </w:rPr>
            </w:pPr>
            <w:r>
              <w:rPr>
                <w:rFonts w:hint="eastAsia"/>
                <w:szCs w:val="20"/>
                <w:lang w:val="en-US" w:eastAsia="zh-CN"/>
              </w:rPr>
              <w:t>15</w:t>
            </w:r>
          </w:p>
        </w:tc>
        <w:tc>
          <w:tcPr>
            <w:tcW w:w="1277" w:type="dxa"/>
            <w:gridSpan w:val="2"/>
            <w:vMerge w:val="continue"/>
            <w:vAlign w:val="center"/>
          </w:tcPr>
          <w:p w14:paraId="74D469C2">
            <w:pPr>
              <w:widowControl/>
              <w:spacing w:line="360" w:lineRule="exact"/>
              <w:jc w:val="center"/>
              <w:rPr>
                <w:szCs w:val="20"/>
              </w:rPr>
            </w:pPr>
          </w:p>
        </w:tc>
        <w:tc>
          <w:tcPr>
            <w:tcW w:w="1134" w:type="dxa"/>
            <w:vAlign w:val="center"/>
          </w:tcPr>
          <w:p w14:paraId="49A778E4">
            <w:pPr>
              <w:widowControl/>
              <w:spacing w:line="360" w:lineRule="exact"/>
              <w:jc w:val="center"/>
              <w:rPr>
                <w:rFonts w:hint="default"/>
                <w:szCs w:val="20"/>
                <w:lang w:val="en-US"/>
              </w:rPr>
            </w:pPr>
            <w:r>
              <w:rPr>
                <w:rFonts w:hint="eastAsia"/>
                <w:szCs w:val="24"/>
                <w:lang w:val="en-US" w:eastAsia="zh-CN"/>
              </w:rPr>
              <w:t>109.5</w:t>
            </w:r>
          </w:p>
        </w:tc>
        <w:tc>
          <w:tcPr>
            <w:tcW w:w="1418" w:type="dxa"/>
            <w:vMerge w:val="continue"/>
            <w:vAlign w:val="center"/>
          </w:tcPr>
          <w:p w14:paraId="6533A7BF">
            <w:pPr>
              <w:widowControl/>
              <w:spacing w:line="360" w:lineRule="exact"/>
              <w:jc w:val="center"/>
              <w:rPr>
                <w:szCs w:val="20"/>
              </w:rPr>
            </w:pPr>
          </w:p>
        </w:tc>
        <w:tc>
          <w:tcPr>
            <w:tcW w:w="1153" w:type="dxa"/>
            <w:vAlign w:val="center"/>
          </w:tcPr>
          <w:p w14:paraId="4B1973D4">
            <w:pPr>
              <w:widowControl/>
              <w:spacing w:line="360" w:lineRule="exact"/>
              <w:jc w:val="center"/>
              <w:rPr>
                <w:rFonts w:hint="default"/>
                <w:szCs w:val="20"/>
                <w:lang w:val="en-US"/>
              </w:rPr>
            </w:pPr>
            <w:r>
              <w:rPr>
                <w:rFonts w:hint="eastAsia"/>
                <w:szCs w:val="20"/>
                <w:lang w:val="en-US" w:eastAsia="zh-CN"/>
              </w:rPr>
              <w:t>0.3</w:t>
            </w:r>
          </w:p>
        </w:tc>
      </w:tr>
      <w:tr w14:paraId="50298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830" w:type="dxa"/>
            <w:shd w:val="clear" w:color="auto" w:fill="auto"/>
            <w:vAlign w:val="center"/>
          </w:tcPr>
          <w:p w14:paraId="1E6CE76F">
            <w:pPr>
              <w:widowControl/>
              <w:spacing w:line="360" w:lineRule="exact"/>
              <w:jc w:val="center"/>
              <w:rPr>
                <w:szCs w:val="20"/>
              </w:rPr>
            </w:pPr>
            <w:r>
              <w:rPr>
                <w:rFonts w:hint="eastAsia"/>
                <w:szCs w:val="20"/>
              </w:rPr>
              <w:t>T</w:t>
            </w:r>
            <w:r>
              <w:rPr>
                <w:szCs w:val="20"/>
              </w:rPr>
              <w:t>P</w:t>
            </w:r>
          </w:p>
        </w:tc>
        <w:tc>
          <w:tcPr>
            <w:tcW w:w="1133" w:type="dxa"/>
            <w:vAlign w:val="center"/>
          </w:tcPr>
          <w:p w14:paraId="7D60B7E1">
            <w:pPr>
              <w:widowControl/>
              <w:spacing w:line="360" w:lineRule="exact"/>
              <w:jc w:val="center"/>
              <w:rPr>
                <w:szCs w:val="20"/>
              </w:rPr>
            </w:pPr>
            <w:r>
              <w:rPr>
                <w:rFonts w:hint="eastAsia"/>
                <w:szCs w:val="20"/>
                <w:lang w:val="en-US" w:eastAsia="zh-CN"/>
              </w:rPr>
              <w:t>0.5</w:t>
            </w:r>
          </w:p>
        </w:tc>
        <w:tc>
          <w:tcPr>
            <w:tcW w:w="1277" w:type="dxa"/>
            <w:gridSpan w:val="2"/>
            <w:vMerge w:val="continue"/>
            <w:vAlign w:val="center"/>
          </w:tcPr>
          <w:p w14:paraId="2F609228">
            <w:pPr>
              <w:widowControl/>
              <w:spacing w:line="360" w:lineRule="exact"/>
              <w:jc w:val="center"/>
              <w:rPr>
                <w:szCs w:val="20"/>
              </w:rPr>
            </w:pPr>
          </w:p>
        </w:tc>
        <w:tc>
          <w:tcPr>
            <w:tcW w:w="1134" w:type="dxa"/>
            <w:vAlign w:val="center"/>
          </w:tcPr>
          <w:p w14:paraId="663365AF">
            <w:pPr>
              <w:widowControl/>
              <w:spacing w:line="360" w:lineRule="exact"/>
              <w:jc w:val="center"/>
              <w:rPr>
                <w:rFonts w:hint="default"/>
                <w:szCs w:val="20"/>
                <w:lang w:val="en-US"/>
              </w:rPr>
            </w:pPr>
            <w:r>
              <w:rPr>
                <w:rFonts w:hint="eastAsia"/>
                <w:szCs w:val="24"/>
                <w:lang w:val="en-US" w:eastAsia="zh-CN"/>
              </w:rPr>
              <w:t>3.65</w:t>
            </w:r>
          </w:p>
        </w:tc>
        <w:tc>
          <w:tcPr>
            <w:tcW w:w="1418" w:type="dxa"/>
            <w:vMerge w:val="continue"/>
            <w:vAlign w:val="center"/>
          </w:tcPr>
          <w:p w14:paraId="20DBBF41">
            <w:pPr>
              <w:widowControl/>
              <w:spacing w:line="360" w:lineRule="exact"/>
              <w:jc w:val="center"/>
              <w:rPr>
                <w:szCs w:val="20"/>
              </w:rPr>
            </w:pPr>
          </w:p>
        </w:tc>
        <w:tc>
          <w:tcPr>
            <w:tcW w:w="1153" w:type="dxa"/>
            <w:vAlign w:val="center"/>
          </w:tcPr>
          <w:p w14:paraId="7AF75FBF">
            <w:pPr>
              <w:widowControl/>
              <w:spacing w:line="360" w:lineRule="exact"/>
              <w:jc w:val="center"/>
              <w:rPr>
                <w:rFonts w:hint="default"/>
                <w:szCs w:val="20"/>
                <w:lang w:val="en-US"/>
              </w:rPr>
            </w:pPr>
            <w:r>
              <w:rPr>
                <w:rFonts w:hint="eastAsia"/>
                <w:szCs w:val="20"/>
                <w:lang w:val="en-US" w:eastAsia="zh-CN"/>
              </w:rPr>
              <w:t>0.01</w:t>
            </w:r>
          </w:p>
        </w:tc>
      </w:tr>
      <w:tr w14:paraId="0D826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1" w:hRule="atLeast"/>
          <w:jc w:val="center"/>
        </w:trPr>
        <w:tc>
          <w:tcPr>
            <w:tcW w:w="8945" w:type="dxa"/>
            <w:gridSpan w:val="7"/>
          </w:tcPr>
          <w:p w14:paraId="12C8F1E9">
            <w:pPr>
              <w:widowControl/>
              <w:snapToGrid w:val="0"/>
              <w:spacing w:line="360" w:lineRule="exact"/>
              <w:rPr>
                <w:szCs w:val="20"/>
              </w:rPr>
            </w:pPr>
            <w:r>
              <w:rPr>
                <w:rFonts w:hint="eastAsia"/>
                <w:szCs w:val="20"/>
              </w:rPr>
              <w:t>信息公开要求：</w:t>
            </w:r>
          </w:p>
          <w:p w14:paraId="011397F3">
            <w:pPr>
              <w:pStyle w:val="3"/>
              <w:widowControl/>
              <w:snapToGrid w:val="0"/>
              <w:spacing w:line="360" w:lineRule="exact"/>
              <w:ind w:left="0" w:firstLine="420" w:firstLineChars="200"/>
              <w:jc w:val="both"/>
              <w:rPr>
                <w:lang w:eastAsia="zh-CN"/>
              </w:rPr>
            </w:pPr>
            <w:r>
              <w:rPr>
                <w:rFonts w:hint="eastAsia" w:ascii="等线" w:hAnsi="等线" w:eastAsia="等线" w:cs="黑体"/>
                <w:kern w:val="2"/>
                <w:sz w:val="21"/>
                <w:szCs w:val="21"/>
                <w:highlight w:val="none"/>
                <w:lang w:val="en-US" w:eastAsia="zh-CN" w:bidi="ar-SA"/>
              </w:rPr>
              <w:t>根据《入河排污口监督管理办法》以及HJ1386标准要求，该入河排污口的</w:t>
            </w:r>
            <w:r>
              <w:rPr>
                <w:rFonts w:ascii="Times New Roman" w:hAnsi="Times New Roman" w:eastAsia="宋体"/>
                <w:kern w:val="2"/>
                <w:sz w:val="21"/>
                <w:szCs w:val="21"/>
                <w:u w:val="single"/>
                <w:lang w:eastAsia="zh-CN"/>
              </w:rPr>
              <w:t>_</w:t>
            </w:r>
            <w:r>
              <w:rPr>
                <w:rFonts w:hint="eastAsia" w:ascii="Times New Roman" w:hAnsi="Times New Roman" w:eastAsia="宋体"/>
                <w:kern w:val="2"/>
                <w:sz w:val="21"/>
                <w:szCs w:val="21"/>
                <w:u w:val="single"/>
                <w:lang w:eastAsia="zh-CN"/>
              </w:rPr>
              <w:t>排污口名称、编码、类型、责任主体、监管主体单位、监管电话</w:t>
            </w:r>
            <w:r>
              <w:rPr>
                <w:rFonts w:hint="eastAsia" w:ascii="Times New Roman" w:hAnsi="Times New Roman" w:eastAsia="宋体"/>
                <w:kern w:val="2"/>
                <w:sz w:val="21"/>
                <w:szCs w:val="21"/>
                <w:lang w:eastAsia="zh-CN"/>
              </w:rPr>
              <w:t>等信息应以</w:t>
            </w:r>
            <w:r>
              <w:rPr>
                <w:rFonts w:hint="eastAsia"/>
                <w:sz w:val="21"/>
                <w:szCs w:val="21"/>
                <w:lang w:eastAsia="zh-CN"/>
              </w:rPr>
              <w:t>☑</w:t>
            </w:r>
            <w:r>
              <w:rPr>
                <w:rFonts w:hint="eastAsia" w:ascii="Times New Roman" w:hAnsi="Times New Roman" w:eastAsia="宋体"/>
                <w:kern w:val="2"/>
                <w:sz w:val="21"/>
                <w:szCs w:val="21"/>
                <w:lang w:eastAsia="zh-CN"/>
              </w:rPr>
              <w:t>标识牌</w:t>
            </w:r>
            <w:r>
              <w:rPr>
                <w:rFonts w:hint="eastAsia"/>
                <w:b w:val="0"/>
                <w:bCs w:val="0"/>
                <w:sz w:val="21"/>
                <w:szCs w:val="21"/>
                <w:lang w:eastAsia="zh-CN"/>
              </w:rPr>
              <w:t>☑</w:t>
            </w:r>
            <w:r>
              <w:rPr>
                <w:rFonts w:hint="eastAsia" w:ascii="Times New Roman" w:hAnsi="Times New Roman" w:eastAsia="宋体"/>
                <w:kern w:val="2"/>
                <w:sz w:val="21"/>
                <w:szCs w:val="21"/>
                <w:lang w:eastAsia="zh-CN"/>
              </w:rPr>
              <w:t>二维码等方式在入河排污口处信息公开。</w:t>
            </w:r>
          </w:p>
        </w:tc>
      </w:tr>
      <w:tr w14:paraId="0CF80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jc w:val="center"/>
        </w:trPr>
        <w:tc>
          <w:tcPr>
            <w:tcW w:w="8945" w:type="dxa"/>
            <w:gridSpan w:val="7"/>
            <w:vAlign w:val="center"/>
          </w:tcPr>
          <w:p w14:paraId="736CA4E2">
            <w:pPr>
              <w:widowControl/>
              <w:snapToGrid w:val="0"/>
              <w:spacing w:line="360" w:lineRule="exact"/>
              <w:rPr>
                <w:rFonts w:hint="eastAsia"/>
                <w:color w:val="auto"/>
                <w:szCs w:val="20"/>
                <w:highlight w:val="none"/>
              </w:rPr>
            </w:pPr>
            <w:r>
              <w:rPr>
                <w:rFonts w:hint="eastAsia"/>
                <w:color w:val="auto"/>
                <w:szCs w:val="20"/>
                <w:highlight w:val="none"/>
              </w:rPr>
              <w:t>水污染事故应急处理预案以及环境风险防范措施：</w:t>
            </w:r>
          </w:p>
          <w:p w14:paraId="26511E63">
            <w:pPr>
              <w:widowControl/>
              <w:snapToGrid w:val="0"/>
              <w:spacing w:line="360" w:lineRule="exact"/>
              <w:ind w:firstLine="420" w:firstLineChars="200"/>
              <w:rPr>
                <w:rFonts w:hint="eastAsia"/>
                <w:color w:val="auto"/>
                <w:highlight w:val="none"/>
                <w:lang w:val="en-US" w:eastAsia="zh-CN"/>
              </w:rPr>
            </w:pPr>
            <w:r>
              <w:rPr>
                <w:rFonts w:hint="eastAsia"/>
                <w:color w:val="auto"/>
                <w:szCs w:val="20"/>
                <w:highlight w:val="none"/>
              </w:rPr>
              <w:t>该入河排污口对应的</w:t>
            </w:r>
            <w:r>
              <w:rPr>
                <w:rFonts w:hint="eastAsia"/>
                <w:color w:val="auto"/>
                <w:highlight w:val="none"/>
                <w:lang w:val="en-US" w:eastAsia="zh-CN"/>
              </w:rPr>
              <w:t>责任主体辽宁省环保集团清源水务有限公司高新区污水处理厂应</w:t>
            </w:r>
            <w:r>
              <w:rPr>
                <w:rFonts w:hint="eastAsia"/>
                <w:color w:val="auto"/>
                <w:szCs w:val="20"/>
                <w:highlight w:val="none"/>
              </w:rPr>
              <w:t>当按照排污单位有关要求，做好污染事故应急处理预案、环境风险防范及应急处置措施，具</w:t>
            </w:r>
            <w:r>
              <w:rPr>
                <w:rFonts w:hint="eastAsia"/>
                <w:color w:val="auto"/>
                <w:highlight w:val="none"/>
              </w:rPr>
              <w:t>体包括：</w:t>
            </w:r>
            <w:r>
              <w:rPr>
                <w:rFonts w:hint="eastAsia"/>
                <w:color w:val="auto"/>
                <w:highlight w:val="none"/>
                <w:lang w:eastAsia="zh-CN"/>
              </w:rPr>
              <w:t>《入河排污口设置论证报告》第</w:t>
            </w:r>
            <w:r>
              <w:rPr>
                <w:rFonts w:hint="eastAsia"/>
                <w:color w:val="auto"/>
                <w:highlight w:val="none"/>
                <w:lang w:val="en-US" w:eastAsia="zh-CN"/>
              </w:rPr>
              <w:t>8节“入河排污口设置水环境风险影响分析”部分提出的进水不均、生化处理率降低、突发外部事故、管网破损等应急处理。此外，入河排污口排放污染物造成或可能造成水污染事故时，应立即启动应急预案并报告，同时采取应急措施切断或控制事故污染源，拦截、导流、分流事故污水并进行妥善处理。</w:t>
            </w:r>
          </w:p>
          <w:p w14:paraId="2F7A01C9">
            <w:pPr>
              <w:widowControl/>
              <w:snapToGrid w:val="0"/>
              <w:spacing w:line="360" w:lineRule="exact"/>
              <w:ind w:firstLine="420" w:firstLineChars="200"/>
              <w:rPr>
                <w:rFonts w:hint="default"/>
                <w:color w:val="auto"/>
                <w:highlight w:val="none"/>
                <w:lang w:val="en-US" w:eastAsia="zh-CN"/>
              </w:rPr>
            </w:pPr>
            <w:r>
              <w:rPr>
                <w:rFonts w:hint="eastAsia"/>
                <w:color w:val="auto"/>
                <w:highlight w:val="none"/>
                <w:lang w:val="en-US" w:eastAsia="zh-CN"/>
              </w:rPr>
              <w:t>下游断面考核存在超标风险时，企业配合主管部门积极应对。</w:t>
            </w:r>
          </w:p>
        </w:tc>
      </w:tr>
      <w:tr w14:paraId="392C8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jc w:val="center"/>
        </w:trPr>
        <w:tc>
          <w:tcPr>
            <w:tcW w:w="8945" w:type="dxa"/>
            <w:gridSpan w:val="7"/>
          </w:tcPr>
          <w:p w14:paraId="659D4971">
            <w:pPr>
              <w:pStyle w:val="3"/>
              <w:keepNext w:val="0"/>
              <w:keepLines w:val="0"/>
              <w:pageBreakBefore w:val="0"/>
              <w:widowControl/>
              <w:kinsoku/>
              <w:wordWrap/>
              <w:overflowPunct/>
              <w:topLinePunct w:val="0"/>
              <w:autoSpaceDE/>
              <w:autoSpaceDN/>
              <w:bidi w:val="0"/>
              <w:adjustRightInd/>
              <w:snapToGrid w:val="0"/>
              <w:spacing w:line="360" w:lineRule="exact"/>
              <w:ind w:left="0"/>
              <w:jc w:val="both"/>
              <w:textAlignment w:val="auto"/>
              <w:rPr>
                <w:rFonts w:hint="eastAsia" w:ascii="等线" w:hAnsi="等线" w:eastAsia="等线" w:cs="黑体"/>
                <w:color w:val="auto"/>
                <w:kern w:val="2"/>
                <w:sz w:val="21"/>
                <w:szCs w:val="22"/>
                <w:highlight w:val="none"/>
                <w:lang w:val="en-US" w:eastAsia="zh-CN" w:bidi="ar-SA"/>
              </w:rPr>
            </w:pPr>
            <w:r>
              <w:rPr>
                <w:rFonts w:hint="eastAsia" w:ascii="等线" w:hAnsi="等线" w:eastAsia="等线" w:cs="黑体"/>
                <w:color w:val="auto"/>
                <w:kern w:val="2"/>
                <w:sz w:val="21"/>
                <w:szCs w:val="22"/>
                <w:highlight w:val="none"/>
                <w:lang w:val="en-US" w:eastAsia="zh-CN" w:bidi="ar-SA"/>
              </w:rPr>
              <w:t>水生态环境保护措施：</w:t>
            </w:r>
          </w:p>
          <w:p w14:paraId="19F01165">
            <w:pPr>
              <w:pStyle w:val="3"/>
              <w:keepNext w:val="0"/>
              <w:keepLines w:val="0"/>
              <w:pageBreakBefore w:val="0"/>
              <w:kinsoku/>
              <w:wordWrap/>
              <w:overflowPunct/>
              <w:topLinePunct w:val="0"/>
              <w:autoSpaceDE/>
              <w:autoSpaceDN/>
              <w:bidi w:val="0"/>
              <w:adjustRightInd/>
              <w:snapToGrid w:val="0"/>
              <w:spacing w:line="360" w:lineRule="exact"/>
              <w:ind w:left="0" w:firstLine="420" w:firstLineChars="200"/>
              <w:jc w:val="both"/>
              <w:textAlignment w:val="auto"/>
              <w:rPr>
                <w:color w:val="auto"/>
                <w:lang w:eastAsia="zh-CN"/>
              </w:rPr>
            </w:pPr>
            <w:r>
              <w:rPr>
                <w:rFonts w:hint="eastAsia" w:ascii="等线" w:hAnsi="等线" w:eastAsia="等线" w:cs="黑体"/>
                <w:color w:val="auto"/>
                <w:kern w:val="2"/>
                <w:sz w:val="21"/>
                <w:szCs w:val="22"/>
                <w:highlight w:val="none"/>
                <w:lang w:val="en-US" w:eastAsia="zh-CN" w:bidi="ar-SA"/>
              </w:rPr>
              <w:t>为减免该入河排污口设置带来的不利影响，入河排污口设置/使用过程中应当采取监测、巡查、预警等水生态环境保护措施，具体包括：定期巡查维护排污通道、口门以及附属设施；确保稳定达标排放，并符合排放总量控制要求；根据《入河入海排污口监督管理技术指南  监测》（HJ1387-2024）要求，开展自行监测。</w:t>
            </w:r>
          </w:p>
        </w:tc>
      </w:tr>
      <w:tr w14:paraId="2E844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8" w:hRule="atLeast"/>
          <w:jc w:val="center"/>
        </w:trPr>
        <w:tc>
          <w:tcPr>
            <w:tcW w:w="8945" w:type="dxa"/>
            <w:gridSpan w:val="7"/>
          </w:tcPr>
          <w:p w14:paraId="0D7C7719">
            <w:pPr>
              <w:keepNext w:val="0"/>
              <w:keepLines w:val="0"/>
              <w:pageBreakBefore w:val="0"/>
              <w:widowControl/>
              <w:kinsoku/>
              <w:wordWrap/>
              <w:overflowPunct/>
              <w:topLinePunct w:val="0"/>
              <w:autoSpaceDE/>
              <w:autoSpaceDN/>
              <w:bidi w:val="0"/>
              <w:adjustRightInd/>
              <w:snapToGrid w:val="0"/>
              <w:spacing w:line="360" w:lineRule="exact"/>
              <w:textAlignment w:val="auto"/>
              <w:rPr>
                <w:rFonts w:hint="eastAsia" w:ascii="等线" w:hAnsi="等线" w:eastAsia="等线" w:cs="黑体"/>
                <w:color w:val="auto"/>
                <w:kern w:val="2"/>
                <w:sz w:val="21"/>
                <w:szCs w:val="22"/>
                <w:highlight w:val="none"/>
                <w:lang w:val="en-US" w:eastAsia="zh-CN" w:bidi="ar-SA"/>
              </w:rPr>
            </w:pPr>
            <w:r>
              <w:rPr>
                <w:rFonts w:hint="eastAsia" w:ascii="等线" w:hAnsi="等线" w:eastAsia="等线" w:cs="黑体"/>
                <w:color w:val="auto"/>
                <w:kern w:val="2"/>
                <w:sz w:val="21"/>
                <w:szCs w:val="22"/>
                <w:highlight w:val="none"/>
                <w:lang w:val="en-US" w:eastAsia="zh-CN" w:bidi="ar-SA"/>
              </w:rPr>
              <w:t>其他需要注意的事项：</w:t>
            </w:r>
          </w:p>
          <w:p w14:paraId="087F0CB1">
            <w:pPr>
              <w:pStyle w:val="3"/>
              <w:keepNext w:val="0"/>
              <w:keepLines w:val="0"/>
              <w:pageBreakBefore w:val="0"/>
              <w:widowControl/>
              <w:kinsoku/>
              <w:wordWrap/>
              <w:overflowPunct/>
              <w:topLinePunct w:val="0"/>
              <w:autoSpaceDE/>
              <w:autoSpaceDN/>
              <w:bidi w:val="0"/>
              <w:adjustRightInd/>
              <w:snapToGrid w:val="0"/>
              <w:spacing w:line="360" w:lineRule="exact"/>
              <w:ind w:left="0" w:firstLine="420" w:firstLineChars="200"/>
              <w:jc w:val="both"/>
              <w:textAlignment w:val="auto"/>
              <w:rPr>
                <w:rFonts w:hint="eastAsia" w:ascii="等线" w:hAnsi="等线" w:eastAsia="等线" w:cs="黑体"/>
                <w:color w:val="auto"/>
                <w:kern w:val="2"/>
                <w:sz w:val="21"/>
                <w:szCs w:val="22"/>
                <w:highlight w:val="none"/>
                <w:lang w:val="en-US" w:eastAsia="zh-CN" w:bidi="ar-SA"/>
              </w:rPr>
            </w:pPr>
            <w:r>
              <w:rPr>
                <w:rFonts w:hint="eastAsia" w:ascii="等线" w:hAnsi="等线" w:eastAsia="等线" w:cs="黑体"/>
                <w:color w:val="auto"/>
                <w:kern w:val="2"/>
                <w:sz w:val="21"/>
                <w:szCs w:val="22"/>
                <w:highlight w:val="none"/>
                <w:lang w:val="en-US" w:eastAsia="zh-CN" w:bidi="ar-SA"/>
              </w:rPr>
              <w:t>（一）在满足污染排放要求基础上，应符合相关部门对供水、堤防安全和河势稳定等问题的保护措施要求；</w:t>
            </w:r>
            <w:bookmarkStart w:id="0" w:name="_GoBack"/>
            <w:bookmarkEnd w:id="0"/>
          </w:p>
          <w:p w14:paraId="3C47DA71">
            <w:pPr>
              <w:pStyle w:val="3"/>
              <w:keepNext w:val="0"/>
              <w:keepLines w:val="0"/>
              <w:pageBreakBefore w:val="0"/>
              <w:widowControl/>
              <w:kinsoku/>
              <w:wordWrap/>
              <w:overflowPunct/>
              <w:topLinePunct w:val="0"/>
              <w:autoSpaceDE/>
              <w:autoSpaceDN/>
              <w:bidi w:val="0"/>
              <w:adjustRightInd/>
              <w:snapToGrid w:val="0"/>
              <w:spacing w:line="360" w:lineRule="exact"/>
              <w:ind w:left="0" w:firstLine="420" w:firstLineChars="200"/>
              <w:jc w:val="both"/>
              <w:textAlignment w:val="auto"/>
              <w:rPr>
                <w:rFonts w:hint="eastAsia" w:ascii="等线" w:hAnsi="等线" w:eastAsia="等线" w:cs="黑体"/>
                <w:color w:val="auto"/>
                <w:kern w:val="2"/>
                <w:sz w:val="21"/>
                <w:szCs w:val="22"/>
                <w:highlight w:val="none"/>
                <w:lang w:val="en-US" w:eastAsia="zh-CN" w:bidi="ar-SA"/>
              </w:rPr>
            </w:pPr>
            <w:r>
              <w:rPr>
                <w:rFonts w:hint="eastAsia" w:ascii="等线" w:hAnsi="等线" w:eastAsia="等线" w:cs="黑体"/>
                <w:color w:val="auto"/>
                <w:kern w:val="2"/>
                <w:sz w:val="21"/>
                <w:szCs w:val="22"/>
                <w:highlight w:val="none"/>
                <w:lang w:val="en-US" w:eastAsia="zh-CN" w:bidi="ar-SA"/>
              </w:rPr>
              <w:t>（二）项目运营期，应确保排放浓度和排放量符合批复要求，并采取有效措施杜绝入河排污口排放事故发生；</w:t>
            </w:r>
          </w:p>
          <w:p w14:paraId="1C962221">
            <w:pPr>
              <w:pStyle w:val="3"/>
              <w:keepNext w:val="0"/>
              <w:keepLines w:val="0"/>
              <w:pageBreakBefore w:val="0"/>
              <w:widowControl/>
              <w:kinsoku/>
              <w:wordWrap/>
              <w:overflowPunct/>
              <w:topLinePunct w:val="0"/>
              <w:autoSpaceDE/>
              <w:autoSpaceDN/>
              <w:bidi w:val="0"/>
              <w:adjustRightInd/>
              <w:snapToGrid w:val="0"/>
              <w:spacing w:line="360" w:lineRule="exact"/>
              <w:ind w:left="0" w:firstLine="420" w:firstLineChars="200"/>
              <w:jc w:val="both"/>
              <w:textAlignment w:val="auto"/>
              <w:rPr>
                <w:rFonts w:hint="eastAsia" w:ascii="等线" w:hAnsi="等线" w:eastAsia="等线" w:cs="黑体"/>
                <w:color w:val="auto"/>
                <w:kern w:val="2"/>
                <w:sz w:val="21"/>
                <w:szCs w:val="22"/>
                <w:highlight w:val="none"/>
                <w:lang w:val="en-US" w:eastAsia="zh-CN" w:bidi="ar-SA"/>
              </w:rPr>
            </w:pPr>
            <w:r>
              <w:rPr>
                <w:rFonts w:hint="eastAsia" w:ascii="等线" w:hAnsi="等线" w:eastAsia="等线" w:cs="黑体"/>
                <w:color w:val="auto"/>
                <w:kern w:val="2"/>
                <w:sz w:val="21"/>
                <w:szCs w:val="22"/>
                <w:highlight w:val="none"/>
                <w:lang w:val="en-US" w:eastAsia="zh-CN" w:bidi="ar-SA"/>
              </w:rPr>
              <w:t>（三）责任主体应积极配合生态环境部门、水行政主管部门对设置排污口所在水域功能区以及上下游相邻水功能区的管理，建立废污水排放水质监测分析记录，定期向主管部门报送信息；接受并配合主管部门及监测机构定期或不定期的监测；</w:t>
            </w:r>
          </w:p>
          <w:p w14:paraId="548CF730">
            <w:pPr>
              <w:keepNext w:val="0"/>
              <w:keepLines w:val="0"/>
              <w:pageBreakBefore w:val="0"/>
              <w:kinsoku/>
              <w:wordWrap/>
              <w:overflowPunct/>
              <w:topLinePunct w:val="0"/>
              <w:autoSpaceDE/>
              <w:autoSpaceDN/>
              <w:bidi w:val="0"/>
              <w:adjustRightInd/>
              <w:spacing w:line="360" w:lineRule="exact"/>
              <w:ind w:firstLine="420" w:firstLineChars="200"/>
              <w:textAlignment w:val="auto"/>
              <w:rPr>
                <w:rFonts w:hint="eastAsia" w:ascii="等线" w:hAnsi="等线" w:eastAsia="等线" w:cs="黑体"/>
                <w:color w:val="auto"/>
                <w:kern w:val="2"/>
                <w:sz w:val="21"/>
                <w:szCs w:val="22"/>
                <w:highlight w:val="none"/>
                <w:lang w:val="en-US" w:eastAsia="zh-CN" w:bidi="ar-SA"/>
              </w:rPr>
            </w:pPr>
            <w:r>
              <w:rPr>
                <w:rFonts w:hint="eastAsia" w:ascii="等线" w:hAnsi="等线" w:eastAsia="等线" w:cs="黑体"/>
                <w:color w:val="auto"/>
                <w:kern w:val="2"/>
                <w:sz w:val="21"/>
                <w:szCs w:val="22"/>
                <w:highlight w:val="none"/>
                <w:lang w:val="en-US" w:eastAsia="zh-CN" w:bidi="ar-SA"/>
              </w:rPr>
              <w:t>（</w:t>
            </w:r>
            <w:r>
              <w:rPr>
                <w:rFonts w:hint="eastAsia" w:cs="黑体"/>
                <w:color w:val="auto"/>
                <w:kern w:val="2"/>
                <w:sz w:val="21"/>
                <w:szCs w:val="22"/>
                <w:highlight w:val="none"/>
                <w:lang w:val="en-US" w:eastAsia="zh-CN" w:bidi="ar-SA"/>
              </w:rPr>
              <w:t>四</w:t>
            </w:r>
            <w:r>
              <w:rPr>
                <w:rFonts w:hint="eastAsia" w:ascii="等线" w:hAnsi="等线" w:eastAsia="等线" w:cs="黑体"/>
                <w:color w:val="auto"/>
                <w:kern w:val="2"/>
                <w:sz w:val="21"/>
                <w:szCs w:val="22"/>
                <w:highlight w:val="none"/>
                <w:lang w:val="en-US" w:eastAsia="zh-CN" w:bidi="ar-SA"/>
              </w:rPr>
              <w:t>）作好入河排污口规范化建设</w:t>
            </w:r>
            <w:r>
              <w:rPr>
                <w:rFonts w:hint="eastAsia" w:cs="黑体"/>
                <w:color w:val="auto"/>
                <w:kern w:val="2"/>
                <w:sz w:val="21"/>
                <w:szCs w:val="22"/>
                <w:highlight w:val="none"/>
                <w:lang w:val="en-US" w:eastAsia="zh-CN" w:bidi="ar-SA"/>
              </w:rPr>
              <w:t>；</w:t>
            </w:r>
          </w:p>
          <w:p w14:paraId="493D4D6D">
            <w:pPr>
              <w:keepNext w:val="0"/>
              <w:keepLines w:val="0"/>
              <w:pageBreakBefore w:val="0"/>
              <w:kinsoku/>
              <w:wordWrap/>
              <w:overflowPunct/>
              <w:topLinePunct w:val="0"/>
              <w:autoSpaceDE/>
              <w:autoSpaceDN/>
              <w:bidi w:val="0"/>
              <w:adjustRightInd/>
              <w:spacing w:line="360" w:lineRule="exact"/>
              <w:ind w:firstLine="420" w:firstLineChars="200"/>
              <w:textAlignment w:val="auto"/>
              <w:rPr>
                <w:rFonts w:hint="eastAsia" w:cs="黑体"/>
                <w:color w:val="auto"/>
                <w:kern w:val="2"/>
                <w:sz w:val="21"/>
                <w:szCs w:val="22"/>
                <w:highlight w:val="none"/>
                <w:lang w:val="en-US" w:eastAsia="zh-CN" w:bidi="ar-SA"/>
              </w:rPr>
            </w:pPr>
            <w:r>
              <w:rPr>
                <w:rFonts w:hint="eastAsia" w:ascii="等线" w:hAnsi="等线" w:eastAsia="等线" w:cs="黑体"/>
                <w:color w:val="auto"/>
                <w:kern w:val="2"/>
                <w:sz w:val="21"/>
                <w:szCs w:val="22"/>
                <w:highlight w:val="none"/>
                <w:lang w:val="en-US" w:eastAsia="zh-CN" w:bidi="ar-SA"/>
              </w:rPr>
              <w:t>（</w:t>
            </w:r>
            <w:r>
              <w:rPr>
                <w:rFonts w:hint="eastAsia" w:cs="黑体"/>
                <w:color w:val="auto"/>
                <w:kern w:val="2"/>
                <w:sz w:val="21"/>
                <w:szCs w:val="22"/>
                <w:highlight w:val="none"/>
                <w:lang w:val="en-US" w:eastAsia="zh-CN" w:bidi="ar-SA"/>
              </w:rPr>
              <w:t>五</w:t>
            </w:r>
            <w:r>
              <w:rPr>
                <w:rFonts w:hint="eastAsia" w:ascii="等线" w:hAnsi="等线" w:eastAsia="等线" w:cs="黑体"/>
                <w:color w:val="auto"/>
                <w:kern w:val="2"/>
                <w:sz w:val="21"/>
                <w:szCs w:val="22"/>
                <w:highlight w:val="none"/>
                <w:lang w:val="en-US" w:eastAsia="zh-CN" w:bidi="ar-SA"/>
              </w:rPr>
              <w:t>）入河排污口</w:t>
            </w:r>
            <w:r>
              <w:rPr>
                <w:rFonts w:hint="eastAsia" w:cs="黑体"/>
                <w:color w:val="auto"/>
                <w:kern w:val="2"/>
                <w:sz w:val="21"/>
                <w:szCs w:val="22"/>
                <w:highlight w:val="none"/>
                <w:lang w:val="en-US" w:eastAsia="zh-CN" w:bidi="ar-SA"/>
              </w:rPr>
              <w:t>排放</w:t>
            </w:r>
            <w:r>
              <w:rPr>
                <w:rFonts w:hint="eastAsia" w:ascii="等线" w:hAnsi="等线" w:eastAsia="等线" w:cs="黑体"/>
                <w:color w:val="auto"/>
                <w:kern w:val="2"/>
                <w:sz w:val="21"/>
                <w:szCs w:val="22"/>
                <w:highlight w:val="none"/>
                <w:lang w:val="en-US" w:eastAsia="zh-CN" w:bidi="ar-SA"/>
              </w:rPr>
              <w:t>位置、排放方式</w:t>
            </w:r>
            <w:r>
              <w:rPr>
                <w:rFonts w:hint="eastAsia" w:cs="黑体"/>
                <w:color w:val="auto"/>
                <w:kern w:val="2"/>
                <w:sz w:val="21"/>
                <w:szCs w:val="22"/>
                <w:highlight w:val="none"/>
                <w:lang w:val="en-US" w:eastAsia="zh-CN" w:bidi="ar-SA"/>
              </w:rPr>
              <w:t>等事项有重大改变，或排污能力提高，</w:t>
            </w:r>
            <w:r>
              <w:rPr>
                <w:rFonts w:hint="eastAsia" w:ascii="等线" w:hAnsi="等线" w:eastAsia="等线" w:cs="黑体"/>
                <w:color w:val="auto"/>
                <w:kern w:val="2"/>
                <w:sz w:val="21"/>
                <w:szCs w:val="22"/>
                <w:highlight w:val="none"/>
                <w:lang w:val="en-US" w:eastAsia="zh-CN" w:bidi="ar-SA"/>
              </w:rPr>
              <w:t>应重新办理入河排污口设置申请</w:t>
            </w:r>
            <w:r>
              <w:rPr>
                <w:rFonts w:hint="eastAsia" w:cs="黑体"/>
                <w:color w:val="auto"/>
                <w:kern w:val="2"/>
                <w:sz w:val="21"/>
                <w:szCs w:val="22"/>
                <w:highlight w:val="none"/>
                <w:lang w:val="en-US" w:eastAsia="zh-CN" w:bidi="ar-SA"/>
              </w:rPr>
              <w:t>；</w:t>
            </w:r>
          </w:p>
          <w:p w14:paraId="1BB08ACF">
            <w:pPr>
              <w:keepNext w:val="0"/>
              <w:keepLines w:val="0"/>
              <w:pageBreakBefore w:val="0"/>
              <w:kinsoku/>
              <w:wordWrap/>
              <w:overflowPunct/>
              <w:topLinePunct w:val="0"/>
              <w:autoSpaceDE/>
              <w:autoSpaceDN/>
              <w:bidi w:val="0"/>
              <w:adjustRightInd/>
              <w:spacing w:line="360" w:lineRule="exact"/>
              <w:ind w:firstLine="420" w:firstLineChars="200"/>
              <w:textAlignment w:val="auto"/>
              <w:rPr>
                <w:color w:val="auto"/>
              </w:rPr>
            </w:pPr>
            <w:r>
              <w:rPr>
                <w:rFonts w:hint="eastAsia" w:cs="黑体"/>
                <w:color w:val="auto"/>
                <w:kern w:val="2"/>
                <w:sz w:val="21"/>
                <w:szCs w:val="22"/>
                <w:highlight w:val="none"/>
                <w:lang w:val="en-US" w:eastAsia="zh-CN" w:bidi="ar-SA"/>
              </w:rPr>
              <w:t>（六）入河排污口责任主体名称、生产经营场所地址、法定代表人或主要负责人以及联系方式等信息发生变更的，应向审批部门申请办理决定书变更手续。</w:t>
            </w:r>
          </w:p>
        </w:tc>
      </w:tr>
    </w:tbl>
    <w:p w14:paraId="10913F6D">
      <w:pPr>
        <w:ind w:firstLine="1600" w:firstLineChars="500"/>
        <w:jc w:val="both"/>
        <w:rPr>
          <w:rFonts w:hint="default" w:ascii="Times New Roman" w:hAnsi="Times New Roman" w:eastAsia="仿宋_GB2312" w:cs="Times New Roman"/>
          <w:color w:val="auto"/>
          <w:sz w:val="32"/>
          <w:szCs w:val="32"/>
          <w:lang w:val="en-US" w:eastAsia="zh-CN"/>
        </w:rPr>
      </w:pPr>
    </w:p>
    <w:p w14:paraId="447EFD85">
      <w:pPr>
        <w:keepNext w:val="0"/>
        <w:keepLines w:val="0"/>
        <w:pageBreakBefore w:val="0"/>
        <w:widowControl w:val="0"/>
        <w:kinsoku/>
        <w:wordWrap/>
        <w:overflowPunct/>
        <w:topLinePunct w:val="0"/>
        <w:autoSpaceDE/>
        <w:autoSpaceDN/>
        <w:bidi w:val="0"/>
        <w:adjustRightInd/>
        <w:snapToGrid/>
        <w:ind w:firstLine="3840" w:firstLineChars="1200"/>
        <w:jc w:val="center"/>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本溪市生态环境局</w:t>
      </w:r>
    </w:p>
    <w:p w14:paraId="4BA3125D">
      <w:pPr>
        <w:keepNext w:val="0"/>
        <w:keepLines w:val="0"/>
        <w:pageBreakBefore w:val="0"/>
        <w:widowControl w:val="0"/>
        <w:kinsoku/>
        <w:wordWrap/>
        <w:overflowPunct/>
        <w:topLinePunct w:val="0"/>
        <w:autoSpaceDE/>
        <w:autoSpaceDN/>
        <w:bidi w:val="0"/>
        <w:adjustRightInd/>
        <w:snapToGrid/>
        <w:ind w:firstLine="3840" w:firstLineChars="1200"/>
        <w:jc w:val="center"/>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2025年</w:t>
      </w:r>
      <w:r>
        <w:rPr>
          <w:rFonts w:hint="eastAsia"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lang w:val="en-US" w:eastAsia="zh-CN"/>
        </w:rPr>
        <w:t>月</w:t>
      </w:r>
      <w:r>
        <w:rPr>
          <w:rFonts w:hint="eastAsia" w:ascii="Times New Roman" w:hAnsi="Times New Roman" w:eastAsia="仿宋_GB2312" w:cs="Times New Roman"/>
          <w:color w:val="auto"/>
          <w:sz w:val="32"/>
          <w:szCs w:val="32"/>
          <w:lang w:val="en-US" w:eastAsia="zh-CN"/>
        </w:rPr>
        <w:t>30</w:t>
      </w:r>
      <w:r>
        <w:rPr>
          <w:rFonts w:hint="default" w:ascii="Times New Roman" w:hAnsi="Times New Roman" w:eastAsia="仿宋_GB2312" w:cs="Times New Roman"/>
          <w:color w:val="auto"/>
          <w:sz w:val="32"/>
          <w:szCs w:val="32"/>
          <w:lang w:val="en-US" w:eastAsia="zh-CN"/>
        </w:rPr>
        <w:t>日</w:t>
      </w:r>
    </w:p>
    <w:p w14:paraId="58C464B1">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（此件公开发布）</w:t>
      </w:r>
    </w:p>
    <w:p w14:paraId="067890F7">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抄送：本溪市高新技术产业开发区生态环境分局、本溪市生态环境服务中心</w:t>
      </w:r>
    </w:p>
    <w:sectPr>
      <w:footerReference r:id="rId3" w:type="default"/>
      <w:pgSz w:w="11906" w:h="16838"/>
      <w:pgMar w:top="2154" w:right="1418" w:bottom="1984" w:left="1588"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5CBFF">
    <w:pPr>
      <w:pStyle w:val="5"/>
    </w:pPr>
    <w:r>
      <w:rPr>
        <w:rFonts w:ascii="等线" w:hAnsi="等线" w:eastAsia="等线" w:cs="黑体"/>
        <w:kern w:val="2"/>
        <w:sz w:val="18"/>
        <w:szCs w:val="22"/>
        <w:lang w:val="en-US" w:eastAsia="zh-CN" w:bidi="ar-SA"/>
      </w:rPr>
      <w:pict>
        <v:rect id="文本框 1" o:spid="_x0000_s4097" o:spt="1" style="position:absolute;left:0pt;margin-top:0pt;height:144pt;width:144pt;mso-position-horizontal:center;mso-position-horizontal-relative:margin;mso-wrap-style:none;z-index:251659264;mso-width-relative:page;mso-height-relative:page;" fillcolor="#FFFFFF" filled="f" o:preferrelative="t" stroked="f" coordsize="21600,21600">
          <v:path/>
          <v:fill on="f" color2="#FFFFFF" focussize="0,0"/>
          <v:stroke on="f"/>
          <v:imagedata gain="65536f" blacklevel="0f" gamma="0" o:title=""/>
          <o:lock v:ext="edit" position="f" selection="f" grouping="f" rotation="f" cropping="f" text="f" aspectratio="f"/>
          <v:textbox inset="0mm,0mm,0mm,0mm" style="mso-fit-shape-to-text:t;">
            <w:txbxContent>
              <w:p w14:paraId="6F5F04CD">
                <w:pPr>
                  <w:pStyle w:val="5"/>
                </w:pPr>
                <w:r>
                  <w:fldChar w:fldCharType="begin"/>
                </w:r>
                <w:r>
                  <w:instrText xml:space="preserve"> PAGE  \* MERGEFORMAT </w:instrText>
                </w:r>
                <w:r>
                  <w:fldChar w:fldCharType="separate"/>
                </w:r>
                <w:r>
                  <w:t>1</w:t>
                </w:r>
                <w:r>
                  <w:fldChar w:fldCharType="end"/>
                </w:r>
              </w:p>
            </w:txbxContent>
          </v:textbox>
        </v:rect>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0000"/>
    <w:rsid w:val="06942FE5"/>
    <w:rsid w:val="09A916D0"/>
    <w:rsid w:val="115B4B8E"/>
    <w:rsid w:val="133E02C4"/>
    <w:rsid w:val="16942624"/>
    <w:rsid w:val="17B172B6"/>
    <w:rsid w:val="186B3909"/>
    <w:rsid w:val="18EB5549"/>
    <w:rsid w:val="1B815DBB"/>
    <w:rsid w:val="1DF61BBA"/>
    <w:rsid w:val="1FA36E6C"/>
    <w:rsid w:val="2B1B219C"/>
    <w:rsid w:val="2C574478"/>
    <w:rsid w:val="2C8975F9"/>
    <w:rsid w:val="2FD14541"/>
    <w:rsid w:val="316C6853"/>
    <w:rsid w:val="357C2838"/>
    <w:rsid w:val="3743090A"/>
    <w:rsid w:val="38325D99"/>
    <w:rsid w:val="3982065B"/>
    <w:rsid w:val="3AA34D2C"/>
    <w:rsid w:val="3AA37F49"/>
    <w:rsid w:val="3B007E21"/>
    <w:rsid w:val="3D900539"/>
    <w:rsid w:val="3ED32646"/>
    <w:rsid w:val="5035633C"/>
    <w:rsid w:val="5253098E"/>
    <w:rsid w:val="54665C61"/>
    <w:rsid w:val="56500102"/>
    <w:rsid w:val="565B56A9"/>
    <w:rsid w:val="623E5FD0"/>
    <w:rsid w:val="64EF072B"/>
    <w:rsid w:val="65203B1E"/>
    <w:rsid w:val="6A042842"/>
    <w:rsid w:val="711A294B"/>
    <w:rsid w:val="71CA3730"/>
    <w:rsid w:val="72230F7B"/>
    <w:rsid w:val="7344735C"/>
    <w:rsid w:val="736F36F0"/>
    <w:rsid w:val="745B65AC"/>
    <w:rsid w:val="75A102A0"/>
    <w:rsid w:val="7665317A"/>
    <w:rsid w:val="7AA008BF"/>
    <w:rsid w:val="7B175A2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黑体"/>
      <w:kern w:val="2"/>
      <w:sz w:val="21"/>
      <w:szCs w:val="22"/>
      <w:lang w:val="en-US" w:eastAsia="zh-CN" w:bidi="ar-SA"/>
    </w:rPr>
  </w:style>
  <w:style w:type="paragraph" w:styleId="2">
    <w:name w:val="heading 1"/>
    <w:basedOn w:val="1"/>
    <w:next w:val="1"/>
    <w:qFormat/>
    <w:uiPriority w:val="9"/>
    <w:pPr>
      <w:keepNext/>
      <w:keepLines/>
      <w:spacing w:before="340" w:beforeAutospacing="0" w:after="330" w:afterAutospacing="0" w:line="576" w:lineRule="auto"/>
      <w:outlineLvl w:val="0"/>
    </w:pPr>
    <w:rPr>
      <w:b/>
      <w:kern w:val="44"/>
      <w:sz w:val="4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1"/>
    <w:qFormat/>
    <w:uiPriority w:val="0"/>
    <w:pPr>
      <w:spacing w:before="39"/>
      <w:ind w:left="111"/>
      <w:jc w:val="left"/>
    </w:pPr>
    <w:rPr>
      <w:rFonts w:ascii="仿宋_GB2312" w:hAnsi="仿宋_GB2312" w:eastAsia="仿宋_GB2312"/>
      <w:kern w:val="0"/>
      <w:sz w:val="30"/>
      <w:szCs w:val="30"/>
      <w:lang w:eastAsia="en-US"/>
    </w:rPr>
  </w:style>
  <w:style w:type="paragraph" w:styleId="4">
    <w:name w:val="Body Text Indent 2"/>
    <w:basedOn w:val="1"/>
    <w:next w:val="1"/>
    <w:qFormat/>
    <w:uiPriority w:val="0"/>
    <w:pPr>
      <w:spacing w:after="120" w:line="480" w:lineRule="auto"/>
      <w:ind w:left="420" w:leftChars="200" w:firstLine="200" w:firstLineChars="200"/>
    </w:pPr>
    <w:rPr>
      <w:szCs w:val="24"/>
    </w:rPr>
  </w:style>
  <w:style w:type="paragraph" w:styleId="5">
    <w:name w:val="footer"/>
    <w:basedOn w:val="1"/>
    <w:semiHidden/>
    <w:unhideWhenUsed/>
    <w:qFormat/>
    <w:uiPriority w:val="99"/>
    <w:pPr>
      <w:tabs>
        <w:tab w:val="center" w:pos="4153"/>
        <w:tab w:val="right" w:pos="8306"/>
      </w:tabs>
      <w:snapToGrid w:val="0"/>
      <w:jc w:val="left"/>
    </w:pPr>
    <w:rPr>
      <w:sz w:val="18"/>
    </w:rPr>
  </w:style>
  <w:style w:type="paragraph" w:styleId="6">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Body Text 2"/>
    <w:basedOn w:val="1"/>
    <w:qFormat/>
    <w:uiPriority w:val="0"/>
    <w:pPr>
      <w:spacing w:after="120" w:line="480" w:lineRule="auto"/>
    </w:pPr>
    <w:rPr>
      <w:rFonts w:ascii="Times New Roman" w:hAnsi="Times New Roman" w:cs="Times New Roman"/>
      <w:kern w:val="0"/>
      <w:szCs w:val="20"/>
    </w:rPr>
  </w:style>
  <w:style w:type="paragraph" w:styleId="8">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rPr>
  </w:style>
  <w:style w:type="character" w:styleId="11">
    <w:name w:val="page number"/>
    <w:basedOn w:val="10"/>
    <w:semiHidden/>
    <w:unhideWhenUsed/>
    <w:qFormat/>
    <w:uiPriority w:val="99"/>
    <w:rPr>
      <w:rFonts w:cs="Times New Roman"/>
    </w:rPr>
  </w:style>
  <w:style w:type="paragraph" w:customStyle="1" w:styleId="12">
    <w:name w:val="0正文"/>
    <w:basedOn w:val="1"/>
    <w:qFormat/>
    <w:uiPriority w:val="99"/>
    <w:pPr>
      <w:spacing w:line="360" w:lineRule="auto"/>
      <w:ind w:firstLine="720" w:firstLineChars="200"/>
      <w:jc w:val="left"/>
    </w:pPr>
    <w:rPr>
      <w:rFonts w:ascii="Times New Roman" w:hAnsi="Times New Roman"/>
      <w:kern w:val="0"/>
      <w:sz w:val="24"/>
    </w:rPr>
  </w:style>
  <w:style w:type="paragraph" w:customStyle="1" w:styleId="13">
    <w:name w:val="表格标题新"/>
    <w:basedOn w:val="1"/>
    <w:next w:val="1"/>
    <w:qFormat/>
    <w:uiPriority w:val="0"/>
    <w:pPr>
      <w:tabs>
        <w:tab w:val="left" w:pos="0"/>
      </w:tabs>
      <w:spacing w:before="120"/>
      <w:jc w:val="center"/>
    </w:pPr>
    <w:rPr>
      <w:rFonts w:ascii="黑体" w:eastAsia="黑体"/>
      <w:snapToGrid w:val="0"/>
      <w:spacing w:val="4"/>
      <w:kern w:val="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1617</Words>
  <Characters>1811</Characters>
  <Lines>2</Lines>
  <Paragraphs>1</Paragraphs>
  <TotalTime>5</TotalTime>
  <ScaleCrop>false</ScaleCrop>
  <LinksUpToDate>false</LinksUpToDate>
  <CharactersWithSpaces>1872</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2023-06-26T09:34:00Z</dcterms:created>
  <dc:creator>于恩军</dc:creator>
  <cp:lastModifiedBy>Administrator</cp:lastModifiedBy>
  <cp:lastPrinted>2025-06-30T06:50:06Z</cp:lastPrinted>
  <dcterms:modified xsi:type="dcterms:W3CDTF">2025-06-30T06:54:49Z</dcterms:modified>
  <dc:title>关于国控邱家断面2月数据为劣Ⅴ类的</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6084E023EA65453DA92827292A708185_13</vt:lpwstr>
  </property>
  <property fmtid="{D5CDD505-2E9C-101B-9397-08002B2CF9AE}" pid="4" name="KSOTemplateDocerSaveRecord">
    <vt:lpwstr>eyJoZGlkIjoiNWY1ZDgxNzJkMmE5YWM5NzAxNzgxMTVhNjdmMDIwMjUifQ==</vt:lpwstr>
  </property>
</Properties>
</file>