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DA34D">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712AEED2">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0C7C957F">
      <w:pPr>
        <w:widowControl w:val="0"/>
        <w:wordWrap/>
        <w:adjustRightInd/>
        <w:snapToGrid/>
        <w:spacing w:line="578" w:lineRule="exact"/>
        <w:textAlignment w:val="auto"/>
        <w:rPr>
          <w:rFonts w:hint="eastAsia" w:ascii="Times New Roman" w:hAnsi="Times New Roman" w:eastAsia="仿宋_GB2312" w:cs="Times New Roman"/>
          <w:b/>
          <w:bCs/>
          <w:color w:val="auto"/>
          <w:sz w:val="32"/>
          <w:szCs w:val="32"/>
          <w:lang w:eastAsia="zh-CN"/>
        </w:rPr>
      </w:pPr>
    </w:p>
    <w:p w14:paraId="651B22C8">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本溪市生态环境局同意设置本溪市平山区</w:t>
      </w:r>
    </w:p>
    <w:p w14:paraId="1A7BE3E7">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科态水务有限责任公司入河排污口决定书</w:t>
      </w:r>
    </w:p>
    <w:p w14:paraId="0B07DB81">
      <w:pPr>
        <w:keepNext w:val="0"/>
        <w:keepLines w:val="0"/>
        <w:pageBreakBefore w:val="0"/>
        <w:widowControl w:val="0"/>
        <w:kinsoku/>
        <w:wordWrap/>
        <w:overflowPunct/>
        <w:topLinePunct w:val="0"/>
        <w:autoSpaceDE/>
        <w:autoSpaceDN/>
        <w:bidi w:val="0"/>
        <w:adjustRightInd/>
        <w:snapToGrid/>
        <w:spacing w:line="800" w:lineRule="exact"/>
        <w:jc w:val="right"/>
        <w:textAlignment w:val="auto"/>
        <w:rPr>
          <w:rFonts w:hint="eastAsia" w:ascii="Times New Roman" w:hAnsi="Times New Roman" w:eastAsia="仿宋_GB2312" w:cs="Times New Roman"/>
          <w:color w:val="auto"/>
          <w:spacing w:val="0"/>
          <w:w w:val="100"/>
          <w:sz w:val="32"/>
          <w:szCs w:val="32"/>
          <w:lang w:val="en-US" w:eastAsia="zh-CN"/>
        </w:rPr>
      </w:pPr>
      <w:r>
        <w:rPr>
          <w:rFonts w:hint="eastAsia" w:ascii="Times New Roman" w:hAnsi="Times New Roman" w:eastAsia="仿宋_GB2312" w:cs="Times New Roman"/>
          <w:color w:val="auto"/>
          <w:spacing w:val="0"/>
          <w:w w:val="100"/>
          <w:sz w:val="32"/>
          <w:szCs w:val="32"/>
          <w:lang w:eastAsia="zh-CN"/>
        </w:rPr>
        <w:t>本环排决</w:t>
      </w:r>
      <w:r>
        <w:rPr>
          <w:rFonts w:hint="default" w:ascii="Times New Roman" w:hAnsi="Times New Roman" w:eastAsia="仿宋_GB2312" w:cs="Times New Roman"/>
          <w:color w:val="auto"/>
          <w:spacing w:val="0"/>
          <w:w w:val="100"/>
          <w:sz w:val="32"/>
          <w:szCs w:val="32"/>
          <w:lang w:eastAsia="zh-CN"/>
        </w:rPr>
        <w:t>〔</w:t>
      </w:r>
      <w:r>
        <w:rPr>
          <w:rFonts w:hint="default" w:ascii="Times New Roman" w:hAnsi="Times New Roman" w:eastAsia="仿宋_GB2312" w:cs="Times New Roman"/>
          <w:color w:val="auto"/>
          <w:spacing w:val="0"/>
          <w:w w:val="100"/>
          <w:sz w:val="32"/>
          <w:szCs w:val="32"/>
          <w:lang w:val="en-US" w:eastAsia="zh-CN"/>
        </w:rPr>
        <w:t>2025</w:t>
      </w:r>
      <w:r>
        <w:rPr>
          <w:rFonts w:hint="default" w:ascii="Times New Roman" w:hAnsi="Times New Roman" w:eastAsia="仿宋_GB2312" w:cs="Times New Roman"/>
          <w:color w:val="auto"/>
          <w:spacing w:val="0"/>
          <w:w w:val="100"/>
          <w:sz w:val="32"/>
          <w:szCs w:val="32"/>
          <w:lang w:eastAsia="zh-CN"/>
        </w:rPr>
        <w:t>〕</w:t>
      </w:r>
      <w:r>
        <w:rPr>
          <w:rFonts w:hint="eastAsia" w:ascii="Times New Roman" w:hAnsi="Times New Roman" w:eastAsia="仿宋_GB2312" w:cs="Times New Roman"/>
          <w:color w:val="auto"/>
          <w:spacing w:val="0"/>
          <w:w w:val="100"/>
          <w:sz w:val="32"/>
          <w:szCs w:val="32"/>
          <w:lang w:val="en-US" w:eastAsia="zh-CN"/>
        </w:rPr>
        <w:t>1号</w:t>
      </w:r>
    </w:p>
    <w:p w14:paraId="4FBC3F53">
      <w:pPr>
        <w:widowControl w:val="0"/>
        <w:wordWrap/>
        <w:adjustRightInd/>
        <w:snapToGrid/>
        <w:spacing w:line="570" w:lineRule="exact"/>
        <w:jc w:val="both"/>
        <w:textAlignment w:val="auto"/>
        <w:rPr>
          <w:rFonts w:hint="eastAsia"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本溪市平山区科态水务有限责任公司：</w:t>
      </w:r>
    </w:p>
    <w:p w14:paraId="570C5E5C">
      <w:pPr>
        <w:widowControl w:val="0"/>
        <w:wordWrap/>
        <w:adjustRightInd/>
        <w:snapToGrid/>
        <w:spacing w:line="570" w:lineRule="exact"/>
        <w:ind w:firstLine="640" w:firstLineChars="200"/>
        <w:jc w:val="left"/>
        <w:textAlignment w:val="auto"/>
        <w:rPr>
          <w:rFonts w:hint="default"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你单位于2025年6月27日向我部门提出了本溪市平山区科态水务有限责任公司入河排污口设置申请。经审查，根据《中华人民共和国行政许可法》《入河排污口监督管理办法》（生态环境部令第35号）的规定，同意本溪市平山区科态水务有限责任公司入河排污口设置决定如下：</w:t>
      </w:r>
    </w:p>
    <w:tbl>
      <w:tblPr>
        <w:tblStyle w:val="9"/>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1133"/>
        <w:gridCol w:w="851"/>
        <w:gridCol w:w="426"/>
        <w:gridCol w:w="1134"/>
        <w:gridCol w:w="1418"/>
        <w:gridCol w:w="1153"/>
      </w:tblGrid>
      <w:tr w14:paraId="528E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2830" w:type="dxa"/>
            <w:vAlign w:val="center"/>
          </w:tcPr>
          <w:p w14:paraId="066E8913">
            <w:pPr>
              <w:pStyle w:val="3"/>
              <w:spacing w:before="0" w:line="360" w:lineRule="exact"/>
              <w:ind w:left="0"/>
              <w:jc w:val="center"/>
              <w:rPr>
                <w:rFonts w:ascii="Times New Roman" w:hAnsi="Times New Roman" w:eastAsia="宋体"/>
                <w:kern w:val="2"/>
                <w:sz w:val="21"/>
                <w:szCs w:val="21"/>
                <w:lang w:eastAsia="zh-CN"/>
              </w:rPr>
            </w:pPr>
            <w:r>
              <w:rPr>
                <w:rFonts w:ascii="Times New Roman" w:hAnsi="Times New Roman"/>
                <w:szCs w:val="21"/>
                <w:lang w:eastAsia="zh-CN"/>
              </w:rPr>
              <w:br w:type="page"/>
            </w:r>
            <w:r>
              <w:rPr>
                <w:rFonts w:hint="eastAsia" w:ascii="Times New Roman" w:hAnsi="Times New Roman" w:eastAsia="宋体"/>
                <w:kern w:val="2"/>
                <w:sz w:val="21"/>
                <w:szCs w:val="21"/>
                <w:lang w:eastAsia="zh-CN"/>
              </w:rPr>
              <w:t>入河排污口类型</w:t>
            </w:r>
          </w:p>
        </w:tc>
        <w:tc>
          <w:tcPr>
            <w:tcW w:w="6115" w:type="dxa"/>
            <w:gridSpan w:val="6"/>
            <w:vAlign w:val="center"/>
          </w:tcPr>
          <w:p w14:paraId="2061CD58">
            <w:pPr>
              <w:widowControl/>
              <w:spacing w:line="360" w:lineRule="exact"/>
            </w:pPr>
            <w:r>
              <w:rPr>
                <w:szCs w:val="20"/>
              </w:rPr>
              <w:sym w:font="Wingdings 2" w:char="00A3"/>
            </w:r>
            <w:r>
              <w:rPr>
                <w:rFonts w:hint="eastAsia"/>
              </w:rPr>
              <w:t>工矿企业入河排污口</w:t>
            </w:r>
          </w:p>
          <w:p w14:paraId="06EABB70">
            <w:pPr>
              <w:widowControl/>
              <w:spacing w:line="360" w:lineRule="exact"/>
            </w:pPr>
            <w:r>
              <w:rPr>
                <w:szCs w:val="20"/>
              </w:rPr>
              <w:sym w:font="Wingdings 2" w:char="00A3"/>
            </w:r>
            <w:r>
              <w:rPr>
                <w:rFonts w:hint="eastAsia"/>
              </w:rPr>
              <w:t>工业及其他各类园区污水处理厂入河排污口</w:t>
            </w:r>
          </w:p>
          <w:p w14:paraId="07F67238">
            <w:pPr>
              <w:widowControl/>
              <w:spacing w:line="360" w:lineRule="exact"/>
            </w:pPr>
            <w:r>
              <w:rPr>
                <w:rFonts w:hint="eastAsia"/>
                <w:szCs w:val="20"/>
                <w:lang w:eastAsia="zh-CN"/>
              </w:rPr>
              <w:t>☑</w:t>
            </w:r>
            <w:r>
              <w:rPr>
                <w:rFonts w:hint="eastAsia"/>
              </w:rPr>
              <w:t>城镇污水处理厂入河排污口</w:t>
            </w:r>
          </w:p>
          <w:p w14:paraId="08AD2371">
            <w:pPr>
              <w:widowControl/>
              <w:spacing w:line="360" w:lineRule="exact"/>
            </w:pPr>
            <w:r>
              <w:rPr>
                <w:szCs w:val="20"/>
              </w:rPr>
              <w:sym w:font="Wingdings 2" w:char="00A3"/>
            </w:r>
            <w:r>
              <w:rPr>
                <w:rFonts w:hint="eastAsia"/>
                <w:szCs w:val="20"/>
              </w:rPr>
              <w:t>其他参照上述管理的入河排污口_</w:t>
            </w:r>
            <w:r>
              <w:rPr>
                <w:szCs w:val="20"/>
              </w:rPr>
              <w:t>______________</w:t>
            </w:r>
          </w:p>
        </w:tc>
      </w:tr>
      <w:tr w14:paraId="243F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4193C16C">
            <w:pPr>
              <w:widowControl/>
              <w:spacing w:line="360" w:lineRule="exact"/>
              <w:jc w:val="center"/>
              <w:rPr>
                <w:szCs w:val="21"/>
              </w:rPr>
            </w:pPr>
            <w:r>
              <w:rPr>
                <w:rFonts w:hint="eastAsia"/>
                <w:szCs w:val="21"/>
              </w:rPr>
              <w:t>入河排污口名称</w:t>
            </w:r>
          </w:p>
        </w:tc>
        <w:tc>
          <w:tcPr>
            <w:tcW w:w="6115" w:type="dxa"/>
            <w:gridSpan w:val="6"/>
            <w:vAlign w:val="center"/>
          </w:tcPr>
          <w:p w14:paraId="13D097CF">
            <w:pPr>
              <w:widowControl/>
              <w:spacing w:line="360" w:lineRule="exact"/>
              <w:jc w:val="both"/>
              <w:rPr>
                <w:szCs w:val="20"/>
              </w:rPr>
            </w:pPr>
            <w:r>
              <w:rPr>
                <w:rFonts w:hint="eastAsia"/>
                <w:szCs w:val="21"/>
                <w:lang w:eastAsia="zh-CN"/>
              </w:rPr>
              <w:t>本溪市平山区科态水务有限责任公司排污口</w:t>
            </w:r>
          </w:p>
        </w:tc>
      </w:tr>
      <w:tr w14:paraId="45EB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0626511C">
            <w:pPr>
              <w:widowControl/>
              <w:spacing w:line="360" w:lineRule="exact"/>
              <w:jc w:val="center"/>
              <w:rPr>
                <w:szCs w:val="21"/>
              </w:rPr>
            </w:pPr>
            <w:r>
              <w:rPr>
                <w:rFonts w:hint="eastAsia"/>
                <w:szCs w:val="21"/>
              </w:rPr>
              <w:t>入河排污口编码</w:t>
            </w:r>
          </w:p>
        </w:tc>
        <w:tc>
          <w:tcPr>
            <w:tcW w:w="6115" w:type="dxa"/>
            <w:gridSpan w:val="6"/>
            <w:vAlign w:val="center"/>
          </w:tcPr>
          <w:p w14:paraId="723919C3">
            <w:pPr>
              <w:widowControl/>
              <w:spacing w:line="360" w:lineRule="exact"/>
              <w:rPr>
                <w:szCs w:val="20"/>
              </w:rPr>
            </w:pPr>
            <w:r>
              <w:rPr>
                <w:rFonts w:hint="eastAsia"/>
                <w:szCs w:val="20"/>
                <w:lang w:val="en-US" w:eastAsia="zh-CN"/>
              </w:rPr>
              <w:t>BA-210502-0006-SH-00</w:t>
            </w:r>
          </w:p>
        </w:tc>
      </w:tr>
      <w:tr w14:paraId="49E7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7D411F90">
            <w:pPr>
              <w:widowControl/>
              <w:spacing w:line="360" w:lineRule="exact"/>
              <w:jc w:val="center"/>
              <w:rPr>
                <w:szCs w:val="21"/>
              </w:rPr>
            </w:pPr>
            <w:r>
              <w:rPr>
                <w:rFonts w:hint="eastAsia"/>
                <w:szCs w:val="21"/>
              </w:rPr>
              <w:t>设置类型</w:t>
            </w:r>
          </w:p>
        </w:tc>
        <w:tc>
          <w:tcPr>
            <w:tcW w:w="6115" w:type="dxa"/>
            <w:gridSpan w:val="6"/>
            <w:vAlign w:val="center"/>
          </w:tcPr>
          <w:p w14:paraId="7BB502CF">
            <w:pPr>
              <w:widowControl/>
              <w:spacing w:line="360" w:lineRule="exact"/>
              <w:rPr>
                <w:szCs w:val="20"/>
              </w:rPr>
            </w:pPr>
            <w:r>
              <w:rPr>
                <w:rFonts w:hint="eastAsia"/>
                <w:szCs w:val="20"/>
                <w:lang w:eastAsia="zh-CN"/>
              </w:rPr>
              <w:t>☑</w:t>
            </w:r>
            <w:r>
              <w:rPr>
                <w:rFonts w:hint="eastAsia"/>
                <w:szCs w:val="21"/>
              </w:rPr>
              <w:t>新设</w:t>
            </w:r>
            <w:r>
              <w:rPr>
                <w:szCs w:val="20"/>
              </w:rPr>
              <w:t xml:space="preserve">  </w:t>
            </w:r>
            <w:r>
              <w:rPr>
                <w:szCs w:val="20"/>
              </w:rPr>
              <w:sym w:font="Wingdings 2" w:char="00A3"/>
            </w:r>
            <w:r>
              <w:rPr>
                <w:rFonts w:hint="eastAsia"/>
                <w:szCs w:val="21"/>
              </w:rPr>
              <w:t>改设</w:t>
            </w:r>
            <w:r>
              <w:rPr>
                <w:szCs w:val="20"/>
              </w:rPr>
              <w:t xml:space="preserve">  </w:t>
            </w:r>
            <w:r>
              <w:rPr>
                <w:szCs w:val="20"/>
              </w:rPr>
              <w:sym w:font="Wingdings 2" w:char="00A3"/>
            </w:r>
            <w:r>
              <w:rPr>
                <w:rFonts w:hint="eastAsia"/>
                <w:szCs w:val="21"/>
              </w:rPr>
              <w:t>扩大</w:t>
            </w:r>
            <w:r>
              <w:rPr>
                <w:szCs w:val="20"/>
                <w:lang w:val="en"/>
              </w:rPr>
              <w:t xml:space="preserve"> </w:t>
            </w:r>
            <w:r>
              <w:rPr>
                <w:rFonts w:hint="eastAsia"/>
                <w:szCs w:val="20"/>
              </w:rPr>
              <w:t xml:space="preserve"> </w:t>
            </w:r>
          </w:p>
        </w:tc>
      </w:tr>
      <w:tr w14:paraId="04B8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945" w:type="dxa"/>
            <w:gridSpan w:val="7"/>
            <w:vAlign w:val="center"/>
          </w:tcPr>
          <w:p w14:paraId="01D571CB">
            <w:pPr>
              <w:widowControl/>
              <w:spacing w:line="360" w:lineRule="exact"/>
              <w:rPr>
                <w:szCs w:val="20"/>
              </w:rPr>
            </w:pPr>
            <w:r>
              <w:rPr>
                <w:rFonts w:hint="eastAsia"/>
                <w:szCs w:val="20"/>
                <w:highlight w:val="none"/>
              </w:rPr>
              <w:t>责任主体基本情况</w:t>
            </w:r>
          </w:p>
        </w:tc>
      </w:tr>
      <w:tr w14:paraId="7185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5" w:type="dxa"/>
            <w:gridSpan w:val="7"/>
            <w:vAlign w:val="center"/>
          </w:tcPr>
          <w:p w14:paraId="01C7B0FE">
            <w:pPr>
              <w:widowControl/>
              <w:spacing w:line="360" w:lineRule="exact"/>
              <w:rPr>
                <w:kern w:val="0"/>
                <w:szCs w:val="21"/>
              </w:rPr>
            </w:pPr>
            <w:r>
              <w:rPr>
                <w:rFonts w:hint="eastAsia"/>
                <w:kern w:val="0"/>
                <w:szCs w:val="21"/>
              </w:rPr>
              <w:t>责任主体名称：</w:t>
            </w:r>
            <w:r>
              <w:rPr>
                <w:rFonts w:hint="eastAsia"/>
                <w:kern w:val="0"/>
                <w:szCs w:val="21"/>
                <w:lang w:val="en-US" w:eastAsia="zh-CN"/>
              </w:rPr>
              <w:t>本溪市</w:t>
            </w:r>
            <w:r>
              <w:rPr>
                <w:rFonts w:hint="eastAsia"/>
                <w:szCs w:val="21"/>
                <w:lang w:eastAsia="zh-CN"/>
              </w:rPr>
              <w:t>平山区科态水务有限责任公司</w:t>
            </w:r>
          </w:p>
        </w:tc>
      </w:tr>
      <w:tr w14:paraId="4571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2830" w:type="dxa"/>
            <w:vAlign w:val="center"/>
          </w:tcPr>
          <w:p w14:paraId="1ADF8AD4">
            <w:pPr>
              <w:widowControl/>
              <w:spacing w:line="360" w:lineRule="exact"/>
              <w:jc w:val="center"/>
              <w:rPr>
                <w:kern w:val="0"/>
                <w:szCs w:val="21"/>
              </w:rPr>
            </w:pPr>
            <w:r>
              <w:rPr>
                <w:rFonts w:hint="eastAsia"/>
                <w:kern w:val="0"/>
                <w:szCs w:val="21"/>
              </w:rPr>
              <w:t>详细地址</w:t>
            </w:r>
          </w:p>
        </w:tc>
        <w:tc>
          <w:tcPr>
            <w:tcW w:w="6115" w:type="dxa"/>
            <w:gridSpan w:val="6"/>
            <w:vAlign w:val="center"/>
          </w:tcPr>
          <w:p w14:paraId="0096292F">
            <w:pPr>
              <w:widowControl/>
              <w:spacing w:line="360" w:lineRule="exact"/>
              <w:rPr>
                <w:kern w:val="0"/>
                <w:szCs w:val="21"/>
              </w:rPr>
            </w:pPr>
            <w:r>
              <w:rPr>
                <w:rFonts w:hint="eastAsia"/>
                <w:szCs w:val="21"/>
                <w:u w:val="single"/>
                <w:lang w:val="en-US" w:eastAsia="zh-CN"/>
              </w:rPr>
              <w:t>辽宁</w:t>
            </w:r>
            <w:r>
              <w:rPr>
                <w:rFonts w:hint="eastAsia"/>
                <w:szCs w:val="21"/>
              </w:rPr>
              <w:t>省</w:t>
            </w:r>
            <w:r>
              <w:rPr>
                <w:rFonts w:hint="eastAsia"/>
                <w:szCs w:val="21"/>
                <w:u w:val="single"/>
                <w:lang w:val="en-US" w:eastAsia="zh-CN"/>
              </w:rPr>
              <w:t>本溪</w:t>
            </w:r>
            <w:r>
              <w:rPr>
                <w:rFonts w:hint="eastAsia"/>
                <w:szCs w:val="21"/>
              </w:rPr>
              <w:t>市</w:t>
            </w:r>
            <w:r>
              <w:rPr>
                <w:rFonts w:hint="eastAsia"/>
                <w:szCs w:val="21"/>
                <w:u w:val="single"/>
                <w:lang w:val="en-US" w:eastAsia="zh-CN"/>
              </w:rPr>
              <w:t>平山</w:t>
            </w:r>
            <w:r>
              <w:rPr>
                <w:rFonts w:hint="eastAsia"/>
                <w:szCs w:val="21"/>
              </w:rPr>
              <w:t>区</w:t>
            </w:r>
            <w:r>
              <w:rPr>
                <w:rFonts w:hint="eastAsia"/>
                <w:szCs w:val="21"/>
                <w:u w:val="single"/>
                <w:lang w:val="en-US" w:eastAsia="zh-CN"/>
              </w:rPr>
              <w:t>桥头</w:t>
            </w:r>
            <w:r>
              <w:rPr>
                <w:rFonts w:hint="eastAsia"/>
                <w:szCs w:val="21"/>
              </w:rPr>
              <w:t>街道</w:t>
            </w:r>
            <w:r>
              <w:rPr>
                <w:rFonts w:hint="eastAsia"/>
                <w:szCs w:val="21"/>
                <w:u w:val="single"/>
                <w:lang w:val="en-US" w:eastAsia="zh-CN"/>
              </w:rPr>
              <w:t>岭下</w:t>
            </w:r>
            <w:r>
              <w:rPr>
                <w:rFonts w:hint="eastAsia"/>
                <w:szCs w:val="21"/>
              </w:rPr>
              <w:t>村（社区）</w:t>
            </w:r>
            <w:r>
              <w:rPr>
                <w:rFonts w:hint="eastAsia"/>
                <w:szCs w:val="21"/>
                <w:u w:val="single"/>
                <w:lang w:val="en-US" w:eastAsia="zh-CN"/>
              </w:rPr>
              <w:t>榆树林子</w:t>
            </w:r>
          </w:p>
        </w:tc>
      </w:tr>
      <w:tr w14:paraId="63D2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830" w:type="dxa"/>
            <w:vAlign w:val="center"/>
          </w:tcPr>
          <w:p w14:paraId="742BE99C">
            <w:pPr>
              <w:widowControl/>
              <w:spacing w:line="360" w:lineRule="exact"/>
              <w:jc w:val="center"/>
              <w:rPr>
                <w:szCs w:val="21"/>
              </w:rPr>
            </w:pPr>
            <w:r>
              <w:rPr>
                <w:rFonts w:hint="eastAsia"/>
                <w:szCs w:val="21"/>
              </w:rPr>
              <w:t>统一社会信用代码</w:t>
            </w:r>
          </w:p>
        </w:tc>
        <w:tc>
          <w:tcPr>
            <w:tcW w:w="6115" w:type="dxa"/>
            <w:gridSpan w:val="6"/>
            <w:vAlign w:val="center"/>
          </w:tcPr>
          <w:p w14:paraId="29163B35">
            <w:pPr>
              <w:widowControl/>
              <w:spacing w:line="360" w:lineRule="exact"/>
            </w:pPr>
            <w:r>
              <w:rPr>
                <w:rFonts w:hint="eastAsia"/>
                <w:highlight w:val="none"/>
                <w:lang w:val="en-US" w:eastAsia="zh-CN"/>
              </w:rPr>
              <w:t>91210500MA0YQ1782N</w:t>
            </w:r>
          </w:p>
        </w:tc>
      </w:tr>
      <w:tr w14:paraId="46BF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vAlign w:val="center"/>
          </w:tcPr>
          <w:p w14:paraId="3F9B3E20">
            <w:pPr>
              <w:widowControl/>
              <w:spacing w:line="360" w:lineRule="exact"/>
              <w:jc w:val="center"/>
              <w:rPr>
                <w:szCs w:val="21"/>
              </w:rPr>
            </w:pPr>
            <w:r>
              <w:rPr>
                <w:rFonts w:hint="eastAsia"/>
                <w:szCs w:val="21"/>
              </w:rPr>
              <w:t>法定代表人及联系电话</w:t>
            </w:r>
          </w:p>
        </w:tc>
        <w:tc>
          <w:tcPr>
            <w:tcW w:w="6115" w:type="dxa"/>
            <w:gridSpan w:val="6"/>
            <w:vAlign w:val="center"/>
          </w:tcPr>
          <w:p w14:paraId="5D064964">
            <w:pPr>
              <w:widowControl/>
              <w:spacing w:line="360" w:lineRule="exact"/>
            </w:pPr>
            <w:r>
              <w:rPr>
                <w:rFonts w:hint="eastAsia"/>
              </w:rPr>
              <w:t>姓名：</w:t>
            </w:r>
            <w:r>
              <w:rPr>
                <w:rFonts w:hint="eastAsia"/>
                <w:highlight w:val="none"/>
                <w:lang w:val="en-US" w:eastAsia="zh-CN"/>
              </w:rPr>
              <w:t>荆灵</w:t>
            </w:r>
            <w:r>
              <w:rPr>
                <w:highlight w:val="none"/>
              </w:rPr>
              <w:t xml:space="preserve">      </w:t>
            </w:r>
            <w:r>
              <w:rPr>
                <w:highlight w:val="none"/>
                <w:lang w:val="en"/>
              </w:rPr>
              <w:t xml:space="preserve"> </w:t>
            </w:r>
            <w:r>
              <w:rPr>
                <w:rFonts w:hint="eastAsia"/>
                <w:szCs w:val="21"/>
                <w:highlight w:val="none"/>
              </w:rPr>
              <w:t>联系电话：</w:t>
            </w:r>
            <w:r>
              <w:rPr>
                <w:rFonts w:hint="eastAsia"/>
                <w:szCs w:val="21"/>
                <w:highlight w:val="none"/>
                <w:lang w:val="en-US" w:eastAsia="zh-CN"/>
              </w:rPr>
              <w:t>13841488608</w:t>
            </w:r>
            <w:r>
              <w:rPr>
                <w:szCs w:val="21"/>
                <w:highlight w:val="none"/>
              </w:rPr>
              <w:t xml:space="preserve"> </w:t>
            </w:r>
            <w:r>
              <w:rPr>
                <w:szCs w:val="21"/>
              </w:rPr>
              <w:t xml:space="preserve">               </w:t>
            </w:r>
          </w:p>
        </w:tc>
      </w:tr>
      <w:tr w14:paraId="3E41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vAlign w:val="center"/>
          </w:tcPr>
          <w:p w14:paraId="6481C301">
            <w:pPr>
              <w:widowControl/>
              <w:spacing w:line="360" w:lineRule="exact"/>
              <w:jc w:val="center"/>
              <w:rPr>
                <w:szCs w:val="21"/>
              </w:rPr>
            </w:pPr>
            <w:r>
              <w:rPr>
                <w:rFonts w:hint="eastAsia"/>
                <w:szCs w:val="21"/>
              </w:rPr>
              <w:t>行业类别</w:t>
            </w:r>
          </w:p>
        </w:tc>
        <w:tc>
          <w:tcPr>
            <w:tcW w:w="6115" w:type="dxa"/>
            <w:gridSpan w:val="6"/>
            <w:vAlign w:val="center"/>
          </w:tcPr>
          <w:p w14:paraId="73426DB1">
            <w:pPr>
              <w:widowControl/>
              <w:spacing w:line="360" w:lineRule="exact"/>
            </w:pPr>
            <w:r>
              <w:rPr>
                <w:rFonts w:hint="eastAsia"/>
                <w:color w:val="auto"/>
              </w:rPr>
              <w:t>4620 污水处理及其再生利用</w:t>
            </w:r>
          </w:p>
        </w:tc>
      </w:tr>
      <w:tr w14:paraId="30D6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30" w:type="dxa"/>
            <w:vAlign w:val="center"/>
          </w:tcPr>
          <w:p w14:paraId="0DF3E795">
            <w:pPr>
              <w:widowControl/>
              <w:spacing w:line="360" w:lineRule="exact"/>
              <w:jc w:val="center"/>
              <w:rPr>
                <w:szCs w:val="21"/>
              </w:rPr>
            </w:pPr>
            <w:r>
              <w:rPr>
                <w:rFonts w:hint="eastAsia"/>
                <w:szCs w:val="20"/>
              </w:rPr>
              <w:t>排污许可证或排污登记编号</w:t>
            </w:r>
          </w:p>
        </w:tc>
        <w:tc>
          <w:tcPr>
            <w:tcW w:w="6115" w:type="dxa"/>
            <w:gridSpan w:val="6"/>
            <w:vAlign w:val="center"/>
          </w:tcPr>
          <w:p w14:paraId="43F57093">
            <w:pPr>
              <w:widowControl/>
              <w:spacing w:line="360" w:lineRule="exact"/>
              <w:rPr>
                <w:rFonts w:hint="default" w:eastAsia="宋体"/>
                <w:lang w:val="en-US" w:eastAsia="zh-CN"/>
              </w:rPr>
            </w:pPr>
            <w:r>
              <w:rPr>
                <w:rFonts w:hint="eastAsia"/>
                <w:lang w:val="en-US" w:eastAsia="zh-CN"/>
              </w:rPr>
              <w:t>91210500MA0YQ1782N001Q</w:t>
            </w:r>
          </w:p>
        </w:tc>
      </w:tr>
      <w:tr w14:paraId="7298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restart"/>
            <w:vAlign w:val="center"/>
          </w:tcPr>
          <w:p w14:paraId="76A6F90E">
            <w:pPr>
              <w:widowControl/>
              <w:spacing w:line="360" w:lineRule="exact"/>
              <w:jc w:val="center"/>
              <w:rPr>
                <w:szCs w:val="21"/>
              </w:rPr>
            </w:pPr>
            <w:r>
              <w:rPr>
                <w:rFonts w:hint="eastAsia"/>
                <w:szCs w:val="21"/>
              </w:rPr>
              <w:t>入河排污口</w:t>
            </w:r>
          </w:p>
          <w:p w14:paraId="6ACF4262">
            <w:pPr>
              <w:widowControl/>
              <w:spacing w:line="360" w:lineRule="exact"/>
              <w:jc w:val="center"/>
              <w:rPr>
                <w:szCs w:val="21"/>
              </w:rPr>
            </w:pPr>
            <w:r>
              <w:rPr>
                <w:rFonts w:hint="eastAsia"/>
                <w:szCs w:val="21"/>
              </w:rPr>
              <w:t>设置地点</w:t>
            </w:r>
          </w:p>
        </w:tc>
        <w:tc>
          <w:tcPr>
            <w:tcW w:w="6115" w:type="dxa"/>
            <w:gridSpan w:val="6"/>
            <w:vAlign w:val="center"/>
          </w:tcPr>
          <w:p w14:paraId="37FAD612">
            <w:pPr>
              <w:widowControl/>
              <w:spacing w:line="360" w:lineRule="exact"/>
              <w:rPr>
                <w:szCs w:val="21"/>
                <w:highlight w:val="none"/>
              </w:rPr>
            </w:pPr>
            <w:r>
              <w:rPr>
                <w:rFonts w:hint="eastAsia"/>
                <w:szCs w:val="21"/>
                <w:highlight w:val="none"/>
              </w:rPr>
              <w:t>所在行政区域：</w:t>
            </w:r>
            <w:r>
              <w:rPr>
                <w:szCs w:val="21"/>
                <w:highlight w:val="none"/>
                <w:u w:val="single"/>
              </w:rPr>
              <w:t xml:space="preserve"> </w:t>
            </w:r>
            <w:r>
              <w:rPr>
                <w:rFonts w:hint="eastAsia"/>
                <w:szCs w:val="21"/>
                <w:highlight w:val="none"/>
                <w:u w:val="single"/>
                <w:lang w:val="en-US" w:eastAsia="zh-CN"/>
              </w:rPr>
              <w:t>辽宁</w:t>
            </w:r>
            <w:r>
              <w:rPr>
                <w:rFonts w:hint="eastAsia"/>
                <w:szCs w:val="21"/>
                <w:highlight w:val="none"/>
              </w:rPr>
              <w:t>省</w:t>
            </w:r>
            <w:r>
              <w:rPr>
                <w:rFonts w:hint="eastAsia"/>
                <w:szCs w:val="21"/>
                <w:highlight w:val="none"/>
                <w:u w:val="single"/>
                <w:lang w:val="en-US" w:eastAsia="zh-CN"/>
              </w:rPr>
              <w:t>本溪</w:t>
            </w:r>
            <w:r>
              <w:rPr>
                <w:rFonts w:hint="eastAsia"/>
                <w:szCs w:val="21"/>
                <w:highlight w:val="none"/>
              </w:rPr>
              <w:t>市</w:t>
            </w:r>
            <w:r>
              <w:rPr>
                <w:rFonts w:hint="eastAsia"/>
                <w:szCs w:val="21"/>
                <w:highlight w:val="none"/>
                <w:u w:val="single"/>
                <w:lang w:val="en-US" w:eastAsia="zh-CN"/>
              </w:rPr>
              <w:t>平山</w:t>
            </w:r>
            <w:r>
              <w:rPr>
                <w:rFonts w:hint="eastAsia"/>
                <w:szCs w:val="21"/>
                <w:highlight w:val="none"/>
              </w:rPr>
              <w:t>区</w:t>
            </w:r>
            <w:r>
              <w:rPr>
                <w:rFonts w:hint="eastAsia"/>
                <w:szCs w:val="21"/>
                <w:highlight w:val="none"/>
                <w:u w:val="single"/>
                <w:lang w:val="en-US" w:eastAsia="zh-CN"/>
              </w:rPr>
              <w:t>桥头</w:t>
            </w:r>
            <w:r>
              <w:rPr>
                <w:rFonts w:hint="eastAsia"/>
                <w:szCs w:val="21"/>
                <w:highlight w:val="none"/>
              </w:rPr>
              <w:t>街道</w:t>
            </w:r>
            <w:r>
              <w:rPr>
                <w:rFonts w:hint="eastAsia"/>
                <w:szCs w:val="21"/>
                <w:highlight w:val="none"/>
                <w:u w:val="single"/>
                <w:lang w:val="en-US" w:eastAsia="zh-CN"/>
              </w:rPr>
              <w:t>岭下</w:t>
            </w:r>
            <w:r>
              <w:rPr>
                <w:rFonts w:hint="eastAsia"/>
                <w:szCs w:val="21"/>
                <w:highlight w:val="none"/>
              </w:rPr>
              <w:t>村（社区）</w:t>
            </w:r>
            <w:r>
              <w:rPr>
                <w:rFonts w:hint="eastAsia"/>
                <w:szCs w:val="21"/>
                <w:highlight w:val="none"/>
                <w:u w:val="single"/>
                <w:lang w:val="en-US" w:eastAsia="zh-CN"/>
              </w:rPr>
              <w:t>榆树林子细河左岸</w:t>
            </w:r>
          </w:p>
        </w:tc>
      </w:tr>
      <w:tr w14:paraId="54A7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830" w:type="dxa"/>
            <w:vMerge w:val="continue"/>
            <w:vAlign w:val="center"/>
          </w:tcPr>
          <w:p w14:paraId="57B9FB75">
            <w:pPr>
              <w:widowControl/>
              <w:spacing w:line="360" w:lineRule="exact"/>
              <w:jc w:val="center"/>
              <w:rPr>
                <w:szCs w:val="21"/>
              </w:rPr>
            </w:pPr>
          </w:p>
        </w:tc>
        <w:tc>
          <w:tcPr>
            <w:tcW w:w="6115" w:type="dxa"/>
            <w:gridSpan w:val="6"/>
            <w:vAlign w:val="center"/>
          </w:tcPr>
          <w:p w14:paraId="16AC00F8">
            <w:pPr>
              <w:widowControl/>
              <w:spacing w:line="360" w:lineRule="exact"/>
              <w:rPr>
                <w:rFonts w:hint="eastAsia" w:eastAsia="宋体"/>
                <w:szCs w:val="21"/>
                <w:lang w:eastAsia="zh-CN"/>
              </w:rPr>
            </w:pPr>
            <w:r>
              <w:rPr>
                <w:rFonts w:hint="eastAsia"/>
                <w:szCs w:val="21"/>
              </w:rPr>
              <w:t>排入水体名称：</w:t>
            </w:r>
            <w:r>
              <w:rPr>
                <w:rFonts w:hint="eastAsia"/>
                <w:szCs w:val="21"/>
                <w:lang w:eastAsia="zh-CN"/>
              </w:rPr>
              <w:t>细河</w:t>
            </w:r>
          </w:p>
        </w:tc>
      </w:tr>
      <w:tr w14:paraId="303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30" w:type="dxa"/>
            <w:vMerge w:val="continue"/>
            <w:vAlign w:val="center"/>
          </w:tcPr>
          <w:p w14:paraId="024D14E1">
            <w:pPr>
              <w:widowControl/>
              <w:spacing w:line="360" w:lineRule="exact"/>
              <w:jc w:val="center"/>
              <w:rPr>
                <w:szCs w:val="21"/>
              </w:rPr>
            </w:pPr>
          </w:p>
        </w:tc>
        <w:tc>
          <w:tcPr>
            <w:tcW w:w="6115" w:type="dxa"/>
            <w:gridSpan w:val="6"/>
            <w:vAlign w:val="center"/>
          </w:tcPr>
          <w:p w14:paraId="6723AEEC">
            <w:pPr>
              <w:widowControl/>
              <w:spacing w:line="360" w:lineRule="exact"/>
              <w:rPr>
                <w:rFonts w:hint="eastAsia" w:eastAsia="宋体"/>
                <w:szCs w:val="21"/>
                <w:lang w:eastAsia="zh-CN"/>
              </w:rPr>
            </w:pPr>
            <w:r>
              <w:rPr>
                <w:rFonts w:hint="eastAsia"/>
                <w:szCs w:val="21"/>
              </w:rPr>
              <w:t>所在流域：</w:t>
            </w:r>
            <w:r>
              <w:rPr>
                <w:rFonts w:hint="eastAsia"/>
                <w:szCs w:val="21"/>
                <w:lang w:eastAsia="zh-CN"/>
              </w:rPr>
              <w:t>辽河流域</w:t>
            </w:r>
          </w:p>
        </w:tc>
      </w:tr>
      <w:tr w14:paraId="39B0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continue"/>
            <w:vAlign w:val="center"/>
          </w:tcPr>
          <w:p w14:paraId="1493B2FF">
            <w:pPr>
              <w:widowControl/>
              <w:spacing w:line="360" w:lineRule="exact"/>
              <w:jc w:val="center"/>
              <w:rPr>
                <w:szCs w:val="21"/>
              </w:rPr>
            </w:pPr>
          </w:p>
        </w:tc>
        <w:tc>
          <w:tcPr>
            <w:tcW w:w="6115" w:type="dxa"/>
            <w:gridSpan w:val="6"/>
            <w:vAlign w:val="center"/>
          </w:tcPr>
          <w:p w14:paraId="2F7F2120">
            <w:pPr>
              <w:widowControl/>
              <w:spacing w:line="360" w:lineRule="exact"/>
              <w:rPr>
                <w:rFonts w:hint="default" w:eastAsia="宋体"/>
                <w:szCs w:val="20"/>
                <w:highlight w:val="none"/>
                <w:lang w:val="en-US" w:eastAsia="zh-CN"/>
              </w:rPr>
            </w:pPr>
            <w:r>
              <w:rPr>
                <w:rFonts w:hint="eastAsia"/>
                <w:szCs w:val="20"/>
                <w:highlight w:val="none"/>
              </w:rPr>
              <w:t>经度：</w:t>
            </w:r>
            <w:r>
              <w:rPr>
                <w:rFonts w:hint="eastAsia"/>
                <w:szCs w:val="20"/>
                <w:highlight w:val="none"/>
                <w:lang w:val="en-US" w:eastAsia="zh-CN"/>
              </w:rPr>
              <w:t>123.388990</w:t>
            </w:r>
          </w:p>
          <w:p w14:paraId="3BCA9E0D">
            <w:pPr>
              <w:widowControl/>
              <w:spacing w:line="360" w:lineRule="exact"/>
              <w:rPr>
                <w:szCs w:val="21"/>
                <w:highlight w:val="none"/>
              </w:rPr>
            </w:pPr>
            <w:r>
              <w:rPr>
                <w:rFonts w:hint="eastAsia"/>
                <w:szCs w:val="20"/>
                <w:highlight w:val="none"/>
              </w:rPr>
              <w:t>纬度：</w:t>
            </w:r>
            <w:r>
              <w:rPr>
                <w:rFonts w:hint="eastAsia"/>
                <w:szCs w:val="20"/>
                <w:highlight w:val="none"/>
                <w:lang w:val="en-US" w:eastAsia="zh-CN"/>
              </w:rPr>
              <w:t>41.139440</w:t>
            </w:r>
          </w:p>
        </w:tc>
      </w:tr>
      <w:tr w14:paraId="0721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30" w:type="dxa"/>
            <w:vAlign w:val="center"/>
          </w:tcPr>
          <w:p w14:paraId="70273312">
            <w:pPr>
              <w:widowControl/>
              <w:spacing w:line="360" w:lineRule="exact"/>
              <w:jc w:val="center"/>
              <w:rPr>
                <w:szCs w:val="20"/>
              </w:rPr>
            </w:pPr>
            <w:r>
              <w:rPr>
                <w:rFonts w:hint="eastAsia"/>
                <w:szCs w:val="20"/>
              </w:rPr>
              <w:t>污水排放方式</w:t>
            </w:r>
          </w:p>
        </w:tc>
        <w:tc>
          <w:tcPr>
            <w:tcW w:w="1133" w:type="dxa"/>
            <w:vAlign w:val="center"/>
          </w:tcPr>
          <w:p w14:paraId="095B623D">
            <w:pPr>
              <w:widowControl/>
              <w:spacing w:line="360" w:lineRule="exact"/>
              <w:rPr>
                <w:szCs w:val="20"/>
              </w:rPr>
            </w:pPr>
            <w:r>
              <w:rPr>
                <w:rFonts w:hint="eastAsia"/>
                <w:szCs w:val="20"/>
                <w:lang w:eastAsia="zh-CN"/>
              </w:rPr>
              <w:t>☑</w:t>
            </w:r>
            <w:r>
              <w:rPr>
                <w:rFonts w:hint="eastAsia"/>
                <w:szCs w:val="20"/>
              </w:rPr>
              <w:t>连续</w:t>
            </w:r>
            <w:r>
              <w:rPr>
                <w:szCs w:val="20"/>
              </w:rPr>
              <w:t xml:space="preserve"> </w:t>
            </w:r>
          </w:p>
          <w:p w14:paraId="44A6DF52">
            <w:pPr>
              <w:widowControl/>
              <w:spacing w:line="360" w:lineRule="exact"/>
              <w:rPr>
                <w:szCs w:val="20"/>
              </w:rPr>
            </w:pPr>
            <w:r>
              <w:rPr>
                <w:szCs w:val="20"/>
              </w:rPr>
              <w:sym w:font="Wingdings 2" w:char="00A3"/>
            </w:r>
            <w:r>
              <w:rPr>
                <w:rFonts w:hint="eastAsia"/>
                <w:szCs w:val="20"/>
              </w:rPr>
              <w:t>间歇</w:t>
            </w:r>
          </w:p>
        </w:tc>
        <w:tc>
          <w:tcPr>
            <w:tcW w:w="851" w:type="dxa"/>
            <w:vMerge w:val="restart"/>
            <w:vAlign w:val="center"/>
          </w:tcPr>
          <w:p w14:paraId="4489C89D">
            <w:pPr>
              <w:widowControl/>
              <w:spacing w:line="360" w:lineRule="exact"/>
              <w:ind w:right="-105" w:rightChars="-50"/>
              <w:rPr>
                <w:szCs w:val="20"/>
              </w:rPr>
            </w:pPr>
            <w:r>
              <w:rPr>
                <w:rFonts w:hint="eastAsia"/>
                <w:szCs w:val="20"/>
              </w:rPr>
              <w:t>入河</w:t>
            </w:r>
          </w:p>
          <w:p w14:paraId="27E381E9">
            <w:pPr>
              <w:widowControl/>
              <w:spacing w:line="360" w:lineRule="exact"/>
              <w:ind w:right="-105" w:rightChars="-50"/>
              <w:rPr>
                <w:szCs w:val="20"/>
              </w:rPr>
            </w:pPr>
            <w:r>
              <w:rPr>
                <w:rFonts w:hint="eastAsia"/>
                <w:szCs w:val="20"/>
              </w:rPr>
              <w:t>方式</w:t>
            </w:r>
          </w:p>
        </w:tc>
        <w:tc>
          <w:tcPr>
            <w:tcW w:w="4131" w:type="dxa"/>
            <w:gridSpan w:val="4"/>
            <w:vMerge w:val="restart"/>
            <w:vAlign w:val="center"/>
          </w:tcPr>
          <w:p w14:paraId="0547E421">
            <w:pPr>
              <w:spacing w:line="360" w:lineRule="exact"/>
              <w:ind w:firstLine="315" w:firstLineChars="150"/>
              <w:rPr>
                <w:szCs w:val="20"/>
              </w:rPr>
            </w:pPr>
            <w:r>
              <w:rPr>
                <w:szCs w:val="20"/>
              </w:rPr>
              <w:sym w:font="Wingdings 2" w:char="00A3"/>
            </w:r>
            <w:r>
              <w:rPr>
                <w:rFonts w:hint="eastAsia"/>
                <w:szCs w:val="20"/>
              </w:rPr>
              <w:t>明渠</w:t>
            </w:r>
            <w:r>
              <w:rPr>
                <w:szCs w:val="20"/>
              </w:rPr>
              <w:t xml:space="preserve"> </w:t>
            </w:r>
            <w:r>
              <w:rPr>
                <w:rFonts w:hint="eastAsia"/>
                <w:szCs w:val="20"/>
                <w:lang w:eastAsia="zh-CN"/>
              </w:rPr>
              <w:t>☑</w:t>
            </w:r>
            <w:r>
              <w:rPr>
                <w:rFonts w:hint="eastAsia"/>
                <w:szCs w:val="20"/>
              </w:rPr>
              <w:t>管道</w:t>
            </w:r>
          </w:p>
          <w:p w14:paraId="1BFDE023">
            <w:pPr>
              <w:spacing w:line="360" w:lineRule="exact"/>
              <w:ind w:firstLine="315" w:firstLineChars="150"/>
              <w:rPr>
                <w:szCs w:val="20"/>
              </w:rPr>
            </w:pPr>
            <w:r>
              <w:rPr>
                <w:szCs w:val="20"/>
              </w:rPr>
              <w:sym w:font="Wingdings 2" w:char="00A3"/>
            </w:r>
            <w:r>
              <w:rPr>
                <w:rFonts w:hint="eastAsia"/>
                <w:szCs w:val="20"/>
              </w:rPr>
              <w:t>泵站</w:t>
            </w:r>
            <w:r>
              <w:rPr>
                <w:szCs w:val="20"/>
              </w:rPr>
              <w:t xml:space="preserve">  </w:t>
            </w:r>
            <w:r>
              <w:rPr>
                <w:szCs w:val="20"/>
              </w:rPr>
              <w:sym w:font="Wingdings 2" w:char="00A3"/>
            </w:r>
            <w:r>
              <w:rPr>
                <w:rFonts w:hint="eastAsia"/>
                <w:szCs w:val="20"/>
              </w:rPr>
              <w:t>涵闸</w:t>
            </w:r>
          </w:p>
          <w:p w14:paraId="3AA33006">
            <w:pPr>
              <w:widowControl/>
              <w:spacing w:line="360" w:lineRule="exact"/>
              <w:ind w:firstLine="315" w:firstLineChars="150"/>
              <w:rPr>
                <w:szCs w:val="20"/>
              </w:rPr>
            </w:pPr>
            <w:r>
              <w:rPr>
                <w:szCs w:val="20"/>
              </w:rPr>
              <w:sym w:font="Wingdings 2" w:char="00A3"/>
            </w:r>
            <w:r>
              <w:rPr>
                <w:rFonts w:hint="eastAsia"/>
                <w:szCs w:val="20"/>
              </w:rPr>
              <w:t>箱涵</w:t>
            </w:r>
            <w:r>
              <w:rPr>
                <w:szCs w:val="20"/>
              </w:rPr>
              <w:t xml:space="preserve">  </w:t>
            </w:r>
            <w:r>
              <w:rPr>
                <w:szCs w:val="20"/>
              </w:rPr>
              <w:sym w:font="Wingdings 2" w:char="00A3"/>
            </w:r>
            <w:r>
              <w:rPr>
                <w:rFonts w:hint="eastAsia"/>
                <w:szCs w:val="20"/>
              </w:rPr>
              <w:t>其他：</w:t>
            </w:r>
            <w:r>
              <w:rPr>
                <w:szCs w:val="20"/>
              </w:rPr>
              <w:t>_______</w:t>
            </w:r>
          </w:p>
        </w:tc>
      </w:tr>
      <w:tr w14:paraId="0154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830" w:type="dxa"/>
            <w:vAlign w:val="center"/>
          </w:tcPr>
          <w:p w14:paraId="18A80F5E">
            <w:pPr>
              <w:widowControl/>
              <w:spacing w:line="360" w:lineRule="exact"/>
              <w:jc w:val="center"/>
              <w:rPr>
                <w:szCs w:val="20"/>
              </w:rPr>
            </w:pPr>
            <w:r>
              <w:rPr>
                <w:rFonts w:hint="eastAsia"/>
                <w:szCs w:val="21"/>
              </w:rPr>
              <w:t>是否共用</w:t>
            </w:r>
          </w:p>
        </w:tc>
        <w:tc>
          <w:tcPr>
            <w:tcW w:w="1133" w:type="dxa"/>
            <w:vAlign w:val="center"/>
          </w:tcPr>
          <w:p w14:paraId="54A8264D">
            <w:pPr>
              <w:widowControl/>
              <w:spacing w:line="360" w:lineRule="exact"/>
              <w:rPr>
                <w:szCs w:val="20"/>
              </w:rPr>
            </w:pPr>
            <w:r>
              <w:rPr>
                <w:szCs w:val="20"/>
              </w:rPr>
              <w:sym w:font="Wingdings 2" w:char="00A3"/>
            </w:r>
            <w:r>
              <w:rPr>
                <w:rFonts w:hint="eastAsia"/>
                <w:szCs w:val="20"/>
              </w:rPr>
              <w:t>是</w:t>
            </w:r>
          </w:p>
          <w:p w14:paraId="4D229AF6">
            <w:pPr>
              <w:widowControl/>
              <w:spacing w:line="360" w:lineRule="exact"/>
              <w:rPr>
                <w:szCs w:val="20"/>
              </w:rPr>
            </w:pPr>
            <w:r>
              <w:rPr>
                <w:rFonts w:hint="eastAsia"/>
                <w:szCs w:val="20"/>
                <w:lang w:eastAsia="zh-CN"/>
              </w:rPr>
              <w:t>☑</w:t>
            </w:r>
            <w:r>
              <w:rPr>
                <w:rFonts w:hint="eastAsia"/>
                <w:szCs w:val="20"/>
              </w:rPr>
              <w:t>否</w:t>
            </w:r>
          </w:p>
        </w:tc>
        <w:tc>
          <w:tcPr>
            <w:tcW w:w="851" w:type="dxa"/>
            <w:vMerge w:val="continue"/>
            <w:vAlign w:val="center"/>
          </w:tcPr>
          <w:p w14:paraId="74E84AC4">
            <w:pPr>
              <w:widowControl/>
              <w:spacing w:line="360" w:lineRule="exact"/>
              <w:rPr>
                <w:szCs w:val="20"/>
              </w:rPr>
            </w:pPr>
          </w:p>
        </w:tc>
        <w:tc>
          <w:tcPr>
            <w:tcW w:w="4131" w:type="dxa"/>
            <w:gridSpan w:val="4"/>
            <w:vMerge w:val="continue"/>
            <w:vAlign w:val="center"/>
          </w:tcPr>
          <w:p w14:paraId="57A688D9">
            <w:pPr>
              <w:widowControl/>
              <w:spacing w:line="360" w:lineRule="exact"/>
              <w:rPr>
                <w:szCs w:val="20"/>
              </w:rPr>
            </w:pPr>
          </w:p>
        </w:tc>
      </w:tr>
      <w:tr w14:paraId="3CC0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830" w:type="dxa"/>
            <w:vMerge w:val="restart"/>
            <w:vAlign w:val="center"/>
          </w:tcPr>
          <w:p w14:paraId="6F7E8982">
            <w:pPr>
              <w:widowControl/>
              <w:spacing w:line="360" w:lineRule="exact"/>
              <w:jc w:val="center"/>
              <w:rPr>
                <w:szCs w:val="20"/>
                <w:highlight w:val="none"/>
              </w:rPr>
            </w:pPr>
            <w:r>
              <w:rPr>
                <w:rFonts w:hint="eastAsia"/>
                <w:szCs w:val="28"/>
                <w:highlight w:val="none"/>
              </w:rPr>
              <w:t>入河排污口截面信息</w:t>
            </w:r>
          </w:p>
        </w:tc>
        <w:tc>
          <w:tcPr>
            <w:tcW w:w="6115" w:type="dxa"/>
            <w:gridSpan w:val="6"/>
            <w:vAlign w:val="center"/>
          </w:tcPr>
          <w:p w14:paraId="35DAE19A">
            <w:pPr>
              <w:widowControl/>
              <w:spacing w:line="360" w:lineRule="exact"/>
              <w:rPr>
                <w:szCs w:val="20"/>
                <w:highlight w:val="none"/>
              </w:rPr>
            </w:pPr>
            <w:r>
              <w:rPr>
                <w:rFonts w:hint="eastAsia"/>
                <w:szCs w:val="20"/>
                <w:lang w:eastAsia="zh-CN"/>
              </w:rPr>
              <w:t>☑</w:t>
            </w:r>
            <w:r>
              <w:rPr>
                <w:rFonts w:hint="eastAsia"/>
                <w:szCs w:val="20"/>
                <w:highlight w:val="none"/>
              </w:rPr>
              <w:t>圆形截面：</w:t>
            </w:r>
            <w:r>
              <w:rPr>
                <w:szCs w:val="20"/>
                <w:highlight w:val="none"/>
              </w:rPr>
              <w:t xml:space="preserve">d= </w:t>
            </w:r>
            <w:r>
              <w:rPr>
                <w:rFonts w:hint="eastAsia"/>
                <w:szCs w:val="20"/>
                <w:highlight w:val="none"/>
                <w:lang w:val="en-US" w:eastAsia="zh-CN"/>
              </w:rPr>
              <w:t>1</w:t>
            </w:r>
            <w:r>
              <w:rPr>
                <w:szCs w:val="20"/>
                <w:highlight w:val="none"/>
              </w:rPr>
              <w:t xml:space="preserve"> m</w:t>
            </w:r>
            <w:r>
              <w:rPr>
                <w:rFonts w:hint="eastAsia"/>
                <w:szCs w:val="20"/>
                <w:highlight w:val="none"/>
              </w:rPr>
              <w:t>，</w:t>
            </w:r>
            <w:r>
              <w:rPr>
                <w:szCs w:val="20"/>
                <w:highlight w:val="none"/>
              </w:rPr>
              <w:t xml:space="preserve">S=  </w:t>
            </w:r>
            <w:r>
              <w:rPr>
                <w:rFonts w:hint="eastAsia"/>
                <w:szCs w:val="20"/>
                <w:highlight w:val="none"/>
                <w:lang w:val="en-US" w:eastAsia="zh-CN"/>
              </w:rPr>
              <w:t>0.785</w:t>
            </w:r>
            <w:r>
              <w:rPr>
                <w:szCs w:val="20"/>
                <w:highlight w:val="none"/>
              </w:rPr>
              <w:t xml:space="preserve"> m</w:t>
            </w:r>
            <w:r>
              <w:rPr>
                <w:szCs w:val="20"/>
                <w:highlight w:val="none"/>
                <w:vertAlign w:val="superscript"/>
              </w:rPr>
              <w:t>2</w:t>
            </w:r>
          </w:p>
        </w:tc>
      </w:tr>
      <w:tr w14:paraId="64DB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830" w:type="dxa"/>
            <w:vMerge w:val="continue"/>
            <w:vAlign w:val="center"/>
          </w:tcPr>
          <w:p w14:paraId="49E24F5E">
            <w:pPr>
              <w:widowControl/>
              <w:spacing w:line="360" w:lineRule="exact"/>
              <w:rPr>
                <w:szCs w:val="28"/>
                <w:highlight w:val="none"/>
              </w:rPr>
            </w:pPr>
          </w:p>
        </w:tc>
        <w:tc>
          <w:tcPr>
            <w:tcW w:w="6115" w:type="dxa"/>
            <w:gridSpan w:val="6"/>
            <w:vAlign w:val="center"/>
          </w:tcPr>
          <w:p w14:paraId="7D9701DE">
            <w:pPr>
              <w:spacing w:line="360" w:lineRule="exact"/>
              <w:rPr>
                <w:szCs w:val="20"/>
                <w:highlight w:val="none"/>
              </w:rPr>
            </w:pPr>
            <w:r>
              <w:rPr>
                <w:szCs w:val="20"/>
                <w:highlight w:val="none"/>
              </w:rPr>
              <w:sym w:font="Wingdings 2" w:char="00A3"/>
            </w:r>
            <w:r>
              <w:rPr>
                <w:rFonts w:hint="eastAsia"/>
                <w:szCs w:val="20"/>
                <w:highlight w:val="none"/>
              </w:rPr>
              <w:t>方形截面：</w:t>
            </w:r>
            <w:r>
              <w:rPr>
                <w:szCs w:val="20"/>
                <w:highlight w:val="none"/>
              </w:rPr>
              <w:t>L×B=   m×  m</w:t>
            </w:r>
            <w:r>
              <w:rPr>
                <w:rFonts w:hint="eastAsia"/>
                <w:szCs w:val="20"/>
                <w:highlight w:val="none"/>
              </w:rPr>
              <w:t>，</w:t>
            </w:r>
            <w:r>
              <w:rPr>
                <w:szCs w:val="20"/>
                <w:highlight w:val="none"/>
              </w:rPr>
              <w:t>S=   m</w:t>
            </w:r>
            <w:r>
              <w:rPr>
                <w:szCs w:val="20"/>
                <w:highlight w:val="none"/>
                <w:vertAlign w:val="superscript"/>
              </w:rPr>
              <w:t>2</w:t>
            </w:r>
          </w:p>
        </w:tc>
      </w:tr>
      <w:tr w14:paraId="5CB9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830" w:type="dxa"/>
            <w:vMerge w:val="continue"/>
            <w:vAlign w:val="center"/>
          </w:tcPr>
          <w:p w14:paraId="2B2789E1">
            <w:pPr>
              <w:widowControl/>
              <w:spacing w:line="360" w:lineRule="exact"/>
              <w:rPr>
                <w:szCs w:val="28"/>
                <w:highlight w:val="none"/>
              </w:rPr>
            </w:pPr>
          </w:p>
        </w:tc>
        <w:tc>
          <w:tcPr>
            <w:tcW w:w="6115" w:type="dxa"/>
            <w:gridSpan w:val="6"/>
            <w:vAlign w:val="center"/>
          </w:tcPr>
          <w:p w14:paraId="0CEF5309">
            <w:pPr>
              <w:spacing w:line="360" w:lineRule="exact"/>
              <w:rPr>
                <w:szCs w:val="20"/>
                <w:highlight w:val="none"/>
              </w:rPr>
            </w:pPr>
            <w:r>
              <w:rPr>
                <w:szCs w:val="20"/>
                <w:highlight w:val="none"/>
              </w:rPr>
              <w:sym w:font="Wingdings 2" w:char="00A3"/>
            </w:r>
            <w:r>
              <w:rPr>
                <w:rFonts w:hint="eastAsia"/>
                <w:szCs w:val="20"/>
                <w:highlight w:val="none"/>
              </w:rPr>
              <w:t>其他形状截面：</w:t>
            </w:r>
            <w:r>
              <w:rPr>
                <w:szCs w:val="20"/>
                <w:highlight w:val="none"/>
              </w:rPr>
              <w:t>S=    m</w:t>
            </w:r>
            <w:r>
              <w:rPr>
                <w:szCs w:val="20"/>
                <w:highlight w:val="none"/>
                <w:vertAlign w:val="superscript"/>
              </w:rPr>
              <w:t>2</w:t>
            </w:r>
          </w:p>
        </w:tc>
      </w:tr>
      <w:tr w14:paraId="4E63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536B374D">
            <w:pPr>
              <w:widowControl/>
              <w:spacing w:line="360" w:lineRule="exact"/>
              <w:rPr>
                <w:szCs w:val="20"/>
              </w:rPr>
            </w:pPr>
            <w:r>
              <w:rPr>
                <w:rFonts w:hint="eastAsia"/>
                <w:szCs w:val="21"/>
              </w:rPr>
              <w:t>入河排污口污水排放量，入河排污口重点污染物排放种类、排放浓度和排放量</w:t>
            </w:r>
          </w:p>
        </w:tc>
      </w:tr>
      <w:tr w14:paraId="3FF1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830" w:type="dxa"/>
            <w:vMerge w:val="restart"/>
            <w:vAlign w:val="center"/>
          </w:tcPr>
          <w:p w14:paraId="7075D750">
            <w:pPr>
              <w:widowControl/>
              <w:spacing w:line="360" w:lineRule="exact"/>
              <w:jc w:val="center"/>
              <w:rPr>
                <w:szCs w:val="20"/>
              </w:rPr>
            </w:pPr>
            <w:r>
              <w:rPr>
                <w:rFonts w:hint="eastAsia"/>
                <w:szCs w:val="20"/>
              </w:rPr>
              <w:t>污染物种类</w:t>
            </w:r>
          </w:p>
        </w:tc>
        <w:tc>
          <w:tcPr>
            <w:tcW w:w="1133" w:type="dxa"/>
            <w:vMerge w:val="restart"/>
            <w:vAlign w:val="center"/>
          </w:tcPr>
          <w:p w14:paraId="00FD804B">
            <w:pPr>
              <w:widowControl/>
              <w:spacing w:line="360" w:lineRule="exact"/>
              <w:jc w:val="center"/>
              <w:rPr>
                <w:szCs w:val="20"/>
              </w:rPr>
            </w:pPr>
            <w:r>
              <w:rPr>
                <w:rFonts w:hint="eastAsia"/>
                <w:szCs w:val="20"/>
              </w:rPr>
              <w:t>排放浓度（</w:t>
            </w:r>
            <w:r>
              <w:rPr>
                <w:szCs w:val="20"/>
              </w:rPr>
              <w:t>mg/L</w:t>
            </w:r>
            <w:r>
              <w:rPr>
                <w:rFonts w:hint="eastAsia"/>
                <w:szCs w:val="20"/>
              </w:rPr>
              <w:t>）</w:t>
            </w:r>
          </w:p>
        </w:tc>
        <w:tc>
          <w:tcPr>
            <w:tcW w:w="2411" w:type="dxa"/>
            <w:gridSpan w:val="3"/>
            <w:vAlign w:val="center"/>
          </w:tcPr>
          <w:p w14:paraId="2F811465">
            <w:pPr>
              <w:widowControl/>
              <w:spacing w:line="360" w:lineRule="exact"/>
              <w:jc w:val="center"/>
              <w:rPr>
                <w:szCs w:val="20"/>
              </w:rPr>
            </w:pPr>
            <w:r>
              <w:rPr>
                <w:rFonts w:hint="eastAsia"/>
                <w:szCs w:val="20"/>
              </w:rPr>
              <w:t>全年</w:t>
            </w:r>
          </w:p>
        </w:tc>
        <w:tc>
          <w:tcPr>
            <w:tcW w:w="2571" w:type="dxa"/>
            <w:gridSpan w:val="2"/>
            <w:vAlign w:val="center"/>
          </w:tcPr>
          <w:p w14:paraId="72717F70">
            <w:pPr>
              <w:widowControl/>
              <w:spacing w:line="360" w:lineRule="exact"/>
              <w:jc w:val="center"/>
              <w:rPr>
                <w:szCs w:val="20"/>
              </w:rPr>
            </w:pPr>
            <w:r>
              <w:rPr>
                <w:rFonts w:hint="eastAsia"/>
                <w:szCs w:val="20"/>
              </w:rPr>
              <w:t>特殊时段（</w:t>
            </w:r>
            <w:r>
              <w:rPr>
                <w:szCs w:val="20"/>
              </w:rPr>
              <w:t>__</w:t>
            </w:r>
            <w:r>
              <w:rPr>
                <w:rFonts w:hint="eastAsia"/>
                <w:szCs w:val="20"/>
              </w:rPr>
              <w:t>月至</w:t>
            </w:r>
            <w:r>
              <w:rPr>
                <w:szCs w:val="20"/>
              </w:rPr>
              <w:t>__</w:t>
            </w:r>
            <w:r>
              <w:rPr>
                <w:rFonts w:hint="eastAsia"/>
                <w:szCs w:val="20"/>
              </w:rPr>
              <w:t>月）</w:t>
            </w:r>
          </w:p>
        </w:tc>
      </w:tr>
      <w:tr w14:paraId="2171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830" w:type="dxa"/>
            <w:vMerge w:val="continue"/>
            <w:vAlign w:val="center"/>
          </w:tcPr>
          <w:p w14:paraId="5DC60037">
            <w:pPr>
              <w:spacing w:line="360" w:lineRule="exact"/>
              <w:rPr>
                <w:szCs w:val="20"/>
              </w:rPr>
            </w:pPr>
          </w:p>
        </w:tc>
        <w:tc>
          <w:tcPr>
            <w:tcW w:w="1133" w:type="dxa"/>
            <w:vMerge w:val="continue"/>
            <w:vAlign w:val="center"/>
          </w:tcPr>
          <w:p w14:paraId="7EDAF81D">
            <w:pPr>
              <w:widowControl/>
              <w:spacing w:line="360" w:lineRule="exact"/>
              <w:jc w:val="center"/>
              <w:rPr>
                <w:szCs w:val="20"/>
              </w:rPr>
            </w:pPr>
          </w:p>
        </w:tc>
        <w:tc>
          <w:tcPr>
            <w:tcW w:w="1277" w:type="dxa"/>
            <w:gridSpan w:val="2"/>
            <w:vAlign w:val="center"/>
          </w:tcPr>
          <w:p w14:paraId="41834EA6">
            <w:pPr>
              <w:widowControl/>
              <w:spacing w:line="360" w:lineRule="exact"/>
              <w:jc w:val="center"/>
              <w:rPr>
                <w:szCs w:val="20"/>
              </w:rPr>
            </w:pPr>
            <w:r>
              <w:rPr>
                <w:rFonts w:hint="eastAsia"/>
                <w:szCs w:val="20"/>
              </w:rPr>
              <w:t>污水排放量（万</w:t>
            </w:r>
            <w:r>
              <w:rPr>
                <w:szCs w:val="20"/>
              </w:rPr>
              <w:t>t/</w:t>
            </w:r>
            <w:r>
              <w:rPr>
                <w:rFonts w:hint="eastAsia"/>
                <w:szCs w:val="20"/>
              </w:rPr>
              <w:t>a）</w:t>
            </w:r>
          </w:p>
        </w:tc>
        <w:tc>
          <w:tcPr>
            <w:tcW w:w="1134" w:type="dxa"/>
            <w:vAlign w:val="center"/>
          </w:tcPr>
          <w:p w14:paraId="13925E8F">
            <w:pPr>
              <w:widowControl/>
              <w:spacing w:line="360" w:lineRule="exact"/>
              <w:jc w:val="center"/>
              <w:rPr>
                <w:szCs w:val="20"/>
              </w:rPr>
            </w:pPr>
            <w:r>
              <w:rPr>
                <w:rFonts w:hint="eastAsia"/>
                <w:szCs w:val="24"/>
              </w:rPr>
              <w:t>污染物排放量</w:t>
            </w:r>
            <w:r>
              <w:rPr>
                <w:rFonts w:hint="eastAsia"/>
                <w:szCs w:val="20"/>
              </w:rPr>
              <w:t>（</w:t>
            </w:r>
            <w:r>
              <w:rPr>
                <w:szCs w:val="20"/>
              </w:rPr>
              <w:t>t/</w:t>
            </w:r>
            <w:r>
              <w:rPr>
                <w:rFonts w:hint="eastAsia"/>
                <w:szCs w:val="20"/>
              </w:rPr>
              <w:t>a）</w:t>
            </w:r>
          </w:p>
        </w:tc>
        <w:tc>
          <w:tcPr>
            <w:tcW w:w="1418" w:type="dxa"/>
            <w:vAlign w:val="center"/>
          </w:tcPr>
          <w:p w14:paraId="6BAC2700">
            <w:pPr>
              <w:widowControl/>
              <w:spacing w:line="360" w:lineRule="exact"/>
              <w:jc w:val="center"/>
              <w:rPr>
                <w:szCs w:val="20"/>
              </w:rPr>
            </w:pPr>
            <w:r>
              <w:rPr>
                <w:rFonts w:hint="eastAsia"/>
                <w:szCs w:val="20"/>
              </w:rPr>
              <w:t>污水日排放量（</w:t>
            </w:r>
            <w:r>
              <w:rPr>
                <w:szCs w:val="20"/>
              </w:rPr>
              <w:t>t/</w:t>
            </w:r>
            <w:r>
              <w:rPr>
                <w:rFonts w:hint="eastAsia"/>
                <w:szCs w:val="20"/>
              </w:rPr>
              <w:t>d）</w:t>
            </w:r>
          </w:p>
        </w:tc>
        <w:tc>
          <w:tcPr>
            <w:tcW w:w="1153" w:type="dxa"/>
            <w:vAlign w:val="center"/>
          </w:tcPr>
          <w:p w14:paraId="1CF509BC">
            <w:pPr>
              <w:spacing w:line="360" w:lineRule="exact"/>
              <w:jc w:val="center"/>
              <w:rPr>
                <w:szCs w:val="20"/>
              </w:rPr>
            </w:pPr>
            <w:r>
              <w:rPr>
                <w:rFonts w:hint="eastAsia"/>
                <w:szCs w:val="24"/>
              </w:rPr>
              <w:t>污染物日排放量</w:t>
            </w:r>
            <w:r>
              <w:rPr>
                <w:rFonts w:hint="eastAsia"/>
                <w:szCs w:val="20"/>
              </w:rPr>
              <w:t>（</w:t>
            </w:r>
            <w:r>
              <w:rPr>
                <w:szCs w:val="20"/>
              </w:rPr>
              <w:t>t/</w:t>
            </w:r>
            <w:r>
              <w:rPr>
                <w:rFonts w:hint="eastAsia"/>
                <w:szCs w:val="20"/>
              </w:rPr>
              <w:t>d）</w:t>
            </w:r>
          </w:p>
        </w:tc>
      </w:tr>
      <w:tr w14:paraId="4EF1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1E36522A">
            <w:pPr>
              <w:widowControl/>
              <w:spacing w:line="360" w:lineRule="exact"/>
              <w:rPr>
                <w:szCs w:val="20"/>
              </w:rPr>
            </w:pPr>
            <w:r>
              <w:rPr>
                <w:rFonts w:hint="eastAsia"/>
                <w:szCs w:val="20"/>
              </w:rPr>
              <w:t>入河排污口合计</w:t>
            </w:r>
          </w:p>
        </w:tc>
      </w:tr>
      <w:tr w14:paraId="5E1C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50DBCCFA">
            <w:pPr>
              <w:widowControl/>
              <w:spacing w:line="360" w:lineRule="exact"/>
              <w:jc w:val="center"/>
              <w:rPr>
                <w:szCs w:val="20"/>
              </w:rPr>
            </w:pPr>
            <w:r>
              <w:rPr>
                <w:szCs w:val="20"/>
              </w:rPr>
              <w:t>COD</w:t>
            </w:r>
          </w:p>
        </w:tc>
        <w:tc>
          <w:tcPr>
            <w:tcW w:w="1133" w:type="dxa"/>
            <w:vAlign w:val="center"/>
          </w:tcPr>
          <w:p w14:paraId="37D668D5">
            <w:pPr>
              <w:widowControl/>
              <w:spacing w:line="360" w:lineRule="exact"/>
              <w:jc w:val="center"/>
              <w:rPr>
                <w:szCs w:val="20"/>
              </w:rPr>
            </w:pPr>
            <w:r>
              <w:rPr>
                <w:rFonts w:hint="eastAsia"/>
                <w:szCs w:val="20"/>
                <w:lang w:val="en-US" w:eastAsia="zh-CN"/>
              </w:rPr>
              <w:t>50</w:t>
            </w:r>
          </w:p>
        </w:tc>
        <w:tc>
          <w:tcPr>
            <w:tcW w:w="1277" w:type="dxa"/>
            <w:gridSpan w:val="2"/>
            <w:vMerge w:val="restart"/>
            <w:vAlign w:val="center"/>
          </w:tcPr>
          <w:p w14:paraId="4BB26C23">
            <w:pPr>
              <w:widowControl/>
              <w:spacing w:line="360" w:lineRule="exact"/>
              <w:jc w:val="center"/>
              <w:rPr>
                <w:szCs w:val="20"/>
              </w:rPr>
            </w:pPr>
            <w:r>
              <w:rPr>
                <w:rFonts w:hint="eastAsia"/>
                <w:szCs w:val="24"/>
                <w:lang w:val="en-US" w:eastAsia="zh-CN"/>
              </w:rPr>
              <w:t>365</w:t>
            </w:r>
          </w:p>
        </w:tc>
        <w:tc>
          <w:tcPr>
            <w:tcW w:w="1134" w:type="dxa"/>
            <w:vAlign w:val="center"/>
          </w:tcPr>
          <w:p w14:paraId="19FC6372">
            <w:pPr>
              <w:widowControl/>
              <w:spacing w:line="360" w:lineRule="exact"/>
              <w:jc w:val="center"/>
              <w:rPr>
                <w:szCs w:val="20"/>
              </w:rPr>
            </w:pPr>
            <w:r>
              <w:rPr>
                <w:rFonts w:hint="eastAsia"/>
                <w:szCs w:val="24"/>
                <w:lang w:val="en-US" w:eastAsia="zh-CN"/>
              </w:rPr>
              <w:t>182.5</w:t>
            </w:r>
          </w:p>
        </w:tc>
        <w:tc>
          <w:tcPr>
            <w:tcW w:w="1418" w:type="dxa"/>
            <w:vMerge w:val="restart"/>
            <w:vAlign w:val="center"/>
          </w:tcPr>
          <w:p w14:paraId="52A3277A">
            <w:pPr>
              <w:widowControl/>
              <w:spacing w:line="360" w:lineRule="exact"/>
              <w:jc w:val="center"/>
              <w:rPr>
                <w:szCs w:val="20"/>
              </w:rPr>
            </w:pPr>
            <w:r>
              <w:rPr>
                <w:rFonts w:hint="eastAsia"/>
                <w:szCs w:val="20"/>
                <w:lang w:val="en-US" w:eastAsia="zh-CN"/>
              </w:rPr>
              <w:t>10000</w:t>
            </w:r>
          </w:p>
        </w:tc>
        <w:tc>
          <w:tcPr>
            <w:tcW w:w="1153" w:type="dxa"/>
            <w:vAlign w:val="center"/>
          </w:tcPr>
          <w:p w14:paraId="364A9777">
            <w:pPr>
              <w:widowControl/>
              <w:spacing w:line="360" w:lineRule="exact"/>
              <w:jc w:val="center"/>
              <w:rPr>
                <w:szCs w:val="20"/>
              </w:rPr>
            </w:pPr>
            <w:r>
              <w:rPr>
                <w:rFonts w:hint="eastAsia"/>
                <w:szCs w:val="20"/>
                <w:lang w:val="en-US" w:eastAsia="zh-CN"/>
              </w:rPr>
              <w:t>0.5</w:t>
            </w:r>
          </w:p>
        </w:tc>
      </w:tr>
      <w:tr w14:paraId="356F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34E7C62F">
            <w:pPr>
              <w:widowControl/>
              <w:spacing w:line="360" w:lineRule="exact"/>
              <w:jc w:val="center"/>
              <w:rPr>
                <w:szCs w:val="20"/>
              </w:rPr>
            </w:pPr>
            <w:r>
              <w:rPr>
                <w:szCs w:val="20"/>
              </w:rPr>
              <w:t>NH</w:t>
            </w:r>
            <w:r>
              <w:rPr>
                <w:szCs w:val="20"/>
                <w:vertAlign w:val="subscript"/>
              </w:rPr>
              <w:t>3</w:t>
            </w:r>
            <w:r>
              <w:rPr>
                <w:szCs w:val="20"/>
              </w:rPr>
              <w:t>-N</w:t>
            </w:r>
          </w:p>
        </w:tc>
        <w:tc>
          <w:tcPr>
            <w:tcW w:w="1133" w:type="dxa"/>
            <w:vAlign w:val="center"/>
          </w:tcPr>
          <w:p w14:paraId="52EE580D">
            <w:pPr>
              <w:widowControl/>
              <w:spacing w:line="360" w:lineRule="exact"/>
              <w:jc w:val="center"/>
              <w:rPr>
                <w:szCs w:val="20"/>
              </w:rPr>
            </w:pPr>
            <w:r>
              <w:rPr>
                <w:rFonts w:hint="eastAsia"/>
                <w:szCs w:val="20"/>
                <w:lang w:val="en-US" w:eastAsia="zh-CN"/>
              </w:rPr>
              <w:t>5（8）</w:t>
            </w:r>
          </w:p>
        </w:tc>
        <w:tc>
          <w:tcPr>
            <w:tcW w:w="1277" w:type="dxa"/>
            <w:gridSpan w:val="2"/>
            <w:vMerge w:val="continue"/>
            <w:vAlign w:val="center"/>
          </w:tcPr>
          <w:p w14:paraId="129DD7EB">
            <w:pPr>
              <w:widowControl/>
              <w:spacing w:line="360" w:lineRule="exact"/>
              <w:jc w:val="center"/>
              <w:rPr>
                <w:szCs w:val="20"/>
              </w:rPr>
            </w:pPr>
          </w:p>
        </w:tc>
        <w:tc>
          <w:tcPr>
            <w:tcW w:w="1134" w:type="dxa"/>
            <w:vAlign w:val="center"/>
          </w:tcPr>
          <w:p w14:paraId="141A135E">
            <w:pPr>
              <w:widowControl/>
              <w:spacing w:line="360" w:lineRule="exact"/>
              <w:jc w:val="center"/>
              <w:rPr>
                <w:szCs w:val="20"/>
              </w:rPr>
            </w:pPr>
            <w:r>
              <w:rPr>
                <w:rFonts w:hint="eastAsia"/>
                <w:szCs w:val="24"/>
                <w:lang w:val="en-US" w:eastAsia="zh-CN"/>
              </w:rPr>
              <w:t>18.25</w:t>
            </w:r>
          </w:p>
        </w:tc>
        <w:tc>
          <w:tcPr>
            <w:tcW w:w="1418" w:type="dxa"/>
            <w:vMerge w:val="continue"/>
            <w:vAlign w:val="center"/>
          </w:tcPr>
          <w:p w14:paraId="1B0CAC47">
            <w:pPr>
              <w:widowControl/>
              <w:spacing w:line="360" w:lineRule="exact"/>
              <w:jc w:val="center"/>
              <w:rPr>
                <w:szCs w:val="20"/>
              </w:rPr>
            </w:pPr>
          </w:p>
        </w:tc>
        <w:tc>
          <w:tcPr>
            <w:tcW w:w="1153" w:type="dxa"/>
            <w:vAlign w:val="center"/>
          </w:tcPr>
          <w:p w14:paraId="63A6DFF7">
            <w:pPr>
              <w:widowControl/>
              <w:spacing w:line="360" w:lineRule="exact"/>
              <w:jc w:val="center"/>
              <w:rPr>
                <w:szCs w:val="20"/>
              </w:rPr>
            </w:pPr>
            <w:r>
              <w:rPr>
                <w:rFonts w:hint="eastAsia"/>
                <w:szCs w:val="20"/>
                <w:lang w:val="en-US" w:eastAsia="zh-CN"/>
              </w:rPr>
              <w:t>0.05</w:t>
            </w:r>
          </w:p>
        </w:tc>
      </w:tr>
      <w:tr w14:paraId="537D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632371B3">
            <w:pPr>
              <w:widowControl/>
              <w:spacing w:line="360" w:lineRule="exact"/>
              <w:jc w:val="center"/>
              <w:rPr>
                <w:szCs w:val="20"/>
              </w:rPr>
            </w:pPr>
            <w:r>
              <w:rPr>
                <w:rFonts w:hint="eastAsia"/>
                <w:szCs w:val="20"/>
              </w:rPr>
              <w:t>T</w:t>
            </w:r>
            <w:r>
              <w:rPr>
                <w:szCs w:val="20"/>
              </w:rPr>
              <w:t>N</w:t>
            </w:r>
          </w:p>
        </w:tc>
        <w:tc>
          <w:tcPr>
            <w:tcW w:w="1133" w:type="dxa"/>
            <w:vAlign w:val="center"/>
          </w:tcPr>
          <w:p w14:paraId="7BDABF54">
            <w:pPr>
              <w:widowControl/>
              <w:spacing w:line="360" w:lineRule="exact"/>
              <w:jc w:val="center"/>
              <w:rPr>
                <w:szCs w:val="20"/>
              </w:rPr>
            </w:pPr>
            <w:r>
              <w:rPr>
                <w:rFonts w:hint="eastAsia"/>
                <w:szCs w:val="20"/>
                <w:lang w:val="en-US" w:eastAsia="zh-CN"/>
              </w:rPr>
              <w:t>15</w:t>
            </w:r>
          </w:p>
        </w:tc>
        <w:tc>
          <w:tcPr>
            <w:tcW w:w="1277" w:type="dxa"/>
            <w:gridSpan w:val="2"/>
            <w:vMerge w:val="continue"/>
            <w:vAlign w:val="center"/>
          </w:tcPr>
          <w:p w14:paraId="74D469C2">
            <w:pPr>
              <w:widowControl/>
              <w:spacing w:line="360" w:lineRule="exact"/>
              <w:jc w:val="center"/>
              <w:rPr>
                <w:szCs w:val="20"/>
              </w:rPr>
            </w:pPr>
          </w:p>
        </w:tc>
        <w:tc>
          <w:tcPr>
            <w:tcW w:w="1134" w:type="dxa"/>
            <w:vAlign w:val="center"/>
          </w:tcPr>
          <w:p w14:paraId="49A778E4">
            <w:pPr>
              <w:widowControl/>
              <w:spacing w:line="360" w:lineRule="exact"/>
              <w:jc w:val="center"/>
              <w:rPr>
                <w:szCs w:val="20"/>
              </w:rPr>
            </w:pPr>
            <w:r>
              <w:rPr>
                <w:rFonts w:hint="eastAsia"/>
                <w:szCs w:val="24"/>
                <w:lang w:val="en-US" w:eastAsia="zh-CN"/>
              </w:rPr>
              <w:t>54.75</w:t>
            </w:r>
          </w:p>
        </w:tc>
        <w:tc>
          <w:tcPr>
            <w:tcW w:w="1418" w:type="dxa"/>
            <w:vMerge w:val="continue"/>
            <w:vAlign w:val="center"/>
          </w:tcPr>
          <w:p w14:paraId="6533A7BF">
            <w:pPr>
              <w:widowControl/>
              <w:spacing w:line="360" w:lineRule="exact"/>
              <w:jc w:val="center"/>
              <w:rPr>
                <w:szCs w:val="20"/>
              </w:rPr>
            </w:pPr>
          </w:p>
        </w:tc>
        <w:tc>
          <w:tcPr>
            <w:tcW w:w="1153" w:type="dxa"/>
            <w:vAlign w:val="center"/>
          </w:tcPr>
          <w:p w14:paraId="4B1973D4">
            <w:pPr>
              <w:widowControl/>
              <w:spacing w:line="360" w:lineRule="exact"/>
              <w:jc w:val="center"/>
              <w:rPr>
                <w:szCs w:val="20"/>
              </w:rPr>
            </w:pPr>
            <w:r>
              <w:rPr>
                <w:rFonts w:hint="eastAsia"/>
                <w:szCs w:val="20"/>
                <w:lang w:val="en-US" w:eastAsia="zh-CN"/>
              </w:rPr>
              <w:t>0.15</w:t>
            </w:r>
          </w:p>
        </w:tc>
      </w:tr>
      <w:tr w14:paraId="5029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1E6CE76F">
            <w:pPr>
              <w:widowControl/>
              <w:spacing w:line="360" w:lineRule="exact"/>
              <w:jc w:val="center"/>
              <w:rPr>
                <w:szCs w:val="20"/>
              </w:rPr>
            </w:pPr>
            <w:r>
              <w:rPr>
                <w:rFonts w:hint="eastAsia"/>
                <w:szCs w:val="20"/>
              </w:rPr>
              <w:t>T</w:t>
            </w:r>
            <w:r>
              <w:rPr>
                <w:szCs w:val="20"/>
              </w:rPr>
              <w:t>P</w:t>
            </w:r>
          </w:p>
        </w:tc>
        <w:tc>
          <w:tcPr>
            <w:tcW w:w="1133" w:type="dxa"/>
            <w:vAlign w:val="center"/>
          </w:tcPr>
          <w:p w14:paraId="7D60B7E1">
            <w:pPr>
              <w:widowControl/>
              <w:spacing w:line="360" w:lineRule="exact"/>
              <w:jc w:val="center"/>
              <w:rPr>
                <w:szCs w:val="20"/>
              </w:rPr>
            </w:pPr>
            <w:r>
              <w:rPr>
                <w:rFonts w:hint="eastAsia"/>
                <w:szCs w:val="20"/>
                <w:lang w:val="en-US" w:eastAsia="zh-CN"/>
              </w:rPr>
              <w:t>0.5</w:t>
            </w:r>
          </w:p>
        </w:tc>
        <w:tc>
          <w:tcPr>
            <w:tcW w:w="1277" w:type="dxa"/>
            <w:gridSpan w:val="2"/>
            <w:vMerge w:val="continue"/>
            <w:vAlign w:val="center"/>
          </w:tcPr>
          <w:p w14:paraId="2F609228">
            <w:pPr>
              <w:widowControl/>
              <w:spacing w:line="360" w:lineRule="exact"/>
              <w:jc w:val="center"/>
              <w:rPr>
                <w:szCs w:val="20"/>
              </w:rPr>
            </w:pPr>
          </w:p>
        </w:tc>
        <w:tc>
          <w:tcPr>
            <w:tcW w:w="1134" w:type="dxa"/>
            <w:vAlign w:val="center"/>
          </w:tcPr>
          <w:p w14:paraId="663365AF">
            <w:pPr>
              <w:widowControl/>
              <w:spacing w:line="360" w:lineRule="exact"/>
              <w:jc w:val="center"/>
              <w:rPr>
                <w:szCs w:val="20"/>
              </w:rPr>
            </w:pPr>
            <w:r>
              <w:rPr>
                <w:rFonts w:hint="eastAsia"/>
                <w:szCs w:val="24"/>
                <w:lang w:val="en-US" w:eastAsia="zh-CN"/>
              </w:rPr>
              <w:t>1.825</w:t>
            </w:r>
          </w:p>
        </w:tc>
        <w:tc>
          <w:tcPr>
            <w:tcW w:w="1418" w:type="dxa"/>
            <w:vMerge w:val="continue"/>
            <w:vAlign w:val="center"/>
          </w:tcPr>
          <w:p w14:paraId="20DBBF41">
            <w:pPr>
              <w:widowControl/>
              <w:spacing w:line="360" w:lineRule="exact"/>
              <w:jc w:val="center"/>
              <w:rPr>
                <w:szCs w:val="20"/>
              </w:rPr>
            </w:pPr>
          </w:p>
        </w:tc>
        <w:tc>
          <w:tcPr>
            <w:tcW w:w="1153" w:type="dxa"/>
            <w:vAlign w:val="center"/>
          </w:tcPr>
          <w:p w14:paraId="7AF75FBF">
            <w:pPr>
              <w:widowControl/>
              <w:spacing w:line="360" w:lineRule="exact"/>
              <w:jc w:val="center"/>
              <w:rPr>
                <w:szCs w:val="20"/>
              </w:rPr>
            </w:pPr>
            <w:r>
              <w:rPr>
                <w:rFonts w:hint="eastAsia"/>
                <w:szCs w:val="20"/>
                <w:lang w:val="en-US" w:eastAsia="zh-CN"/>
              </w:rPr>
              <w:t>0.005</w:t>
            </w:r>
          </w:p>
        </w:tc>
      </w:tr>
      <w:tr w14:paraId="0D82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8945" w:type="dxa"/>
            <w:gridSpan w:val="7"/>
          </w:tcPr>
          <w:p w14:paraId="12C8F1E9">
            <w:pPr>
              <w:widowControl/>
              <w:snapToGrid w:val="0"/>
              <w:spacing w:line="360" w:lineRule="exact"/>
              <w:rPr>
                <w:szCs w:val="20"/>
              </w:rPr>
            </w:pPr>
            <w:r>
              <w:rPr>
                <w:rFonts w:hint="eastAsia"/>
                <w:szCs w:val="20"/>
              </w:rPr>
              <w:t>信息公开要求：</w:t>
            </w:r>
          </w:p>
          <w:p w14:paraId="011397F3">
            <w:pPr>
              <w:pStyle w:val="3"/>
              <w:widowControl/>
              <w:snapToGrid w:val="0"/>
              <w:spacing w:line="360" w:lineRule="exact"/>
              <w:ind w:left="0" w:firstLine="420" w:firstLineChars="200"/>
              <w:jc w:val="both"/>
              <w:rPr>
                <w:lang w:eastAsia="zh-CN"/>
              </w:rPr>
            </w:pPr>
            <w:r>
              <w:rPr>
                <w:rFonts w:hint="eastAsia" w:ascii="等线" w:hAnsi="等线" w:eastAsia="等线" w:cs="黑体"/>
                <w:kern w:val="2"/>
                <w:sz w:val="21"/>
                <w:szCs w:val="21"/>
                <w:highlight w:val="none"/>
                <w:lang w:val="en-US" w:eastAsia="zh-CN" w:bidi="ar-SA"/>
              </w:rPr>
              <w:t>根据《入河排污口监督管理办法》以及HJ1386标准要求，该入河排污口的</w:t>
            </w:r>
            <w:r>
              <w:rPr>
                <w:rFonts w:hint="eastAsia" w:ascii="等线" w:hAnsi="等线" w:eastAsia="等线" w:cs="黑体"/>
                <w:kern w:val="2"/>
                <w:sz w:val="21"/>
                <w:szCs w:val="21"/>
                <w:highlight w:val="none"/>
                <w:u w:val="single"/>
                <w:lang w:val="en-US" w:eastAsia="zh-CN" w:bidi="ar-SA"/>
              </w:rPr>
              <w:t>_排污口名称、编码、类型、责任主体、监管主体单位、监管电话</w:t>
            </w:r>
            <w:r>
              <w:rPr>
                <w:rFonts w:hint="eastAsia" w:ascii="等线" w:hAnsi="等线" w:eastAsia="等线" w:cs="黑体"/>
                <w:kern w:val="2"/>
                <w:sz w:val="21"/>
                <w:szCs w:val="21"/>
                <w:highlight w:val="none"/>
                <w:lang w:val="en-US" w:eastAsia="zh-CN" w:bidi="ar-SA"/>
              </w:rPr>
              <w:t>等信息应以☑标识牌☑二维码等方式在入河排污口处信息公开。</w:t>
            </w:r>
          </w:p>
        </w:tc>
      </w:tr>
      <w:tr w14:paraId="0CF8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8945" w:type="dxa"/>
            <w:gridSpan w:val="7"/>
            <w:vAlign w:val="center"/>
          </w:tcPr>
          <w:p w14:paraId="736CA4E2">
            <w:pPr>
              <w:widowControl/>
              <w:snapToGrid w:val="0"/>
              <w:spacing w:line="360" w:lineRule="exact"/>
              <w:rPr>
                <w:rFonts w:hint="eastAsia"/>
                <w:szCs w:val="20"/>
                <w:highlight w:val="none"/>
              </w:rPr>
            </w:pPr>
            <w:r>
              <w:rPr>
                <w:rFonts w:hint="eastAsia"/>
                <w:szCs w:val="20"/>
                <w:highlight w:val="none"/>
              </w:rPr>
              <w:t>水污染事故应急处理预案以及环境风险防范措施：</w:t>
            </w:r>
          </w:p>
          <w:p w14:paraId="26511E63">
            <w:pPr>
              <w:widowControl/>
              <w:snapToGrid w:val="0"/>
              <w:spacing w:line="360" w:lineRule="exact"/>
              <w:ind w:firstLine="420" w:firstLineChars="200"/>
              <w:rPr>
                <w:rFonts w:hint="default" w:eastAsia="等线"/>
                <w:highlight w:val="none"/>
                <w:lang w:val="en-US" w:eastAsia="zh-CN"/>
              </w:rPr>
            </w:pPr>
            <w:r>
              <w:rPr>
                <w:rFonts w:hint="eastAsia"/>
                <w:szCs w:val="20"/>
                <w:highlight w:val="none"/>
              </w:rPr>
              <w:t>该入河排污口对应的责任主体</w:t>
            </w:r>
            <w:r>
              <w:rPr>
                <w:rFonts w:hint="eastAsia"/>
                <w:kern w:val="0"/>
                <w:szCs w:val="21"/>
                <w:lang w:val="en-US" w:eastAsia="zh-CN"/>
              </w:rPr>
              <w:t>本溪市</w:t>
            </w:r>
            <w:r>
              <w:rPr>
                <w:rFonts w:hint="eastAsia"/>
                <w:szCs w:val="21"/>
                <w:lang w:eastAsia="zh-CN"/>
              </w:rPr>
              <w:t>平山区科态水务有限责任</w:t>
            </w:r>
            <w:bookmarkStart w:id="0" w:name="_GoBack"/>
            <w:bookmarkEnd w:id="0"/>
            <w:r>
              <w:rPr>
                <w:rFonts w:hint="eastAsia"/>
                <w:szCs w:val="21"/>
                <w:lang w:eastAsia="zh-CN"/>
              </w:rPr>
              <w:t>公司</w:t>
            </w:r>
            <w:r>
              <w:rPr>
                <w:rFonts w:hint="eastAsia"/>
                <w:szCs w:val="20"/>
                <w:highlight w:val="none"/>
              </w:rPr>
              <w:t>应当按照排污单位有关要求，做好污染事故应急处理预案、环境风险防范及应急处置措施，具</w:t>
            </w:r>
            <w:r>
              <w:rPr>
                <w:rFonts w:hint="eastAsia"/>
                <w:highlight w:val="none"/>
              </w:rPr>
              <w:t>体包括：</w:t>
            </w:r>
            <w:r>
              <w:rPr>
                <w:rFonts w:hint="eastAsia"/>
                <w:highlight w:val="none"/>
                <w:lang w:eastAsia="zh-CN"/>
              </w:rPr>
              <w:t>《入河排污口设置论证报告》第</w:t>
            </w:r>
            <w:r>
              <w:rPr>
                <w:rFonts w:hint="eastAsia"/>
                <w:highlight w:val="none"/>
                <w:lang w:val="en-US" w:eastAsia="zh-CN"/>
              </w:rPr>
              <w:t>8节“入河排污口设置水环境风险影响分析”部分提出的水质水量较大变化、停电、设备故障等应急处理。此外，入河排污口排放污染物造成或可能造成水污染事故时，应立即启动应急预案并报告，同时采取应急措施切断或控制事故污染源，拦截、导流、分流事故污水并进行妥善处理。</w:t>
            </w:r>
          </w:p>
        </w:tc>
      </w:tr>
      <w:tr w14:paraId="392C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8945" w:type="dxa"/>
            <w:gridSpan w:val="7"/>
          </w:tcPr>
          <w:p w14:paraId="659D4971">
            <w:pPr>
              <w:pStyle w:val="3"/>
              <w:keepNext w:val="0"/>
              <w:keepLines w:val="0"/>
              <w:pageBreakBefore w:val="0"/>
              <w:widowControl/>
              <w:kinsoku/>
              <w:wordWrap/>
              <w:overflowPunct/>
              <w:topLinePunct w:val="0"/>
              <w:autoSpaceDE/>
              <w:autoSpaceDN/>
              <w:bidi w:val="0"/>
              <w:adjustRightInd/>
              <w:snapToGrid w:val="0"/>
              <w:spacing w:line="360" w:lineRule="exact"/>
              <w:ind w:left="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水生态环境保护措施：</w:t>
            </w:r>
          </w:p>
          <w:p w14:paraId="19F01165">
            <w:pPr>
              <w:pStyle w:val="3"/>
              <w:keepNext w:val="0"/>
              <w:keepLines w:val="0"/>
              <w:pageBreakBefore w:val="0"/>
              <w:kinsoku/>
              <w:wordWrap/>
              <w:overflowPunct/>
              <w:topLinePunct w:val="0"/>
              <w:autoSpaceDE/>
              <w:autoSpaceDN/>
              <w:bidi w:val="0"/>
              <w:adjustRightInd/>
              <w:snapToGrid w:val="0"/>
              <w:spacing w:line="360" w:lineRule="exact"/>
              <w:ind w:left="0" w:firstLine="420" w:firstLineChars="200"/>
              <w:jc w:val="both"/>
              <w:textAlignment w:val="auto"/>
              <w:rPr>
                <w:lang w:eastAsia="zh-CN"/>
              </w:rPr>
            </w:pPr>
            <w:r>
              <w:rPr>
                <w:rFonts w:hint="eastAsia" w:ascii="等线" w:hAnsi="等线" w:eastAsia="等线" w:cs="黑体"/>
                <w:kern w:val="2"/>
                <w:sz w:val="21"/>
                <w:szCs w:val="22"/>
                <w:highlight w:val="none"/>
                <w:lang w:val="en-US" w:eastAsia="zh-CN" w:bidi="ar-SA"/>
              </w:rPr>
              <w:t>为减免该入河排污口设置带来的不利影响，入河排污口设置/使用过程中应当采取监测、巡查、预警等水生态环境保护措施，具体包括：定期巡查维护排污通道、口门以及附属设施；确保稳定达标排放，并符合排放总量控制要求；根据《入河入海排污口监督管理技术指南  监测》（HJ1387-2024）要求，开展自行监测。</w:t>
            </w:r>
          </w:p>
        </w:tc>
      </w:tr>
      <w:tr w14:paraId="2E84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8945" w:type="dxa"/>
            <w:gridSpan w:val="7"/>
          </w:tcPr>
          <w:p w14:paraId="0D7C7719">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其他需要注意的事项：</w:t>
            </w:r>
          </w:p>
          <w:p w14:paraId="087F0CB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（一）在满足污染排放要求基础上，应符合相关部门对供水、堤防安全和河势稳定等问题的保护措施要求；</w:t>
            </w:r>
          </w:p>
          <w:p w14:paraId="3C47DA7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（二）项目运营期，应确保排放浓度和排放量符合批复要求，并采取有效措施杜绝入河排污口</w:t>
            </w:r>
            <w:r>
              <w:rPr>
                <w:rFonts w:hint="eastAsia" w:ascii="等线" w:hAnsi="等线" w:eastAsia="等线" w:cs="黑体"/>
                <w:color w:val="auto"/>
                <w:kern w:val="2"/>
                <w:sz w:val="21"/>
                <w:szCs w:val="22"/>
                <w:highlight w:val="none"/>
                <w:lang w:val="en-US" w:eastAsia="zh-CN" w:bidi="ar-SA"/>
              </w:rPr>
              <w:t>排放事故发生；</w:t>
            </w:r>
          </w:p>
          <w:p w14:paraId="1C96222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三）责任主体应积极配合生态环境部门、水行政主管部门对设置排污口所在水域功能区以及上下游相邻水功能区的管理，建立废污水排放水质监测分析记录，定期向主管部门报送信息；接受并配合主管部门及监测机构定期或不定期的监测；</w:t>
            </w:r>
          </w:p>
          <w:p w14:paraId="548CF730">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w:t>
            </w:r>
            <w:r>
              <w:rPr>
                <w:rFonts w:hint="eastAsia" w:cs="黑体"/>
                <w:kern w:val="2"/>
                <w:sz w:val="21"/>
                <w:szCs w:val="22"/>
                <w:highlight w:val="none"/>
                <w:lang w:val="en-US" w:eastAsia="zh-CN" w:bidi="ar-SA"/>
              </w:rPr>
              <w:t>四</w:t>
            </w:r>
            <w:r>
              <w:rPr>
                <w:rFonts w:hint="eastAsia" w:ascii="等线" w:hAnsi="等线" w:eastAsia="等线" w:cs="黑体"/>
                <w:kern w:val="2"/>
                <w:sz w:val="21"/>
                <w:szCs w:val="22"/>
                <w:highlight w:val="none"/>
                <w:lang w:val="en-US" w:eastAsia="zh-CN" w:bidi="ar-SA"/>
              </w:rPr>
              <w:t>）作好入河排污口规范化建设</w:t>
            </w:r>
            <w:r>
              <w:rPr>
                <w:rFonts w:hint="eastAsia" w:cs="黑体"/>
                <w:kern w:val="2"/>
                <w:sz w:val="21"/>
                <w:szCs w:val="22"/>
                <w:highlight w:val="none"/>
                <w:lang w:val="en-US" w:eastAsia="zh-CN" w:bidi="ar-SA"/>
              </w:rPr>
              <w:t>；</w:t>
            </w:r>
          </w:p>
          <w:p w14:paraId="493D4D6D">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w:t>
            </w:r>
            <w:r>
              <w:rPr>
                <w:rFonts w:hint="eastAsia" w:cs="黑体"/>
                <w:kern w:val="2"/>
                <w:sz w:val="21"/>
                <w:szCs w:val="22"/>
                <w:highlight w:val="none"/>
                <w:lang w:val="en-US" w:eastAsia="zh-CN" w:bidi="ar-SA"/>
              </w:rPr>
              <w:t>五</w:t>
            </w:r>
            <w:r>
              <w:rPr>
                <w:rFonts w:hint="eastAsia" w:ascii="等线" w:hAnsi="等线" w:eastAsia="等线" w:cs="黑体"/>
                <w:kern w:val="2"/>
                <w:sz w:val="21"/>
                <w:szCs w:val="22"/>
                <w:highlight w:val="none"/>
                <w:lang w:val="en-US" w:eastAsia="zh-CN" w:bidi="ar-SA"/>
              </w:rPr>
              <w:t>）入河排污口</w:t>
            </w:r>
            <w:r>
              <w:rPr>
                <w:rFonts w:hint="eastAsia" w:cs="黑体"/>
                <w:kern w:val="2"/>
                <w:sz w:val="21"/>
                <w:szCs w:val="22"/>
                <w:highlight w:val="none"/>
                <w:lang w:val="en-US" w:eastAsia="zh-CN" w:bidi="ar-SA"/>
              </w:rPr>
              <w:t>排放</w:t>
            </w:r>
            <w:r>
              <w:rPr>
                <w:rFonts w:hint="eastAsia" w:ascii="等线" w:hAnsi="等线" w:eastAsia="等线" w:cs="黑体"/>
                <w:kern w:val="2"/>
                <w:sz w:val="21"/>
                <w:szCs w:val="22"/>
                <w:highlight w:val="none"/>
                <w:lang w:val="en-US" w:eastAsia="zh-CN" w:bidi="ar-SA"/>
              </w:rPr>
              <w:t>位置、排放方式</w:t>
            </w:r>
            <w:r>
              <w:rPr>
                <w:rFonts w:hint="eastAsia" w:cs="黑体"/>
                <w:kern w:val="2"/>
                <w:sz w:val="21"/>
                <w:szCs w:val="22"/>
                <w:highlight w:val="none"/>
                <w:lang w:val="en-US" w:eastAsia="zh-CN" w:bidi="ar-SA"/>
              </w:rPr>
              <w:t>等事项有重大改变，或排污能力提高，</w:t>
            </w:r>
            <w:r>
              <w:rPr>
                <w:rFonts w:hint="eastAsia" w:ascii="等线" w:hAnsi="等线" w:eastAsia="等线" w:cs="黑体"/>
                <w:kern w:val="2"/>
                <w:sz w:val="21"/>
                <w:szCs w:val="22"/>
                <w:highlight w:val="none"/>
                <w:lang w:val="en-US" w:eastAsia="zh-CN" w:bidi="ar-SA"/>
              </w:rPr>
              <w:t>应重新办理入河排污口设置申请</w:t>
            </w:r>
            <w:r>
              <w:rPr>
                <w:rFonts w:hint="eastAsia" w:cs="黑体"/>
                <w:kern w:val="2"/>
                <w:sz w:val="21"/>
                <w:szCs w:val="22"/>
                <w:highlight w:val="none"/>
                <w:lang w:val="en-US" w:eastAsia="zh-CN" w:bidi="ar-SA"/>
              </w:rPr>
              <w:t>；</w:t>
            </w:r>
          </w:p>
          <w:p w14:paraId="1BB08ACF">
            <w:pPr>
              <w:keepNext w:val="0"/>
              <w:keepLines w:val="0"/>
              <w:pageBreakBefore w:val="0"/>
              <w:kinsoku/>
              <w:wordWrap/>
              <w:overflowPunct/>
              <w:topLinePunct w:val="0"/>
              <w:autoSpaceDE/>
              <w:autoSpaceDN/>
              <w:bidi w:val="0"/>
              <w:adjustRightInd/>
              <w:spacing w:line="360" w:lineRule="exact"/>
              <w:ind w:firstLine="420" w:firstLineChars="200"/>
              <w:textAlignment w:val="auto"/>
            </w:pPr>
            <w:r>
              <w:rPr>
                <w:rFonts w:hint="eastAsia" w:cs="黑体"/>
                <w:kern w:val="2"/>
                <w:sz w:val="21"/>
                <w:szCs w:val="22"/>
                <w:highlight w:val="none"/>
                <w:lang w:val="en-US" w:eastAsia="zh-CN" w:bidi="ar-SA"/>
              </w:rPr>
              <w:t>（六）入河排污口责任主体名称、生产经营场所地址、法定代表人或主要负责人以及联系方式等信息发生变更的，应向审批部门申请办理决定书变更手续。</w:t>
            </w:r>
          </w:p>
        </w:tc>
      </w:tr>
    </w:tbl>
    <w:p w14:paraId="10913F6D">
      <w:pPr>
        <w:ind w:firstLine="1600" w:firstLineChars="500"/>
        <w:jc w:val="both"/>
        <w:rPr>
          <w:rFonts w:hint="default" w:ascii="Times New Roman" w:hAnsi="Times New Roman" w:eastAsia="仿宋_GB2312" w:cs="Times New Roman"/>
          <w:color w:val="auto"/>
          <w:sz w:val="32"/>
          <w:szCs w:val="32"/>
          <w:lang w:val="en-US" w:eastAsia="zh-CN"/>
        </w:rPr>
      </w:pPr>
    </w:p>
    <w:p w14:paraId="447EFD85">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本溪市生态环境局</w:t>
      </w:r>
    </w:p>
    <w:p w14:paraId="4BA3125D">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en-US" w:eastAsia="zh-CN"/>
        </w:rPr>
        <w:t>日</w:t>
      </w:r>
    </w:p>
    <w:p w14:paraId="58C464B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（此件公开发布）</w:t>
      </w:r>
    </w:p>
    <w:p w14:paraId="067890F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抄送：本溪市平山生态环境分局、本溪市生态环境服务中心</w:t>
      </w:r>
    </w:p>
    <w:sectPr>
      <w:footerReference r:id="rId3" w:type="default"/>
      <w:pgSz w:w="11906" w:h="16838"/>
      <w:pgMar w:top="2154" w:right="1418" w:bottom="1984" w:left="1588"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CBFF">
    <w:pPr>
      <w:pStyle w:val="5"/>
    </w:pPr>
    <w:r>
      <w:rPr>
        <w:rFonts w:ascii="等线" w:hAnsi="等线" w:eastAsia="等线" w:cs="黑体"/>
        <w:kern w:val="2"/>
        <w:sz w:val="18"/>
        <w:szCs w:val="22"/>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F5F04CD">
                <w:pPr>
                  <w:pStyle w:val="5"/>
                </w:pPr>
                <w:r>
                  <w:fldChar w:fldCharType="begin"/>
                </w:r>
                <w:r>
                  <w:instrText xml:space="preserve"> PAGE  \* MERGEFORMAT </w:instrText>
                </w:r>
                <w:r>
                  <w:fldChar w:fldCharType="separate"/>
                </w:r>
                <w:r>
                  <w:t>1</w:t>
                </w:r>
                <w: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1E64C48"/>
    <w:rsid w:val="0A9241B5"/>
    <w:rsid w:val="114723C5"/>
    <w:rsid w:val="115B4B8E"/>
    <w:rsid w:val="133E02C4"/>
    <w:rsid w:val="16942624"/>
    <w:rsid w:val="17B172B6"/>
    <w:rsid w:val="186B3909"/>
    <w:rsid w:val="18EB5549"/>
    <w:rsid w:val="1B815DBB"/>
    <w:rsid w:val="25085CA2"/>
    <w:rsid w:val="2A990E96"/>
    <w:rsid w:val="2B1B219C"/>
    <w:rsid w:val="2BD87FB1"/>
    <w:rsid w:val="2C574478"/>
    <w:rsid w:val="2FD14541"/>
    <w:rsid w:val="316C6853"/>
    <w:rsid w:val="337954A8"/>
    <w:rsid w:val="33910865"/>
    <w:rsid w:val="38325D99"/>
    <w:rsid w:val="3982065B"/>
    <w:rsid w:val="3AA37F49"/>
    <w:rsid w:val="3D900539"/>
    <w:rsid w:val="3ED32646"/>
    <w:rsid w:val="48384D06"/>
    <w:rsid w:val="48AB4DDC"/>
    <w:rsid w:val="5035633C"/>
    <w:rsid w:val="5253098E"/>
    <w:rsid w:val="54665C61"/>
    <w:rsid w:val="565B56A9"/>
    <w:rsid w:val="623E5FD0"/>
    <w:rsid w:val="65203B1E"/>
    <w:rsid w:val="6A042842"/>
    <w:rsid w:val="6B952130"/>
    <w:rsid w:val="711A294B"/>
    <w:rsid w:val="71CA3730"/>
    <w:rsid w:val="72230F7B"/>
    <w:rsid w:val="7344735C"/>
    <w:rsid w:val="74493B15"/>
    <w:rsid w:val="75A102A0"/>
    <w:rsid w:val="7B175A22"/>
    <w:rsid w:val="7D8C2E23"/>
    <w:rsid w:val="7F474F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paragraph" w:styleId="2">
    <w:name w:val="heading 1"/>
    <w:basedOn w:val="1"/>
    <w:next w:val="1"/>
    <w:qFormat/>
    <w:uiPriority w:val="9"/>
    <w:pPr>
      <w:keepNext/>
      <w:keepLines/>
      <w:spacing w:before="340" w:beforeAutospacing="0" w:after="33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before="39"/>
      <w:ind w:left="111"/>
      <w:jc w:val="left"/>
    </w:pPr>
    <w:rPr>
      <w:rFonts w:ascii="仿宋_GB2312" w:hAnsi="仿宋_GB2312" w:eastAsia="仿宋_GB2312"/>
      <w:kern w:val="0"/>
      <w:sz w:val="30"/>
      <w:szCs w:val="30"/>
      <w:lang w:eastAsia="en-US"/>
    </w:rPr>
  </w:style>
  <w:style w:type="paragraph" w:styleId="4">
    <w:name w:val="Body Text Indent 2"/>
    <w:basedOn w:val="1"/>
    <w:next w:val="1"/>
    <w:qFormat/>
    <w:uiPriority w:val="0"/>
    <w:pPr>
      <w:spacing w:after="120" w:line="480" w:lineRule="auto"/>
      <w:ind w:left="420" w:leftChars="200" w:firstLine="200" w:firstLineChars="200"/>
    </w:pPr>
    <w:rPr>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after="120" w:line="480" w:lineRule="auto"/>
    </w:pPr>
    <w:rPr>
      <w:rFonts w:ascii="Times New Roman" w:hAnsi="Times New Roman" w:cs="Times New Roman"/>
      <w:kern w:val="0"/>
      <w:szCs w:val="20"/>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character" w:styleId="11">
    <w:name w:val="page number"/>
    <w:basedOn w:val="10"/>
    <w:semiHidden/>
    <w:unhideWhenUsed/>
    <w:qFormat/>
    <w:uiPriority w:val="99"/>
    <w:rPr>
      <w:rFonts w:cs="Times New Roman"/>
    </w:rPr>
  </w:style>
  <w:style w:type="paragraph" w:customStyle="1" w:styleId="12">
    <w:name w:val="0正文"/>
    <w:basedOn w:val="1"/>
    <w:qFormat/>
    <w:uiPriority w:val="99"/>
    <w:pPr>
      <w:spacing w:line="360" w:lineRule="auto"/>
      <w:ind w:firstLine="720" w:firstLineChars="200"/>
      <w:jc w:val="left"/>
    </w:pPr>
    <w:rPr>
      <w:rFonts w:ascii="Times New Roman" w:hAnsi="Times New Roman"/>
      <w:kern w:val="0"/>
      <w:sz w:val="24"/>
    </w:rPr>
  </w:style>
  <w:style w:type="paragraph" w:customStyle="1" w:styleId="13">
    <w:name w:val="表格标题新"/>
    <w:basedOn w:val="1"/>
    <w:next w:val="1"/>
    <w:qFormat/>
    <w:uiPriority w:val="0"/>
    <w:pPr>
      <w:tabs>
        <w:tab w:val="left" w:pos="0"/>
      </w:tabs>
      <w:spacing w:before="120"/>
      <w:jc w:val="center"/>
    </w:pPr>
    <w:rPr>
      <w:rFonts w:ascii="黑体" w:eastAsia="黑体"/>
      <w:snapToGrid w:val="0"/>
      <w:spacing w:val="4"/>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1556</Words>
  <Characters>1761</Characters>
  <Lines>2</Lines>
  <Paragraphs>1</Paragraphs>
  <TotalTime>4</TotalTime>
  <ScaleCrop>false</ScaleCrop>
  <LinksUpToDate>false</LinksUpToDate>
  <CharactersWithSpaces>1817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2023-06-26T09:34:00Z</dcterms:created>
  <dc:creator>于恩军</dc:creator>
  <cp:lastModifiedBy>青青</cp:lastModifiedBy>
  <cp:lastPrinted>2025-07-07T07:35:52Z</cp:lastPrinted>
  <dcterms:modified xsi:type="dcterms:W3CDTF">2025-07-07T07:36:08Z</dcterms:modified>
  <dc:title>关于国控邱家断面2月数据为劣Ⅴ类的</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6084E023EA65453DA92827292A708185_13</vt:lpwstr>
  </property>
  <property fmtid="{D5CDD505-2E9C-101B-9397-08002B2CF9AE}" pid="4" name="KSOTemplateDocerSaveRecord">
    <vt:lpwstr>eyJoZGlkIjoiNWY1ZDgxNzJkMmE5YWM5NzAxNzgxMTVhNjdmMDIwMjUiLCJ1c2VySWQiOiI1MjAyNzY3ODkifQ==</vt:lpwstr>
  </property>
</Properties>
</file>