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本溪市生态环境局</w:t>
      </w:r>
    </w:p>
    <w:p>
      <w:pPr>
        <w:jc w:val="center"/>
        <w:outlineLvl w:val="0"/>
        <w:rPr>
          <w:rFonts w:ascii="宋体" w:hAnsi="宋体" w:eastAsia="宋体" w:cs="宋体"/>
          <w:b/>
          <w:bCs/>
          <w:color w:val="000000" w:themeColor="text1"/>
          <w:sz w:val="44"/>
          <w:szCs w:val="44"/>
        </w:rPr>
      </w:pPr>
      <w:bookmarkStart w:id="0" w:name="_Toc27555"/>
      <w:bookmarkStart w:id="1" w:name="_Toc4875"/>
      <w:bookmarkStart w:id="2" w:name="_Toc7400"/>
      <w:bookmarkStart w:id="3" w:name="_Toc14009"/>
      <w:bookmarkStart w:id="4" w:name="_Toc28633"/>
      <w:r>
        <w:rPr>
          <w:rFonts w:hint="eastAsia" w:ascii="宋体" w:hAnsi="宋体" w:eastAsia="宋体" w:cs="宋体"/>
          <w:b/>
          <w:bCs/>
          <w:color w:val="000000" w:themeColor="text1"/>
          <w:sz w:val="44"/>
          <w:szCs w:val="44"/>
        </w:rPr>
        <w:t>环境行政处罚自由裁量权裁量办法</w:t>
      </w:r>
      <w:bookmarkEnd w:id="0"/>
      <w:bookmarkEnd w:id="1"/>
      <w:bookmarkEnd w:id="2"/>
      <w:bookmarkEnd w:id="3"/>
      <w:bookmarkEnd w:id="4"/>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w:t>
      </w:r>
      <w:r>
        <w:rPr>
          <w:rFonts w:hint="eastAsia" w:ascii="宋体" w:hAnsi="宋体" w:eastAsia="宋体" w:cs="宋体"/>
          <w:b/>
          <w:bCs/>
          <w:color w:val="000000" w:themeColor="text1"/>
          <w:sz w:val="44"/>
          <w:szCs w:val="44"/>
          <w:lang w:eastAsia="zh-CN"/>
        </w:rPr>
        <w:t>征求意见稿</w:t>
      </w:r>
      <w:r>
        <w:rPr>
          <w:rFonts w:hint="eastAsia" w:ascii="宋体" w:hAnsi="宋体" w:eastAsia="宋体" w:cs="宋体"/>
          <w:b/>
          <w:bCs/>
          <w:color w:val="000000" w:themeColor="text1"/>
          <w:sz w:val="44"/>
          <w:szCs w:val="44"/>
        </w:rPr>
        <w:t>）</w:t>
      </w:r>
    </w:p>
    <w:p>
      <w:pPr>
        <w:rPr>
          <w:color w:val="000000" w:themeColor="text1"/>
        </w:rPr>
      </w:pPr>
      <w:bookmarkStart w:id="427" w:name="_GoBack"/>
      <w:bookmarkEnd w:id="427"/>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dt>
      <w:sdtPr>
        <w:rPr>
          <w:rFonts w:ascii="宋体" w:hAnsi="宋体" w:eastAsia="宋体"/>
          <w:color w:val="000000" w:themeColor="text1"/>
        </w:rPr>
        <w:id w:val="147456117"/>
        <w:docPartObj>
          <w:docPartGallery w:val="Table of Contents"/>
          <w:docPartUnique/>
        </w:docPartObj>
      </w:sdtPr>
      <w:sdtEndPr>
        <w:rPr>
          <w:rFonts w:ascii="宋体" w:hAnsi="宋体" w:eastAsia="宋体"/>
          <w:color w:val="000000" w:themeColor="text1"/>
        </w:rPr>
      </w:sdtEndPr>
      <w:sdtContent>
        <w:p>
          <w:pPr>
            <w:rPr>
              <w:color w:val="000000" w:themeColor="text1"/>
            </w:rPr>
          </w:pPr>
        </w:p>
      </w:sdtContent>
    </w:sdt>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本溪市生态环境局</w:t>
      </w:r>
    </w:p>
    <w:p>
      <w:pPr>
        <w:jc w:val="center"/>
        <w:outlineLvl w:val="0"/>
        <w:rPr>
          <w:rFonts w:ascii="宋体" w:hAnsi="宋体" w:eastAsia="宋体" w:cs="宋体"/>
          <w:b/>
          <w:bCs/>
          <w:color w:val="000000" w:themeColor="text1"/>
          <w:sz w:val="44"/>
          <w:szCs w:val="44"/>
        </w:rPr>
      </w:pPr>
      <w:bookmarkStart w:id="5" w:name="_Toc4059"/>
      <w:bookmarkStart w:id="6" w:name="_Toc11934"/>
      <w:bookmarkStart w:id="7" w:name="_Toc30429"/>
      <w:bookmarkStart w:id="8" w:name="_Toc26414"/>
      <w:r>
        <w:rPr>
          <w:rFonts w:hint="eastAsia" w:ascii="宋体" w:hAnsi="宋体" w:eastAsia="宋体" w:cs="宋体"/>
          <w:b/>
          <w:bCs/>
          <w:color w:val="000000" w:themeColor="text1"/>
          <w:sz w:val="44"/>
          <w:szCs w:val="44"/>
        </w:rPr>
        <w:t>环境行政处罚自由裁量权裁量办法</w:t>
      </w:r>
      <w:bookmarkEnd w:id="5"/>
      <w:bookmarkEnd w:id="6"/>
      <w:bookmarkEnd w:id="7"/>
      <w:bookmarkEnd w:id="8"/>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(试行)</w:t>
      </w:r>
    </w:p>
    <w:p>
      <w:pPr>
        <w:rPr>
          <w:color w:val="000000" w:themeColor="text1"/>
        </w:rPr>
      </w:pPr>
    </w:p>
    <w:p>
      <w:pPr>
        <w:jc w:val="center"/>
        <w:outlineLvl w:val="0"/>
        <w:rPr>
          <w:rFonts w:ascii="黑体" w:hAnsi="黑体" w:eastAsia="黑体" w:cs="黑体"/>
          <w:b/>
          <w:bCs/>
          <w:color w:val="000000" w:themeColor="text1"/>
          <w:sz w:val="32"/>
          <w:szCs w:val="32"/>
        </w:rPr>
      </w:pPr>
      <w:bookmarkStart w:id="9" w:name="_Toc18988"/>
      <w:bookmarkStart w:id="10" w:name="_Toc26166"/>
      <w:bookmarkStart w:id="11" w:name="_Toc26361"/>
      <w:bookmarkStart w:id="12" w:name="_Toc27453"/>
      <w:r>
        <w:rPr>
          <w:rFonts w:hint="eastAsia" w:ascii="黑体" w:hAnsi="黑体" w:eastAsia="黑体" w:cs="黑体"/>
          <w:b/>
          <w:bCs/>
          <w:color w:val="000000" w:themeColor="text1"/>
          <w:sz w:val="32"/>
          <w:szCs w:val="32"/>
        </w:rPr>
        <w:t>第一章总则</w:t>
      </w:r>
      <w:bookmarkEnd w:id="9"/>
      <w:bookmarkEnd w:id="10"/>
      <w:bookmarkEnd w:id="11"/>
      <w:bookmarkEnd w:id="12"/>
    </w:p>
    <w:p>
      <w:pPr>
        <w:jc w:val="center"/>
        <w:rPr>
          <w:rFonts w:ascii="仿宋_GB2312" w:hAnsi="仿宋_GB2312" w:eastAsia="仿宋_GB2312" w:cs="仿宋_GB2312"/>
          <w:color w:val="000000" w:themeColor="text1"/>
          <w:sz w:val="32"/>
          <w:szCs w:val="32"/>
        </w:rPr>
      </w:pPr>
      <w:bookmarkStart w:id="13" w:name="_Toc30905"/>
      <w:bookmarkStart w:id="14" w:name="_Toc6367"/>
      <w:r>
        <w:rPr>
          <w:rFonts w:hint="eastAsia" w:ascii="黑体" w:hAnsi="黑体" w:eastAsia="黑体" w:cs="黑体"/>
          <w:b/>
          <w:bCs/>
          <w:color w:val="000000" w:themeColor="text1"/>
          <w:sz w:val="32"/>
          <w:szCs w:val="32"/>
        </w:rPr>
        <w:t>第一条目的和意义</w:t>
      </w:r>
      <w:bookmarkEnd w:id="13"/>
      <w:bookmarkEnd w:id="14"/>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为规范行使生态环境行政处罚自由裁量权，提高全市生态环境主管部门依法行政能力和水平，助力优化法治化营商环境 ,根据《中华人民共和国行政处罚法》《中华人民共和国环境保护法》《环境行政处罚办法》《生态环境部关于进一步规范适用环境行政处罚自由裁量权的指导意见》(环执法〔2019〕42号)《辽宁省生态环境厅环境行政处罚自由裁量权裁量办法(试行)》（辽环发〔2023〕9号）等规定，结合本市实际，制定本办法。</w:t>
      </w:r>
    </w:p>
    <w:p>
      <w:pPr>
        <w:jc w:val="center"/>
        <w:rPr>
          <w:rFonts w:ascii="黑体" w:hAnsi="黑体" w:eastAsia="黑体" w:cs="黑体"/>
          <w:b/>
          <w:bCs/>
          <w:color w:val="000000" w:themeColor="text1"/>
          <w:sz w:val="32"/>
          <w:szCs w:val="32"/>
        </w:rPr>
      </w:pPr>
      <w:bookmarkStart w:id="15" w:name="_Toc23761"/>
      <w:bookmarkStart w:id="16" w:name="_Toc556"/>
      <w:r>
        <w:rPr>
          <w:rFonts w:hint="eastAsia" w:ascii="黑体" w:hAnsi="黑体" w:eastAsia="黑体" w:cs="黑体"/>
          <w:b/>
          <w:bCs/>
          <w:color w:val="000000" w:themeColor="text1"/>
          <w:sz w:val="32"/>
          <w:szCs w:val="32"/>
        </w:rPr>
        <w:t>第二条制度定义</w:t>
      </w:r>
      <w:bookmarkEnd w:id="15"/>
      <w:bookmarkEnd w:id="16"/>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所称生态环境行政处罚自由裁量权，是指在实施生态环境行政处罚时，在法律、法规或规章规定的处罚行为、种类和幅度的范围内，综合考虑违法情节、违法手段、违法后果等因素，合理适用处罚种类、处罚幅度的权限。</w:t>
      </w:r>
    </w:p>
    <w:p>
      <w:pPr>
        <w:jc w:val="center"/>
        <w:rPr>
          <w:rFonts w:ascii="黑体" w:hAnsi="黑体" w:eastAsia="黑体" w:cs="黑体"/>
          <w:b/>
          <w:bCs/>
          <w:color w:val="000000" w:themeColor="text1"/>
          <w:sz w:val="32"/>
          <w:szCs w:val="32"/>
        </w:rPr>
      </w:pPr>
      <w:bookmarkStart w:id="17" w:name="_Toc15085"/>
      <w:bookmarkStart w:id="18" w:name="_Toc31653"/>
      <w:r>
        <w:rPr>
          <w:rFonts w:hint="eastAsia" w:ascii="黑体" w:hAnsi="黑体" w:eastAsia="黑体" w:cs="黑体"/>
          <w:b/>
          <w:bCs/>
          <w:color w:val="000000" w:themeColor="text1"/>
          <w:sz w:val="32"/>
          <w:szCs w:val="32"/>
        </w:rPr>
        <w:t>第三条适用范围</w:t>
      </w:r>
      <w:bookmarkEnd w:id="17"/>
      <w:bookmarkEnd w:id="18"/>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本办法适用于我市行政区域内实施的生态环境行政处罚工作。</w:t>
      </w:r>
    </w:p>
    <w:p>
      <w:pPr>
        <w:jc w:val="center"/>
        <w:rPr>
          <w:rFonts w:ascii="仿宋_GB2312" w:hAnsi="仿宋_GB2312" w:eastAsia="仿宋_GB2312" w:cs="仿宋_GB2312"/>
          <w:color w:val="000000" w:themeColor="text1"/>
          <w:sz w:val="32"/>
          <w:szCs w:val="32"/>
        </w:rPr>
      </w:pPr>
      <w:bookmarkStart w:id="19" w:name="_Toc7632"/>
      <w:bookmarkStart w:id="20" w:name="_Toc9182"/>
      <w:r>
        <w:rPr>
          <w:rFonts w:hint="eastAsia" w:ascii="黑体" w:hAnsi="黑体" w:eastAsia="黑体" w:cs="黑体"/>
          <w:b/>
          <w:bCs/>
          <w:color w:val="000000" w:themeColor="text1"/>
          <w:sz w:val="32"/>
          <w:szCs w:val="32"/>
        </w:rPr>
        <w:t>第四条裁量原则</w:t>
      </w:r>
      <w:bookmarkEnd w:id="19"/>
      <w:bookmarkEnd w:id="20"/>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(一)合法原则。生态环境部门应当在法律、法规、规章确定的裁量条件、种类、范围、幅度内行使行政处罚自由裁量权。除有法定的加重或减轻处罚情节外，一律不得突破法律、法规、规章规定的处罚幅度。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(二)合理原则。行使行政处罚自由裁量权，应当符合立法目的，充分考虑、全面衡量地区经济社会发展状况、执法对象情况、危害后果等相关因素，所采取的措施和手段应当必要、适当。</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(三)过罚相当原则。行使行政处罚自由裁量权，必须以事实为依据，处罚种类和幅度应当与当事人违法过错程度相适应，与环境违法行为的性质、情节以及社会危害程度相当。</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公开公平公正原则。行使行政处罚自由裁量权，应当向社会公开裁量标准，向当事人告知裁量所基于的事实、理由、依据等内容，听取当事人意见；应当平等对待行政管理相对人，公平、公正实施处罚，对事实、性质、情节、后果相同的情况应当给予相同的处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(五)处罚和教育相结合原则。教育公民、法人和其他组织 自觉守法，推动当事方强化生态环境保护主体责任，建立生态环境保护责任制度。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(六)综合裁量原则。对环境违法行为实施处罚时，应当在法定的处罚种类和幅度范围内，根据违法行为的性质、情节、危害程度作出裁量决定。</w:t>
      </w:r>
    </w:p>
    <w:p>
      <w:pPr>
        <w:jc w:val="center"/>
        <w:outlineLvl w:val="0"/>
        <w:rPr>
          <w:rFonts w:ascii="黑体" w:hAnsi="黑体" w:eastAsia="黑体" w:cs="黑体"/>
          <w:b/>
          <w:bCs/>
          <w:color w:val="000000" w:themeColor="text1"/>
          <w:sz w:val="32"/>
          <w:szCs w:val="32"/>
        </w:rPr>
      </w:pPr>
      <w:bookmarkStart w:id="21" w:name="_Toc25983"/>
      <w:bookmarkStart w:id="22" w:name="_Toc26723"/>
      <w:bookmarkStart w:id="23" w:name="_Toc3849"/>
      <w:bookmarkStart w:id="24" w:name="_Toc29773"/>
      <w:r>
        <w:rPr>
          <w:rFonts w:hint="eastAsia" w:ascii="黑体" w:hAnsi="黑体" w:eastAsia="黑体" w:cs="黑体"/>
          <w:b/>
          <w:bCs/>
          <w:color w:val="000000" w:themeColor="text1"/>
          <w:sz w:val="32"/>
          <w:szCs w:val="32"/>
        </w:rPr>
        <w:t>第二章自由裁量权适用</w:t>
      </w:r>
      <w:bookmarkEnd w:id="21"/>
      <w:bookmarkEnd w:id="22"/>
      <w:bookmarkEnd w:id="23"/>
      <w:bookmarkEnd w:id="24"/>
    </w:p>
    <w:p>
      <w:pPr>
        <w:jc w:val="center"/>
        <w:rPr>
          <w:rFonts w:ascii="黑体" w:hAnsi="黑体" w:eastAsia="黑体" w:cs="黑体"/>
          <w:b/>
          <w:bCs/>
          <w:color w:val="000000" w:themeColor="text1"/>
          <w:sz w:val="32"/>
          <w:szCs w:val="32"/>
        </w:rPr>
      </w:pPr>
      <w:bookmarkStart w:id="25" w:name="_Toc3128"/>
      <w:bookmarkStart w:id="26" w:name="_Toc7912"/>
      <w:r>
        <w:rPr>
          <w:rFonts w:hint="eastAsia" w:ascii="黑体" w:hAnsi="黑体" w:eastAsia="黑体" w:cs="黑体"/>
          <w:b/>
          <w:bCs/>
          <w:color w:val="000000" w:themeColor="text1"/>
          <w:sz w:val="32"/>
          <w:szCs w:val="32"/>
        </w:rPr>
        <w:t>第五条裁量基准的设定方式</w:t>
      </w:r>
      <w:bookmarkEnd w:id="25"/>
      <w:bookmarkEnd w:id="26"/>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行政处罚裁量基准采用百分比模式，根据违法行为设定的裁量因素，按照不同的情节和危害程度确定各项裁量因素的百分值。</w:t>
      </w:r>
    </w:p>
    <w:p>
      <w:pPr>
        <w:jc w:val="center"/>
        <w:rPr>
          <w:rFonts w:ascii="黑体" w:hAnsi="黑体" w:eastAsia="黑体" w:cs="黑体"/>
          <w:b/>
          <w:bCs/>
          <w:color w:val="000000" w:themeColor="text1"/>
          <w:sz w:val="32"/>
          <w:szCs w:val="32"/>
        </w:rPr>
      </w:pPr>
      <w:bookmarkStart w:id="27" w:name="_Toc10445"/>
      <w:bookmarkStart w:id="28" w:name="_Toc23045"/>
      <w:r>
        <w:rPr>
          <w:rFonts w:hint="eastAsia" w:ascii="黑体" w:hAnsi="黑体" w:eastAsia="黑体" w:cs="黑体"/>
          <w:b/>
          <w:bCs/>
          <w:color w:val="000000" w:themeColor="text1"/>
          <w:sz w:val="32"/>
          <w:szCs w:val="32"/>
        </w:rPr>
        <w:t>第六条裁量标准</w:t>
      </w:r>
      <w:bookmarkEnd w:id="27"/>
      <w:bookmarkEnd w:id="28"/>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行使行政处罚自由裁量权必须符合立法目的，并综合考虑以下情节：</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（一）环境违法行为造成环境污染、生态破坏的程度、企业经济承受能力以及社会影响；</w:t>
      </w:r>
    </w:p>
    <w:p>
      <w:pPr>
        <w:spacing w:before="210"/>
        <w:ind w:left="1203" w:right="339"/>
        <w:jc w:val="center"/>
        <w:rPr>
          <w:b/>
          <w:color w:val="000000" w:themeColor="text1"/>
          <w:sz w:val="12"/>
        </w:rPr>
      </w:pPr>
      <w:bookmarkStart w:id="29" w:name="_Toc29230"/>
      <w:r>
        <w:rPr>
          <w:rFonts w:hint="eastAsia" w:ascii="宋体" w:hAnsi="宋体" w:eastAsia="宋体" w:cs="宋体"/>
          <w:color w:val="000000" w:themeColor="text1"/>
          <w:sz w:val="32"/>
          <w:szCs w:val="32"/>
        </w:rPr>
        <w:t>总表 1：经济承受度裁量基准表</w:t>
      </w:r>
      <w:bookmarkEnd w:id="2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3"/>
        <w:gridCol w:w="345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2883"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裁量要素</w:t>
            </w:r>
          </w:p>
        </w:tc>
        <w:tc>
          <w:tcPr>
            <w:tcW w:w="3451"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企业类型</w:t>
            </w:r>
          </w:p>
        </w:tc>
        <w:tc>
          <w:tcPr>
            <w:tcW w:w="2316"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vMerge w:val="restart"/>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经济承受度</w:t>
            </w: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个体工商户、微型企业及一般自然人</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小型</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中型</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大型企业</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1%—10%</w:t>
            </w:r>
          </w:p>
        </w:tc>
      </w:tr>
    </w:tbl>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备注：经济承受度可结合实际，在处罚时进行调整，幅度在-20%至10%之间。</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“企业规模”的标准参照《统计上大中小微型企业划分办法(2017)》(国统字〔2017〕213号)进行认定，如有更新,按最新版本认定。</w:t>
      </w:r>
    </w:p>
    <w:p>
      <w:pPr>
        <w:spacing w:before="42"/>
        <w:jc w:val="center"/>
        <w:rPr>
          <w:b/>
          <w:color w:val="000000" w:themeColor="text1"/>
          <w:sz w:val="28"/>
        </w:rPr>
      </w:pPr>
    </w:p>
    <w:p>
      <w:pPr>
        <w:spacing w:before="42"/>
        <w:jc w:val="center"/>
        <w:rPr>
          <w:b/>
          <w:color w:val="000000" w:themeColor="text1"/>
          <w:sz w:val="28"/>
        </w:rPr>
      </w:pPr>
      <w:r>
        <w:rPr>
          <w:b/>
          <w:color w:val="000000" w:themeColor="text1"/>
          <w:sz w:val="28"/>
        </w:rPr>
        <w:t xml:space="preserve">总表 </w:t>
      </w:r>
      <w:r>
        <w:rPr>
          <w:rFonts w:hint="eastAsia" w:eastAsia="宋体"/>
          <w:b/>
          <w:color w:val="000000" w:themeColor="text1"/>
          <w:sz w:val="28"/>
        </w:rPr>
        <w:t>2</w:t>
      </w:r>
      <w:r>
        <w:rPr>
          <w:b/>
          <w:color w:val="000000" w:themeColor="text1"/>
          <w:sz w:val="28"/>
        </w:rPr>
        <w:t>：社会影响裁量基准表</w:t>
      </w:r>
    </w:p>
    <w:tbl>
      <w:tblPr>
        <w:tblStyle w:val="12"/>
        <w:tblpPr w:leftFromText="180" w:rightFromText="180" w:vertAnchor="text" w:horzAnchor="page" w:tblpX="1801" w:tblpY="228"/>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2"/>
        <w:gridCol w:w="1356"/>
        <w:gridCol w:w="1296"/>
        <w:gridCol w:w="1154"/>
        <w:gridCol w:w="1650"/>
        <w:gridCol w:w="16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1" w:hRule="atLeast"/>
        </w:trPr>
        <w:tc>
          <w:tcPr>
            <w:tcW w:w="1022" w:type="dxa"/>
            <w:tcBorders>
              <w:bottom w:val="single" w:color="000000" w:sz="4" w:space="0"/>
              <w:right w:val="single" w:color="000000" w:sz="4" w:space="0"/>
            </w:tcBorders>
          </w:tcPr>
          <w:p>
            <w:pPr>
              <w:pStyle w:val="16"/>
              <w:spacing w:before="158" w:line="242" w:lineRule="auto"/>
              <w:ind w:left="328" w:right="134" w:hanging="180"/>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裁量基准类别</w:t>
            </w:r>
          </w:p>
        </w:tc>
        <w:tc>
          <w:tcPr>
            <w:tcW w:w="1356" w:type="dxa"/>
            <w:tcBorders>
              <w:left w:val="single" w:color="000000" w:sz="4" w:space="0"/>
              <w:bottom w:val="single" w:color="000000" w:sz="4" w:space="0"/>
              <w:right w:val="single" w:color="000000" w:sz="4" w:space="0"/>
            </w:tcBorders>
          </w:tcPr>
          <w:p>
            <w:pPr>
              <w:pStyle w:val="16"/>
              <w:spacing w:before="158"/>
              <w:ind w:left="118" w:right="99"/>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裁量因素</w:t>
            </w:r>
          </w:p>
          <w:p>
            <w:pPr>
              <w:pStyle w:val="16"/>
              <w:spacing w:before="2"/>
              <w:ind w:left="118" w:right="102"/>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（裁量等级）</w:t>
            </w:r>
          </w:p>
        </w:tc>
        <w:tc>
          <w:tcPr>
            <w:tcW w:w="1296" w:type="dxa"/>
            <w:tcBorders>
              <w:left w:val="single" w:color="000000" w:sz="4" w:space="0"/>
              <w:bottom w:val="single" w:color="000000" w:sz="4" w:space="0"/>
              <w:right w:val="single" w:color="000000" w:sz="4" w:space="0"/>
            </w:tcBorders>
          </w:tcPr>
          <w:p>
            <w:pPr>
              <w:pStyle w:val="16"/>
              <w:spacing w:before="158"/>
              <w:ind w:left="134" w:right="113"/>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轻微</w:t>
            </w:r>
          </w:p>
          <w:p>
            <w:pPr>
              <w:pStyle w:val="16"/>
              <w:spacing w:before="2"/>
              <w:ind w:left="134" w:right="113"/>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（1 级）</w:t>
            </w:r>
          </w:p>
        </w:tc>
        <w:tc>
          <w:tcPr>
            <w:tcW w:w="1154" w:type="dxa"/>
            <w:tcBorders>
              <w:left w:val="single" w:color="000000" w:sz="4" w:space="0"/>
              <w:bottom w:val="single" w:color="000000" w:sz="4" w:space="0"/>
              <w:right w:val="single" w:color="000000" w:sz="4" w:space="0"/>
            </w:tcBorders>
          </w:tcPr>
          <w:p>
            <w:pPr>
              <w:pStyle w:val="16"/>
              <w:spacing w:before="158"/>
              <w:ind w:left="137" w:right="115"/>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一般</w:t>
            </w:r>
          </w:p>
          <w:p>
            <w:pPr>
              <w:pStyle w:val="16"/>
              <w:spacing w:before="2"/>
              <w:ind w:left="137" w:right="115"/>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（2 级）</w:t>
            </w:r>
          </w:p>
        </w:tc>
        <w:tc>
          <w:tcPr>
            <w:tcW w:w="1650" w:type="dxa"/>
            <w:tcBorders>
              <w:left w:val="single" w:color="000000" w:sz="4" w:space="0"/>
              <w:bottom w:val="single" w:color="000000" w:sz="4" w:space="0"/>
              <w:right w:val="single" w:color="000000" w:sz="4" w:space="0"/>
            </w:tcBorders>
          </w:tcPr>
          <w:p>
            <w:pPr>
              <w:pStyle w:val="16"/>
              <w:spacing w:before="158"/>
              <w:ind w:left="313" w:right="288"/>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较重</w:t>
            </w:r>
          </w:p>
          <w:p>
            <w:pPr>
              <w:pStyle w:val="16"/>
              <w:spacing w:before="2"/>
              <w:ind w:left="313" w:right="288"/>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（3 级）</w:t>
            </w:r>
          </w:p>
        </w:tc>
        <w:tc>
          <w:tcPr>
            <w:tcW w:w="1662" w:type="dxa"/>
            <w:tcBorders>
              <w:left w:val="single" w:color="000000" w:sz="4" w:space="0"/>
              <w:bottom w:val="single" w:color="000000" w:sz="4" w:space="0"/>
              <w:right w:val="single" w:color="000000" w:sz="4" w:space="0"/>
            </w:tcBorders>
          </w:tcPr>
          <w:p>
            <w:pPr>
              <w:pStyle w:val="16"/>
              <w:spacing w:before="158"/>
              <w:ind w:left="46" w:right="20"/>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严重</w:t>
            </w:r>
          </w:p>
          <w:p>
            <w:pPr>
              <w:pStyle w:val="16"/>
              <w:spacing w:before="2"/>
              <w:ind w:left="46" w:right="20"/>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（4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5" w:hRule="atLeast"/>
        </w:trPr>
        <w:tc>
          <w:tcPr>
            <w:tcW w:w="1022" w:type="dxa"/>
            <w:vMerge w:val="restart"/>
            <w:tcBorders>
              <w:top w:val="single" w:color="000000" w:sz="4" w:space="0"/>
              <w:right w:val="single" w:color="000000" w:sz="4" w:space="0"/>
            </w:tcBorders>
          </w:tcPr>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spacing w:before="5"/>
              <w:rPr>
                <w:rFonts w:ascii="仿宋_GB2312" w:hAnsi="仿宋_GB2312" w:eastAsia="仿宋_GB2312" w:cs="仿宋_GB2312"/>
                <w:b/>
                <w:color w:val="000000" w:themeColor="text1"/>
                <w:sz w:val="16"/>
              </w:rPr>
            </w:pPr>
          </w:p>
          <w:p>
            <w:pPr>
              <w:pStyle w:val="16"/>
              <w:spacing w:line="374" w:lineRule="auto"/>
              <w:ind w:left="425" w:right="399"/>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社会影响</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6"/>
              <w:ind w:right="10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舆论影响</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本 地 区</w:t>
            </w:r>
          </w:p>
          <w:p>
            <w:pPr>
              <w:pStyle w:val="16"/>
              <w:spacing w:before="2" w:line="244" w:lineRule="auto"/>
              <w:ind w:left="113" w:right="6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（县）级媒体曝光</w:t>
            </w:r>
          </w:p>
        </w:tc>
        <w:tc>
          <w:tcPr>
            <w:tcW w:w="1154" w:type="dxa"/>
            <w:tcBorders>
              <w:top w:val="single" w:color="000000" w:sz="4" w:space="0"/>
              <w:left w:val="single" w:color="000000" w:sz="4" w:space="0"/>
              <w:bottom w:val="single" w:color="000000" w:sz="4" w:space="0"/>
              <w:right w:val="single" w:color="000000" w:sz="4" w:space="0"/>
            </w:tcBorders>
            <w:vAlign w:val="center"/>
          </w:tcPr>
          <w:p>
            <w:pPr>
              <w:pStyle w:val="16"/>
              <w:spacing w:before="131" w:line="242" w:lineRule="auto"/>
              <w:ind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当地市级媒体曝光</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6"/>
              <w:spacing w:line="242" w:lineRule="auto"/>
              <w:ind w:right="5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3"/>
                <w:sz w:val="18"/>
              </w:rPr>
              <w:t>省级媒体曝光或者互联网曝光但</w:t>
            </w:r>
            <w:r>
              <w:rPr>
                <w:rFonts w:hint="eastAsia" w:ascii="仿宋_GB2312" w:hAnsi="仿宋_GB2312" w:eastAsia="仿宋_GB2312" w:cs="仿宋_GB2312"/>
                <w:color w:val="000000" w:themeColor="text1"/>
                <w:spacing w:val="-24"/>
                <w:sz w:val="18"/>
              </w:rPr>
              <w:t>反响不强烈</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16"/>
              <w:spacing w:line="242" w:lineRule="auto"/>
              <w:ind w:right="5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互联网门户网站曝光并且反响强烈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60"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6"/>
              <w:ind w:right="10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公众影响</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6"/>
              <w:spacing w:line="244" w:lineRule="auto"/>
              <w:ind w:right="6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一次有效投诉</w:t>
            </w:r>
          </w:p>
        </w:tc>
        <w:tc>
          <w:tcPr>
            <w:tcW w:w="1154" w:type="dxa"/>
            <w:tcBorders>
              <w:top w:val="single" w:color="000000" w:sz="4" w:space="0"/>
              <w:left w:val="single" w:color="000000" w:sz="4" w:space="0"/>
              <w:bottom w:val="single" w:color="000000" w:sz="4" w:space="0"/>
              <w:right w:val="single" w:color="000000" w:sz="4" w:space="0"/>
            </w:tcBorders>
            <w:vAlign w:val="center"/>
          </w:tcPr>
          <w:p>
            <w:pPr>
              <w:pStyle w:val="16"/>
              <w:spacing w:line="244" w:lineRule="auto"/>
              <w:ind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两次有效投诉</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6"/>
              <w:spacing w:line="244" w:lineRule="auto"/>
              <w:ind w:right="67"/>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三至四次有效投诉</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16"/>
              <w:ind w:right="64"/>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五次有效投诉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19"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6"/>
              <w:spacing w:before="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公私财产损失</w:t>
            </w:r>
          </w:p>
          <w:p>
            <w:pPr>
              <w:pStyle w:val="16"/>
              <w:spacing w:before="2"/>
              <w:ind w:left="112"/>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/违法所得</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6"/>
              <w:spacing w:before="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24"/>
                <w:sz w:val="18"/>
              </w:rPr>
              <w:t xml:space="preserve">小于 </w:t>
            </w:r>
            <w:r>
              <w:rPr>
                <w:rFonts w:hint="eastAsia" w:ascii="仿宋_GB2312" w:hAnsi="仿宋_GB2312" w:eastAsia="仿宋_GB2312" w:cs="仿宋_GB2312"/>
                <w:color w:val="000000" w:themeColor="text1"/>
                <w:sz w:val="18"/>
              </w:rPr>
              <w:t>1</w:t>
            </w:r>
            <w:r>
              <w:rPr>
                <w:rFonts w:hint="eastAsia" w:ascii="仿宋_GB2312" w:hAnsi="仿宋_GB2312" w:eastAsia="仿宋_GB2312" w:cs="仿宋_GB2312"/>
                <w:color w:val="000000" w:themeColor="text1"/>
                <w:spacing w:val="-24"/>
                <w:sz w:val="18"/>
              </w:rPr>
              <w:t xml:space="preserve"> 万元</w:t>
            </w:r>
          </w:p>
        </w:tc>
        <w:tc>
          <w:tcPr>
            <w:tcW w:w="1154" w:type="dxa"/>
            <w:tcBorders>
              <w:top w:val="single" w:color="000000" w:sz="4" w:space="0"/>
              <w:left w:val="single" w:color="000000" w:sz="4" w:space="0"/>
              <w:bottom w:val="single" w:color="000000" w:sz="4" w:space="0"/>
              <w:right w:val="single" w:color="000000" w:sz="4" w:space="0"/>
            </w:tcBorders>
            <w:vAlign w:val="center"/>
          </w:tcPr>
          <w:p>
            <w:pPr>
              <w:pStyle w:val="16"/>
              <w:spacing w:before="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1 万元以上</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6"/>
              <w:spacing w:before="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5 万元以上</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16"/>
              <w:spacing w:before="1"/>
              <w:ind w:right="64"/>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15 万元以上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04"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6"/>
              <w:spacing w:line="242" w:lineRule="auto"/>
              <w:ind w:right="79"/>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减少防治污染设施运行支出</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6"/>
              <w:spacing w:before="155"/>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小于1</w:t>
            </w:r>
            <w:r>
              <w:rPr>
                <w:rFonts w:hint="eastAsia" w:ascii="仿宋_GB2312" w:hAnsi="仿宋_GB2312" w:eastAsia="仿宋_GB2312" w:cs="仿宋_GB2312"/>
                <w:color w:val="000000" w:themeColor="text1"/>
                <w:spacing w:val="-15"/>
                <w:sz w:val="18"/>
              </w:rPr>
              <w:t xml:space="preserve"> 万元</w:t>
            </w:r>
          </w:p>
        </w:tc>
        <w:tc>
          <w:tcPr>
            <w:tcW w:w="1154" w:type="dxa"/>
            <w:tcBorders>
              <w:top w:val="single" w:color="000000" w:sz="4" w:space="0"/>
              <w:left w:val="single" w:color="000000" w:sz="4" w:space="0"/>
              <w:bottom w:val="single" w:color="000000" w:sz="4" w:space="0"/>
              <w:right w:val="single" w:color="000000" w:sz="4" w:space="0"/>
            </w:tcBorders>
            <w:vAlign w:val="center"/>
          </w:tcPr>
          <w:p>
            <w:pPr>
              <w:pStyle w:val="16"/>
              <w:spacing w:before="155"/>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1</w:t>
            </w:r>
            <w:r>
              <w:rPr>
                <w:rFonts w:hint="eastAsia" w:ascii="仿宋_GB2312" w:hAnsi="仿宋_GB2312" w:eastAsia="仿宋_GB2312" w:cs="仿宋_GB2312"/>
                <w:color w:val="000000" w:themeColor="text1"/>
                <w:sz w:val="18"/>
              </w:rPr>
              <w:t>万元以上</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6"/>
              <w:spacing w:before="155"/>
              <w:ind w:right="194"/>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万元以上</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16"/>
              <w:spacing w:before="155"/>
              <w:ind w:right="64"/>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25</w:t>
            </w:r>
            <w:r>
              <w:rPr>
                <w:rFonts w:hint="eastAsia" w:ascii="仿宋_GB2312" w:hAnsi="仿宋_GB2312" w:eastAsia="仿宋_GB2312" w:cs="仿宋_GB2312"/>
                <w:color w:val="000000" w:themeColor="text1"/>
                <w:sz w:val="18"/>
              </w:rPr>
              <w:t>万元以上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15"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right w:val="single" w:color="000000" w:sz="4" w:space="0"/>
            </w:tcBorders>
            <w:vAlign w:val="center"/>
          </w:tcPr>
          <w:p>
            <w:pPr>
              <w:pStyle w:val="16"/>
              <w:spacing w:before="8"/>
              <w:rPr>
                <w:rFonts w:ascii="仿宋_GB2312" w:hAnsi="仿宋_GB2312" w:eastAsia="仿宋_GB2312" w:cs="仿宋_GB2312"/>
                <w:b/>
                <w:color w:val="000000" w:themeColor="text1"/>
                <w:sz w:val="13"/>
              </w:rPr>
            </w:pPr>
          </w:p>
          <w:p>
            <w:pPr>
              <w:pStyle w:val="16"/>
              <w:ind w:left="118" w:right="10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人员伤亡</w:t>
            </w:r>
          </w:p>
        </w:tc>
        <w:tc>
          <w:tcPr>
            <w:tcW w:w="1296" w:type="dxa"/>
            <w:tcBorders>
              <w:top w:val="single" w:color="000000" w:sz="4" w:space="0"/>
              <w:left w:val="single" w:color="000000" w:sz="4" w:space="0"/>
              <w:right w:val="single" w:color="000000" w:sz="4" w:space="0"/>
            </w:tcBorders>
            <w:vAlign w:val="center"/>
          </w:tcPr>
          <w:p>
            <w:pPr>
              <w:pStyle w:val="16"/>
              <w:spacing w:before="6"/>
              <w:rPr>
                <w:rFonts w:ascii="仿宋_GB2312" w:hAnsi="仿宋_GB2312" w:eastAsia="仿宋_GB2312" w:cs="仿宋_GB2312"/>
                <w:b/>
                <w:color w:val="000000" w:themeColor="text1"/>
                <w:sz w:val="22"/>
              </w:rPr>
            </w:pPr>
          </w:p>
          <w:p>
            <w:pPr>
              <w:pStyle w:val="16"/>
              <w:spacing w:line="244" w:lineRule="auto"/>
              <w:ind w:left="113"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6"/>
                <w:sz w:val="18"/>
                <w:lang w:val="en-US"/>
              </w:rPr>
              <w:t>/</w:t>
            </w:r>
          </w:p>
        </w:tc>
        <w:tc>
          <w:tcPr>
            <w:tcW w:w="1154" w:type="dxa"/>
            <w:tcBorders>
              <w:top w:val="single" w:color="000000" w:sz="4" w:space="0"/>
              <w:left w:val="single" w:color="000000" w:sz="4" w:space="0"/>
              <w:right w:val="single" w:color="000000" w:sz="4" w:space="0"/>
            </w:tcBorders>
            <w:vAlign w:val="center"/>
          </w:tcPr>
          <w:p>
            <w:pPr>
              <w:pStyle w:val="16"/>
              <w:spacing w:before="2"/>
              <w:rPr>
                <w:rFonts w:ascii="仿宋_GB2312" w:hAnsi="仿宋_GB2312" w:eastAsia="仿宋_GB2312" w:cs="仿宋_GB2312"/>
                <w:b/>
                <w:color w:val="000000" w:themeColor="text1"/>
                <w:sz w:val="13"/>
              </w:rPr>
            </w:pPr>
          </w:p>
          <w:p>
            <w:pPr>
              <w:pStyle w:val="16"/>
              <w:spacing w:line="242" w:lineRule="auto"/>
              <w:ind w:left="113"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9"/>
                <w:sz w:val="18"/>
              </w:rPr>
              <w:t>疏散、转移</w:t>
            </w:r>
            <w:r>
              <w:rPr>
                <w:rFonts w:hint="eastAsia" w:ascii="仿宋_GB2312" w:hAnsi="仿宋_GB2312" w:eastAsia="仿宋_GB2312" w:cs="仿宋_GB2312"/>
                <w:color w:val="000000" w:themeColor="text1"/>
                <w:spacing w:val="-13"/>
                <w:sz w:val="18"/>
              </w:rPr>
              <w:t xml:space="preserve">群众 </w:t>
            </w:r>
            <w:r>
              <w:rPr>
                <w:rFonts w:hint="eastAsia" w:ascii="仿宋_GB2312" w:hAnsi="仿宋_GB2312" w:eastAsia="仿宋_GB2312" w:cs="仿宋_GB2312"/>
                <w:color w:val="000000" w:themeColor="text1"/>
                <w:sz w:val="18"/>
              </w:rPr>
              <w:t xml:space="preserve">1000 人以下；5 </w:t>
            </w:r>
            <w:r>
              <w:rPr>
                <w:rFonts w:hint="eastAsia" w:ascii="仿宋_GB2312" w:hAnsi="仿宋_GB2312" w:eastAsia="仿宋_GB2312" w:cs="仿宋_GB2312"/>
                <w:color w:val="000000" w:themeColor="text1"/>
                <w:spacing w:val="27"/>
                <w:sz w:val="18"/>
              </w:rPr>
              <w:t>人以下中</w:t>
            </w:r>
            <w:r>
              <w:rPr>
                <w:rFonts w:hint="eastAsia" w:ascii="仿宋_GB2312" w:hAnsi="仿宋_GB2312" w:eastAsia="仿宋_GB2312" w:cs="仿宋_GB2312"/>
                <w:color w:val="000000" w:themeColor="text1"/>
                <w:sz w:val="18"/>
              </w:rPr>
              <w:t>毒</w:t>
            </w:r>
          </w:p>
        </w:tc>
        <w:tc>
          <w:tcPr>
            <w:tcW w:w="1650" w:type="dxa"/>
            <w:tcBorders>
              <w:top w:val="single" w:color="000000" w:sz="4" w:space="0"/>
              <w:left w:val="single" w:color="000000" w:sz="4" w:space="0"/>
              <w:right w:val="single" w:color="000000" w:sz="4" w:space="0"/>
            </w:tcBorders>
            <w:vAlign w:val="center"/>
          </w:tcPr>
          <w:p>
            <w:pPr>
              <w:pStyle w:val="16"/>
              <w:spacing w:before="12"/>
              <w:rPr>
                <w:rFonts w:ascii="仿宋_GB2312" w:hAnsi="仿宋_GB2312" w:eastAsia="仿宋_GB2312" w:cs="仿宋_GB2312"/>
                <w:b/>
                <w:color w:val="000000" w:themeColor="text1"/>
              </w:rPr>
            </w:pPr>
          </w:p>
          <w:p>
            <w:pPr>
              <w:pStyle w:val="16"/>
              <w:spacing w:line="242" w:lineRule="auto"/>
              <w:ind w:left="114" w:right="-15"/>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6"/>
                <w:sz w:val="18"/>
              </w:rPr>
              <w:t>疏散、转移群</w:t>
            </w:r>
            <w:r>
              <w:rPr>
                <w:rFonts w:hint="eastAsia" w:ascii="仿宋_GB2312" w:hAnsi="仿宋_GB2312" w:eastAsia="仿宋_GB2312" w:cs="仿宋_GB2312"/>
                <w:color w:val="000000" w:themeColor="text1"/>
                <w:spacing w:val="13"/>
                <w:sz w:val="18"/>
              </w:rPr>
              <w:t xml:space="preserve">众 </w:t>
            </w:r>
            <w:r>
              <w:rPr>
                <w:rFonts w:hint="eastAsia" w:ascii="仿宋_GB2312" w:hAnsi="仿宋_GB2312" w:eastAsia="仿宋_GB2312" w:cs="仿宋_GB2312"/>
                <w:color w:val="000000" w:themeColor="text1"/>
                <w:sz w:val="18"/>
              </w:rPr>
              <w:t>1000</w:t>
            </w:r>
            <w:r>
              <w:rPr>
                <w:rFonts w:hint="eastAsia" w:ascii="仿宋_GB2312" w:hAnsi="仿宋_GB2312" w:eastAsia="仿宋_GB2312" w:cs="仿宋_GB2312"/>
                <w:color w:val="000000" w:themeColor="text1"/>
                <w:spacing w:val="26"/>
                <w:sz w:val="18"/>
              </w:rPr>
              <w:t xml:space="preserve"> 人以</w:t>
            </w:r>
            <w:r>
              <w:rPr>
                <w:rFonts w:hint="eastAsia" w:ascii="仿宋_GB2312" w:hAnsi="仿宋_GB2312" w:eastAsia="仿宋_GB2312" w:cs="仿宋_GB2312"/>
                <w:color w:val="000000" w:themeColor="text1"/>
                <w:spacing w:val="-14"/>
                <w:sz w:val="18"/>
              </w:rPr>
              <w:t>上；</w:t>
            </w:r>
            <w:r>
              <w:rPr>
                <w:rFonts w:hint="eastAsia" w:ascii="仿宋_GB2312" w:hAnsi="仿宋_GB2312" w:eastAsia="仿宋_GB2312" w:cs="仿宋_GB2312"/>
                <w:color w:val="000000" w:themeColor="text1"/>
                <w:spacing w:val="-28"/>
                <w:sz w:val="18"/>
              </w:rPr>
              <w:t>5</w:t>
            </w:r>
            <w:r>
              <w:rPr>
                <w:rFonts w:hint="eastAsia" w:ascii="仿宋_GB2312" w:hAnsi="仿宋_GB2312" w:eastAsia="仿宋_GB2312" w:cs="仿宋_GB2312"/>
                <w:color w:val="000000" w:themeColor="text1"/>
                <w:spacing w:val="-10"/>
                <w:sz w:val="18"/>
              </w:rPr>
              <w:t xml:space="preserve"> 人以上中</w:t>
            </w:r>
            <w:r>
              <w:rPr>
                <w:rFonts w:hint="eastAsia" w:ascii="仿宋_GB2312" w:hAnsi="仿宋_GB2312" w:eastAsia="仿宋_GB2312" w:cs="仿宋_GB2312"/>
                <w:color w:val="000000" w:themeColor="text1"/>
                <w:spacing w:val="-5"/>
                <w:sz w:val="18"/>
              </w:rPr>
              <w:t>毒；一人轻伤、</w:t>
            </w:r>
            <w:r>
              <w:rPr>
                <w:rFonts w:hint="eastAsia" w:ascii="仿宋_GB2312" w:hAnsi="仿宋_GB2312" w:eastAsia="仿宋_GB2312" w:cs="仿宋_GB2312"/>
                <w:color w:val="000000" w:themeColor="text1"/>
                <w:spacing w:val="16"/>
                <w:sz w:val="18"/>
              </w:rPr>
              <w:t>轻度残疾或者器官组织损伤导致一般功能</w:t>
            </w:r>
            <w:r>
              <w:rPr>
                <w:rFonts w:hint="eastAsia" w:ascii="仿宋_GB2312" w:hAnsi="仿宋_GB2312" w:eastAsia="仿宋_GB2312" w:cs="仿宋_GB2312"/>
                <w:color w:val="000000" w:themeColor="text1"/>
                <w:sz w:val="18"/>
              </w:rPr>
              <w:t>障碍</w:t>
            </w:r>
          </w:p>
        </w:tc>
        <w:tc>
          <w:tcPr>
            <w:tcW w:w="1662" w:type="dxa"/>
            <w:tcBorders>
              <w:top w:val="single" w:color="000000" w:sz="4" w:space="0"/>
              <w:left w:val="single" w:color="000000" w:sz="4" w:space="0"/>
              <w:right w:val="single" w:color="000000" w:sz="4" w:space="0"/>
            </w:tcBorders>
            <w:vAlign w:val="center"/>
          </w:tcPr>
          <w:p>
            <w:pPr>
              <w:pStyle w:val="16"/>
              <w:rPr>
                <w:rFonts w:ascii="仿宋_GB2312" w:hAnsi="仿宋_GB2312" w:eastAsia="仿宋_GB2312" w:cs="仿宋_GB2312"/>
                <w:b/>
                <w:color w:val="000000" w:themeColor="text1"/>
                <w:sz w:val="18"/>
              </w:rPr>
            </w:pPr>
          </w:p>
          <w:p>
            <w:pPr>
              <w:pStyle w:val="16"/>
              <w:spacing w:line="242" w:lineRule="auto"/>
              <w:ind w:right="5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0"/>
                <w:sz w:val="18"/>
              </w:rPr>
              <w:t>疏散、转移群</w:t>
            </w:r>
            <w:r>
              <w:rPr>
                <w:rFonts w:hint="eastAsia" w:ascii="仿宋_GB2312" w:hAnsi="仿宋_GB2312" w:eastAsia="仿宋_GB2312" w:cs="仿宋_GB2312"/>
                <w:color w:val="000000" w:themeColor="text1"/>
                <w:spacing w:val="-19"/>
                <w:sz w:val="18"/>
              </w:rPr>
              <w:t xml:space="preserve">众 </w:t>
            </w:r>
            <w:r>
              <w:rPr>
                <w:rFonts w:hint="eastAsia" w:ascii="仿宋_GB2312" w:hAnsi="仿宋_GB2312" w:eastAsia="仿宋_GB2312" w:cs="仿宋_GB2312"/>
                <w:color w:val="000000" w:themeColor="text1"/>
                <w:sz w:val="18"/>
              </w:rPr>
              <w:t>2500</w:t>
            </w:r>
            <w:r>
              <w:rPr>
                <w:rFonts w:hint="eastAsia" w:ascii="仿宋_GB2312" w:hAnsi="仿宋_GB2312" w:eastAsia="仿宋_GB2312" w:cs="仿宋_GB2312"/>
                <w:color w:val="000000" w:themeColor="text1"/>
                <w:spacing w:val="-10"/>
                <w:sz w:val="18"/>
              </w:rPr>
              <w:t xml:space="preserve"> 人以</w:t>
            </w:r>
            <w:r>
              <w:rPr>
                <w:rFonts w:hint="eastAsia" w:ascii="仿宋_GB2312" w:hAnsi="仿宋_GB2312" w:eastAsia="仿宋_GB2312" w:cs="仿宋_GB2312"/>
                <w:color w:val="000000" w:themeColor="text1"/>
                <w:spacing w:val="5"/>
                <w:sz w:val="18"/>
              </w:rPr>
              <w:t>上；</w:t>
            </w:r>
            <w:r>
              <w:rPr>
                <w:rFonts w:hint="eastAsia" w:ascii="仿宋_GB2312" w:hAnsi="仿宋_GB2312" w:eastAsia="仿宋_GB2312" w:cs="仿宋_GB2312"/>
                <w:color w:val="000000" w:themeColor="text1"/>
                <w:spacing w:val="2"/>
                <w:sz w:val="18"/>
              </w:rPr>
              <w:t>15</w:t>
            </w:r>
            <w:r>
              <w:rPr>
                <w:rFonts w:hint="eastAsia" w:ascii="仿宋_GB2312" w:hAnsi="仿宋_GB2312" w:eastAsia="仿宋_GB2312" w:cs="仿宋_GB2312"/>
                <w:color w:val="000000" w:themeColor="text1"/>
                <w:spacing w:val="8"/>
                <w:sz w:val="18"/>
              </w:rPr>
              <w:t xml:space="preserve"> 人以</w:t>
            </w:r>
            <w:r>
              <w:rPr>
                <w:rFonts w:hint="eastAsia" w:ascii="仿宋_GB2312" w:hAnsi="仿宋_GB2312" w:eastAsia="仿宋_GB2312" w:cs="仿宋_GB2312"/>
                <w:color w:val="000000" w:themeColor="text1"/>
                <w:spacing w:val="-10"/>
                <w:sz w:val="18"/>
              </w:rPr>
              <w:t>上中毒；两人</w:t>
            </w:r>
            <w:r>
              <w:rPr>
                <w:rFonts w:hint="eastAsia" w:ascii="仿宋_GB2312" w:hAnsi="仿宋_GB2312" w:eastAsia="仿宋_GB2312" w:cs="仿宋_GB2312"/>
                <w:color w:val="000000" w:themeColor="text1"/>
                <w:spacing w:val="-17"/>
                <w:sz w:val="18"/>
              </w:rPr>
              <w:t>以上轻伤、轻</w:t>
            </w:r>
            <w:r>
              <w:rPr>
                <w:rFonts w:hint="eastAsia" w:ascii="仿宋_GB2312" w:hAnsi="仿宋_GB2312" w:eastAsia="仿宋_GB2312" w:cs="仿宋_GB2312"/>
                <w:color w:val="000000" w:themeColor="text1"/>
                <w:spacing w:val="27"/>
                <w:sz w:val="18"/>
              </w:rPr>
              <w:t>度残疾或者器官组织损伤导致一般</w:t>
            </w:r>
            <w:r>
              <w:rPr>
                <w:rFonts w:hint="eastAsia" w:ascii="仿宋_GB2312" w:hAnsi="仿宋_GB2312" w:eastAsia="仿宋_GB2312" w:cs="仿宋_GB2312"/>
                <w:color w:val="000000" w:themeColor="text1"/>
                <w:sz w:val="18"/>
              </w:rPr>
              <w:t>功能障碍</w:t>
            </w:r>
          </w:p>
        </w:tc>
      </w:tr>
    </w:tbl>
    <w:p>
      <w:pP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备注：1 代表轻微；2 代表一般；3 代表较重；4 代表严重。</w:t>
      </w:r>
    </w:p>
    <w:p>
      <w:pPr>
        <w:ind w:firstLine="420" w:firstLineChars="200"/>
        <w:rPr>
          <w:rFonts w:ascii="仿宋_GB2312" w:hAnsi="仿宋_GB2312" w:eastAsia="仿宋_GB2312" w:cs="仿宋_GB2312"/>
          <w:color w:val="000000" w:themeColor="text1"/>
        </w:rPr>
      </w:pPr>
    </w:p>
    <w:p>
      <w:pPr>
        <w:pStyle w:val="4"/>
        <w:spacing w:before="34"/>
        <w:ind w:left="0"/>
        <w:rPr>
          <w:color w:val="000000" w:themeColor="text1"/>
        </w:rPr>
      </w:pPr>
    </w:p>
    <w:p>
      <w:pPr>
        <w:pStyle w:val="4"/>
        <w:spacing w:before="34"/>
        <w:ind w:left="0"/>
        <w:jc w:val="center"/>
        <w:rPr>
          <w:color w:val="000000" w:themeColor="text1"/>
        </w:rPr>
      </w:pPr>
    </w:p>
    <w:p>
      <w:pPr>
        <w:spacing w:before="34"/>
        <w:jc w:val="center"/>
        <w:rPr>
          <w:color w:val="000000" w:themeColor="text1"/>
        </w:rPr>
      </w:pPr>
    </w:p>
    <w:p>
      <w:pPr>
        <w:spacing w:before="34"/>
        <w:jc w:val="center"/>
        <w:rPr>
          <w:color w:val="000000" w:themeColor="text1"/>
        </w:rPr>
      </w:pPr>
      <w:r>
        <w:rPr>
          <w:color w:val="000000" w:themeColor="text1"/>
        </w:rPr>
        <w:t>总表</w:t>
      </w:r>
      <w:r>
        <w:rPr>
          <w:rFonts w:hint="eastAsia"/>
          <w:color w:val="000000" w:themeColor="text1"/>
        </w:rPr>
        <w:t>3</w:t>
      </w:r>
      <w:r>
        <w:rPr>
          <w:color w:val="000000" w:themeColor="text1"/>
        </w:rPr>
        <w:t>：生态破坏裁量基准表</w:t>
      </w:r>
    </w:p>
    <w:p>
      <w:pPr>
        <w:ind w:firstLine="420" w:firstLineChars="200"/>
        <w:rPr>
          <w:rFonts w:ascii="仿宋_GB2312" w:hAnsi="仿宋_GB2312" w:eastAsia="仿宋_GB2312" w:cs="仿宋_GB2312"/>
          <w:color w:val="000000" w:themeColor="text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628"/>
        <w:gridCol w:w="64"/>
        <w:gridCol w:w="605"/>
        <w:gridCol w:w="1634"/>
        <w:gridCol w:w="1634"/>
        <w:gridCol w:w="1634"/>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81" w:type="dxa"/>
            <w:gridSpan w:val="4"/>
          </w:tcPr>
          <w:p>
            <w:pPr>
              <w:pStyle w:val="16"/>
              <w:spacing w:before="158"/>
              <w:ind w:left="118" w:right="99"/>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裁量因素</w:t>
            </w:r>
          </w:p>
          <w:p>
            <w:pPr>
              <w:pStyle w:val="16"/>
              <w:spacing w:before="2"/>
              <w:ind w:left="118" w:right="102"/>
              <w:jc w:val="center"/>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sz w:val="18"/>
              </w:rPr>
              <w:t>（裁量等级）</w:t>
            </w:r>
          </w:p>
        </w:tc>
        <w:tc>
          <w:tcPr>
            <w:tcW w:w="1634" w:type="dxa"/>
          </w:tcPr>
          <w:p>
            <w:pPr>
              <w:pStyle w:val="16"/>
              <w:spacing w:before="158"/>
              <w:ind w:left="134" w:right="113"/>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轻微</w:t>
            </w:r>
          </w:p>
          <w:p>
            <w:pPr>
              <w:pStyle w:val="16"/>
              <w:spacing w:before="2"/>
              <w:ind w:left="134" w:right="113"/>
              <w:jc w:val="center"/>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sz w:val="18"/>
              </w:rPr>
              <w:t>（1 级）</w:t>
            </w:r>
          </w:p>
        </w:tc>
        <w:tc>
          <w:tcPr>
            <w:tcW w:w="1634" w:type="dxa"/>
          </w:tcPr>
          <w:p>
            <w:pPr>
              <w:pStyle w:val="16"/>
              <w:spacing w:before="158"/>
              <w:ind w:left="137" w:right="115"/>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一般</w:t>
            </w:r>
          </w:p>
          <w:p>
            <w:pPr>
              <w:pStyle w:val="16"/>
              <w:spacing w:before="2"/>
              <w:ind w:left="137" w:right="115"/>
              <w:jc w:val="center"/>
              <w:rPr>
                <w:b/>
                <w:color w:val="000000" w:themeColor="text1"/>
                <w:sz w:val="18"/>
              </w:rPr>
            </w:pPr>
            <w:r>
              <w:rPr>
                <w:rFonts w:hint="eastAsia" w:ascii="仿宋_GB2312" w:hAnsi="仿宋_GB2312" w:eastAsia="仿宋_GB2312" w:cs="仿宋_GB2312"/>
                <w:b/>
                <w:color w:val="000000" w:themeColor="text1"/>
                <w:sz w:val="18"/>
              </w:rPr>
              <w:t>（2 级）</w:t>
            </w:r>
          </w:p>
        </w:tc>
        <w:tc>
          <w:tcPr>
            <w:tcW w:w="1634" w:type="dxa"/>
            <w:vAlign w:val="center"/>
          </w:tcPr>
          <w:p>
            <w:pPr>
              <w:pStyle w:val="16"/>
              <w:spacing w:before="158"/>
              <w:ind w:left="313" w:right="288"/>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较重</w:t>
            </w:r>
          </w:p>
          <w:p>
            <w:pPr>
              <w:pStyle w:val="16"/>
              <w:spacing w:before="2"/>
              <w:ind w:right="288"/>
              <w:jc w:val="center"/>
              <w:rPr>
                <w:b/>
                <w:color w:val="000000" w:themeColor="text1"/>
                <w:sz w:val="18"/>
              </w:rPr>
            </w:pPr>
            <w:r>
              <w:rPr>
                <w:rFonts w:hint="eastAsia" w:ascii="仿宋_GB2312" w:hAnsi="仿宋_GB2312" w:eastAsia="仿宋_GB2312" w:cs="仿宋_GB2312"/>
                <w:b/>
                <w:color w:val="000000" w:themeColor="text1"/>
                <w:sz w:val="18"/>
              </w:rPr>
              <w:t>（3 级）</w:t>
            </w:r>
          </w:p>
        </w:tc>
        <w:tc>
          <w:tcPr>
            <w:tcW w:w="1634" w:type="dxa"/>
          </w:tcPr>
          <w:p>
            <w:pPr>
              <w:pStyle w:val="16"/>
              <w:spacing w:before="158"/>
              <w:ind w:left="46" w:right="20"/>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严重</w:t>
            </w:r>
          </w:p>
          <w:p>
            <w:pPr>
              <w:pStyle w:val="16"/>
              <w:spacing w:before="2"/>
              <w:ind w:left="46" w:right="20"/>
              <w:jc w:val="center"/>
              <w:rPr>
                <w:b/>
                <w:color w:val="000000" w:themeColor="text1"/>
                <w:sz w:val="18"/>
              </w:rPr>
            </w:pPr>
            <w:r>
              <w:rPr>
                <w:rFonts w:hint="eastAsia" w:ascii="仿宋_GB2312" w:hAnsi="仿宋_GB2312" w:eastAsia="仿宋_GB2312" w:cs="仿宋_GB2312"/>
                <w:b/>
                <w:color w:val="000000" w:themeColor="text1"/>
                <w:sz w:val="18"/>
              </w:rPr>
              <w:t>（4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8" w:hRule="atLeast"/>
        </w:trPr>
        <w:tc>
          <w:tcPr>
            <w:tcW w:w="484" w:type="dxa"/>
            <w:vMerge w:val="restart"/>
          </w:tcPr>
          <w:p>
            <w:pPr>
              <w:rPr>
                <w:rFonts w:ascii="仿宋_GB2312" w:hAnsi="仿宋_GB2312" w:eastAsia="仿宋_GB2312" w:cs="仿宋_GB2312"/>
                <w:color w:val="000000" w:themeColor="text1"/>
              </w:rPr>
            </w:pPr>
          </w:p>
        </w:tc>
        <w:tc>
          <w:tcPr>
            <w:tcW w:w="1297" w:type="dxa"/>
            <w:gridSpan w:val="3"/>
            <w:vAlign w:val="center"/>
          </w:tcPr>
          <w:p>
            <w:pPr>
              <w:pStyle w:val="16"/>
              <w:ind w:right="424"/>
              <w:jc w:val="center"/>
              <w:rPr>
                <w:color w:val="000000" w:themeColor="text1"/>
                <w:sz w:val="18"/>
              </w:rPr>
            </w:pPr>
            <w:r>
              <w:rPr>
                <w:color w:val="000000" w:themeColor="text1"/>
                <w:sz w:val="18"/>
              </w:rPr>
              <w:t>土</w:t>
            </w:r>
          </w:p>
          <w:p>
            <w:pPr>
              <w:pStyle w:val="16"/>
              <w:ind w:right="424"/>
              <w:jc w:val="center"/>
              <w:rPr>
                <w:color w:val="000000" w:themeColor="text1"/>
                <w:sz w:val="18"/>
              </w:rPr>
            </w:pPr>
            <w:r>
              <w:rPr>
                <w:color w:val="000000" w:themeColor="text1"/>
                <w:sz w:val="18"/>
              </w:rPr>
              <w:t>壤</w:t>
            </w:r>
          </w:p>
        </w:tc>
        <w:tc>
          <w:tcPr>
            <w:tcW w:w="1634" w:type="dxa"/>
            <w:vAlign w:val="center"/>
          </w:tcPr>
          <w:p>
            <w:pPr>
              <w:pStyle w:val="16"/>
              <w:spacing w:line="242" w:lineRule="auto"/>
              <w:ind w:right="6"/>
              <w:jc w:val="center"/>
              <w:rPr>
                <w:color w:val="000000" w:themeColor="text1"/>
                <w:sz w:val="18"/>
              </w:rPr>
            </w:pPr>
            <w:r>
              <w:rPr>
                <w:color w:val="000000" w:themeColor="text1"/>
                <w:spacing w:val="-10"/>
                <w:sz w:val="18"/>
              </w:rPr>
              <w:t>基本农田、防</w:t>
            </w:r>
            <w:r>
              <w:rPr>
                <w:color w:val="000000" w:themeColor="text1"/>
                <w:spacing w:val="-15"/>
                <w:sz w:val="18"/>
              </w:rPr>
              <w:t>护林地、特种</w:t>
            </w:r>
            <w:r>
              <w:rPr>
                <w:color w:val="000000" w:themeColor="text1"/>
                <w:spacing w:val="27"/>
                <w:sz w:val="18"/>
              </w:rPr>
              <w:t>用途林地一</w:t>
            </w:r>
            <w:r>
              <w:rPr>
                <w:color w:val="000000" w:themeColor="text1"/>
                <w:spacing w:val="-10"/>
                <w:sz w:val="18"/>
              </w:rPr>
              <w:t>亩以下，其他</w:t>
            </w:r>
            <w:r>
              <w:rPr>
                <w:color w:val="000000" w:themeColor="text1"/>
                <w:spacing w:val="27"/>
                <w:sz w:val="18"/>
              </w:rPr>
              <w:t>农用地一亩</w:t>
            </w:r>
            <w:r>
              <w:rPr>
                <w:color w:val="000000" w:themeColor="text1"/>
                <w:spacing w:val="-10"/>
                <w:sz w:val="18"/>
              </w:rPr>
              <w:t>以下，其他土</w:t>
            </w:r>
            <w:r>
              <w:rPr>
                <w:color w:val="000000" w:themeColor="text1"/>
                <w:spacing w:val="27"/>
                <w:sz w:val="18"/>
              </w:rPr>
              <w:t>地五亩以下</w:t>
            </w:r>
            <w:r>
              <w:rPr>
                <w:color w:val="000000" w:themeColor="text1"/>
                <w:sz w:val="18"/>
              </w:rPr>
              <w:t>遭受污染</w:t>
            </w:r>
          </w:p>
        </w:tc>
        <w:tc>
          <w:tcPr>
            <w:tcW w:w="1634" w:type="dxa"/>
            <w:vAlign w:val="center"/>
          </w:tcPr>
          <w:p>
            <w:pPr>
              <w:pStyle w:val="16"/>
              <w:spacing w:line="242" w:lineRule="auto"/>
              <w:ind w:right="9"/>
              <w:jc w:val="center"/>
              <w:rPr>
                <w:color w:val="000000" w:themeColor="text1"/>
                <w:sz w:val="18"/>
              </w:rPr>
            </w:pPr>
            <w:r>
              <w:rPr>
                <w:color w:val="000000" w:themeColor="text1"/>
                <w:spacing w:val="-10"/>
                <w:sz w:val="18"/>
              </w:rPr>
              <w:t>基本农田、防护林地、特种用途</w:t>
            </w:r>
            <w:r>
              <w:rPr>
                <w:color w:val="000000" w:themeColor="text1"/>
                <w:spacing w:val="-8"/>
                <w:sz w:val="18"/>
              </w:rPr>
              <w:t xml:space="preserve">林地一亩以上， </w:t>
            </w:r>
            <w:r>
              <w:rPr>
                <w:color w:val="000000" w:themeColor="text1"/>
                <w:spacing w:val="21"/>
                <w:sz w:val="18"/>
              </w:rPr>
              <w:t>其他农用地一</w:t>
            </w:r>
            <w:r>
              <w:rPr>
                <w:color w:val="000000" w:themeColor="text1"/>
                <w:spacing w:val="-10"/>
                <w:sz w:val="18"/>
              </w:rPr>
              <w:t>亩以上，其他土</w:t>
            </w:r>
            <w:r>
              <w:rPr>
                <w:color w:val="000000" w:themeColor="text1"/>
                <w:spacing w:val="21"/>
                <w:sz w:val="18"/>
              </w:rPr>
              <w:t>地五亩以上遭</w:t>
            </w:r>
            <w:r>
              <w:rPr>
                <w:color w:val="000000" w:themeColor="text1"/>
                <w:spacing w:val="-8"/>
                <w:sz w:val="18"/>
              </w:rPr>
              <w:t>受较重破坏</w:t>
            </w:r>
          </w:p>
        </w:tc>
        <w:tc>
          <w:tcPr>
            <w:tcW w:w="1634" w:type="dxa"/>
            <w:vAlign w:val="center"/>
          </w:tcPr>
          <w:p>
            <w:pPr>
              <w:pStyle w:val="16"/>
              <w:spacing w:line="242" w:lineRule="auto"/>
              <w:ind w:right="27"/>
              <w:jc w:val="center"/>
              <w:rPr>
                <w:color w:val="000000" w:themeColor="text1"/>
                <w:sz w:val="18"/>
              </w:rPr>
            </w:pPr>
            <w:r>
              <w:rPr>
                <w:color w:val="000000" w:themeColor="text1"/>
                <w:sz w:val="18"/>
              </w:rPr>
              <w:t>基本农田、防护林地、特种用途林地三亩以上， 其他农用地五亩以上，其他土地十亩以上遭受严重破坏</w:t>
            </w:r>
          </w:p>
        </w:tc>
        <w:tc>
          <w:tcPr>
            <w:tcW w:w="1634" w:type="dxa"/>
            <w:vAlign w:val="center"/>
          </w:tcPr>
          <w:p>
            <w:pPr>
              <w:pStyle w:val="16"/>
              <w:spacing w:line="242" w:lineRule="auto"/>
              <w:ind w:right="22"/>
              <w:jc w:val="center"/>
              <w:rPr>
                <w:color w:val="000000" w:themeColor="text1"/>
                <w:sz w:val="18"/>
              </w:rPr>
            </w:pPr>
            <w:r>
              <w:rPr>
                <w:color w:val="000000" w:themeColor="text1"/>
                <w:spacing w:val="-25"/>
                <w:sz w:val="18"/>
              </w:rPr>
              <w:t>基本农田、防护林地、特种用途林地三亩以上，其他农用地五亩以上，其</w:t>
            </w:r>
            <w:r>
              <w:rPr>
                <w:color w:val="000000" w:themeColor="text1"/>
                <w:spacing w:val="-3"/>
                <w:sz w:val="18"/>
              </w:rPr>
              <w:t>他土地十亩以上基本功能丧失或者遭受永久性破</w:t>
            </w:r>
            <w:r>
              <w:rPr>
                <w:color w:val="000000" w:themeColor="text1"/>
                <w:sz w:val="18"/>
              </w:rPr>
              <w:t>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1" w:hRule="atLeast"/>
        </w:trPr>
        <w:tc>
          <w:tcPr>
            <w:tcW w:w="484" w:type="dxa"/>
            <w:vMerge w:val="continue"/>
          </w:tcPr>
          <w:p>
            <w:pPr>
              <w:rPr>
                <w:rFonts w:ascii="仿宋_GB2312" w:hAnsi="仿宋_GB2312" w:eastAsia="仿宋_GB2312" w:cs="仿宋_GB2312"/>
                <w:color w:val="000000" w:themeColor="text1"/>
              </w:rPr>
            </w:pPr>
          </w:p>
        </w:tc>
        <w:tc>
          <w:tcPr>
            <w:tcW w:w="628" w:type="dxa"/>
            <w:vMerge w:val="restart"/>
            <w:vAlign w:val="center"/>
          </w:tcPr>
          <w:p>
            <w:pPr>
              <w:jc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植被</w:t>
            </w:r>
          </w:p>
        </w:tc>
        <w:tc>
          <w:tcPr>
            <w:tcW w:w="669" w:type="dxa"/>
            <w:gridSpan w:val="2"/>
            <w:vAlign w:val="center"/>
          </w:tcPr>
          <w:p>
            <w:pPr>
              <w:jc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数量或面积</w:t>
            </w:r>
          </w:p>
        </w:tc>
        <w:tc>
          <w:tcPr>
            <w:tcW w:w="1634" w:type="dxa"/>
            <w:vAlign w:val="center"/>
          </w:tcPr>
          <w:p>
            <w:pPr>
              <w:pStyle w:val="16"/>
              <w:spacing w:before="1"/>
              <w:jc w:val="center"/>
              <w:rPr>
                <w:b/>
                <w:color w:val="000000" w:themeColor="text1"/>
                <w:sz w:val="15"/>
              </w:rPr>
            </w:pPr>
          </w:p>
          <w:p>
            <w:pPr>
              <w:pStyle w:val="16"/>
              <w:spacing w:before="1"/>
              <w:ind w:left="62"/>
              <w:jc w:val="center"/>
              <w:rPr>
                <w:color w:val="000000" w:themeColor="text1"/>
                <w:sz w:val="18"/>
              </w:rPr>
            </w:pPr>
            <w:r>
              <w:rPr>
                <w:color w:val="000000" w:themeColor="text1"/>
                <w:sz w:val="18"/>
              </w:rPr>
              <w:t>5 立方米以下</w:t>
            </w:r>
          </w:p>
          <w:p>
            <w:pPr>
              <w:pStyle w:val="16"/>
              <w:spacing w:before="2" w:line="244" w:lineRule="auto"/>
              <w:ind w:left="62" w:right="35"/>
              <w:jc w:val="center"/>
              <w:rPr>
                <w:rFonts w:ascii="仿宋_GB2312" w:hAnsi="仿宋_GB2312" w:eastAsia="仿宋_GB2312" w:cs="仿宋_GB2312"/>
                <w:color w:val="000000" w:themeColor="text1"/>
              </w:rPr>
            </w:pPr>
            <w:r>
              <w:rPr>
                <w:color w:val="000000" w:themeColor="text1"/>
                <w:sz w:val="18"/>
              </w:rPr>
              <w:t>/100 株以下/1 亩以下</w:t>
            </w:r>
          </w:p>
        </w:tc>
        <w:tc>
          <w:tcPr>
            <w:tcW w:w="1634" w:type="dxa"/>
            <w:vAlign w:val="center"/>
          </w:tcPr>
          <w:p>
            <w:pPr>
              <w:pStyle w:val="16"/>
              <w:spacing w:before="1"/>
              <w:jc w:val="center"/>
              <w:rPr>
                <w:b/>
                <w:color w:val="000000" w:themeColor="text1"/>
                <w:sz w:val="15"/>
              </w:rPr>
            </w:pPr>
          </w:p>
          <w:p>
            <w:pPr>
              <w:pStyle w:val="16"/>
              <w:spacing w:before="1"/>
              <w:ind w:left="63"/>
              <w:jc w:val="center"/>
              <w:rPr>
                <w:color w:val="000000" w:themeColor="text1"/>
                <w:sz w:val="18"/>
              </w:rPr>
            </w:pPr>
            <w:r>
              <w:rPr>
                <w:color w:val="000000" w:themeColor="text1"/>
                <w:sz w:val="18"/>
              </w:rPr>
              <w:t>5 立方 米以上</w:t>
            </w:r>
          </w:p>
          <w:p>
            <w:pPr>
              <w:pStyle w:val="16"/>
              <w:spacing w:before="2" w:line="244" w:lineRule="auto"/>
              <w:ind w:left="63" w:right="36"/>
              <w:jc w:val="center"/>
              <w:rPr>
                <w:color w:val="000000" w:themeColor="text1"/>
                <w:sz w:val="18"/>
              </w:rPr>
            </w:pPr>
            <w:r>
              <w:rPr>
                <w:color w:val="000000" w:themeColor="text1"/>
                <w:sz w:val="18"/>
              </w:rPr>
              <w:t>/100 株以上 /1 亩以上</w:t>
            </w:r>
          </w:p>
        </w:tc>
        <w:tc>
          <w:tcPr>
            <w:tcW w:w="1634" w:type="dxa"/>
            <w:vAlign w:val="center"/>
          </w:tcPr>
          <w:p>
            <w:pPr>
              <w:pStyle w:val="16"/>
              <w:spacing w:before="1"/>
              <w:jc w:val="center"/>
              <w:rPr>
                <w:b/>
                <w:color w:val="000000" w:themeColor="text1"/>
                <w:sz w:val="15"/>
              </w:rPr>
            </w:pPr>
          </w:p>
          <w:p>
            <w:pPr>
              <w:pStyle w:val="16"/>
              <w:spacing w:before="1"/>
              <w:ind w:left="63"/>
              <w:jc w:val="center"/>
              <w:rPr>
                <w:color w:val="000000" w:themeColor="text1"/>
                <w:sz w:val="18"/>
              </w:rPr>
            </w:pPr>
            <w:r>
              <w:rPr>
                <w:color w:val="000000" w:themeColor="text1"/>
                <w:sz w:val="18"/>
              </w:rPr>
              <w:t>25 立方米以上</w:t>
            </w:r>
          </w:p>
          <w:p>
            <w:pPr>
              <w:pStyle w:val="16"/>
              <w:spacing w:before="2" w:line="244" w:lineRule="auto"/>
              <w:ind w:left="63" w:right="38"/>
              <w:jc w:val="center"/>
              <w:rPr>
                <w:color w:val="000000" w:themeColor="text1"/>
                <w:sz w:val="18"/>
              </w:rPr>
            </w:pPr>
            <w:r>
              <w:rPr>
                <w:color w:val="000000" w:themeColor="text1"/>
                <w:sz w:val="18"/>
              </w:rPr>
              <w:t>/500 株以上/5 亩以上</w:t>
            </w:r>
          </w:p>
        </w:tc>
        <w:tc>
          <w:tcPr>
            <w:tcW w:w="1634" w:type="dxa"/>
            <w:vAlign w:val="center"/>
          </w:tcPr>
          <w:p>
            <w:pPr>
              <w:pStyle w:val="16"/>
              <w:spacing w:before="1"/>
              <w:jc w:val="center"/>
              <w:rPr>
                <w:b/>
                <w:color w:val="000000" w:themeColor="text1"/>
                <w:sz w:val="15"/>
              </w:rPr>
            </w:pPr>
          </w:p>
          <w:p>
            <w:pPr>
              <w:pStyle w:val="16"/>
              <w:spacing w:before="1"/>
              <w:ind w:left="64"/>
              <w:rPr>
                <w:color w:val="000000" w:themeColor="text1"/>
                <w:sz w:val="18"/>
              </w:rPr>
            </w:pPr>
            <w:r>
              <w:rPr>
                <w:color w:val="000000" w:themeColor="text1"/>
                <w:sz w:val="18"/>
              </w:rPr>
              <w:t>50</w:t>
            </w:r>
            <w:r>
              <w:rPr>
                <w:color w:val="000000" w:themeColor="text1"/>
                <w:spacing w:val="9"/>
                <w:sz w:val="18"/>
              </w:rPr>
              <w:t xml:space="preserve"> 立方米以上</w:t>
            </w:r>
          </w:p>
          <w:p>
            <w:pPr>
              <w:pStyle w:val="16"/>
              <w:spacing w:before="2"/>
              <w:ind w:left="64" w:right="-15"/>
              <w:rPr>
                <w:color w:val="000000" w:themeColor="text1"/>
                <w:sz w:val="18"/>
              </w:rPr>
            </w:pPr>
            <w:r>
              <w:rPr>
                <w:color w:val="000000" w:themeColor="text1"/>
                <w:sz w:val="18"/>
              </w:rPr>
              <w:t>/2500</w:t>
            </w:r>
            <w:r>
              <w:rPr>
                <w:color w:val="000000" w:themeColor="text1"/>
                <w:spacing w:val="33"/>
                <w:sz w:val="18"/>
              </w:rPr>
              <w:t xml:space="preserve"> 株以上</w:t>
            </w:r>
          </w:p>
          <w:p>
            <w:pPr>
              <w:pStyle w:val="16"/>
              <w:spacing w:before="2" w:line="244" w:lineRule="auto"/>
              <w:ind w:left="63" w:right="38"/>
              <w:jc w:val="center"/>
              <w:rPr>
                <w:color w:val="000000" w:themeColor="text1"/>
                <w:sz w:val="18"/>
              </w:rPr>
            </w:pPr>
            <w:r>
              <w:rPr>
                <w:color w:val="000000" w:themeColor="text1"/>
                <w:sz w:val="18"/>
              </w:rPr>
              <w:t>/25 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trPr>
        <w:tc>
          <w:tcPr>
            <w:tcW w:w="484" w:type="dxa"/>
            <w:vMerge w:val="continue"/>
          </w:tcPr>
          <w:p>
            <w:pPr>
              <w:rPr>
                <w:rFonts w:ascii="仿宋_GB2312" w:hAnsi="仿宋_GB2312" w:eastAsia="仿宋_GB2312" w:cs="仿宋_GB2312"/>
                <w:color w:val="000000" w:themeColor="text1"/>
              </w:rPr>
            </w:pPr>
          </w:p>
        </w:tc>
        <w:tc>
          <w:tcPr>
            <w:tcW w:w="628" w:type="dxa"/>
            <w:vMerge w:val="continue"/>
            <w:vAlign w:val="center"/>
          </w:tcPr>
          <w:p>
            <w:pPr>
              <w:jc w:val="center"/>
              <w:rPr>
                <w:rFonts w:ascii="仿宋_GB2312" w:hAnsi="仿宋_GB2312" w:eastAsia="仿宋_GB2312" w:cs="仿宋_GB2312"/>
                <w:color w:val="000000" w:themeColor="text1"/>
              </w:rPr>
            </w:pPr>
          </w:p>
        </w:tc>
        <w:tc>
          <w:tcPr>
            <w:tcW w:w="669" w:type="dxa"/>
            <w:gridSpan w:val="2"/>
            <w:vAlign w:val="center"/>
          </w:tcPr>
          <w:p>
            <w:pPr>
              <w:jc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种类</w:t>
            </w:r>
          </w:p>
        </w:tc>
        <w:tc>
          <w:tcPr>
            <w:tcW w:w="1634" w:type="dxa"/>
            <w:vAlign w:val="center"/>
          </w:tcPr>
          <w:p>
            <w:pPr>
              <w:pStyle w:val="16"/>
              <w:spacing w:before="34" w:line="242" w:lineRule="auto"/>
              <w:ind w:left="62" w:right="30"/>
              <w:jc w:val="center"/>
              <w:rPr>
                <w:rFonts w:ascii="仿宋_GB2312" w:hAnsi="仿宋_GB2312" w:eastAsia="仿宋_GB2312" w:cs="仿宋_GB2312"/>
                <w:color w:val="000000" w:themeColor="text1"/>
              </w:rPr>
            </w:pPr>
            <w:r>
              <w:rPr>
                <w:color w:val="000000" w:themeColor="text1"/>
                <w:sz w:val="18"/>
              </w:rPr>
              <w:t>森林、林木/幼树/草原、草地经济作物</w:t>
            </w:r>
          </w:p>
        </w:tc>
        <w:tc>
          <w:tcPr>
            <w:tcW w:w="1634" w:type="dxa"/>
            <w:vAlign w:val="center"/>
          </w:tcPr>
          <w:p>
            <w:pPr>
              <w:pStyle w:val="16"/>
              <w:spacing w:before="34"/>
              <w:ind w:left="63"/>
              <w:jc w:val="center"/>
              <w:rPr>
                <w:color w:val="000000" w:themeColor="text1"/>
                <w:sz w:val="18"/>
              </w:rPr>
            </w:pPr>
            <w:r>
              <w:rPr>
                <w:color w:val="000000" w:themeColor="text1"/>
                <w:spacing w:val="-11"/>
                <w:sz w:val="18"/>
              </w:rPr>
              <w:t>森林、林木</w:t>
            </w:r>
            <w:r>
              <w:rPr>
                <w:color w:val="000000" w:themeColor="text1"/>
                <w:sz w:val="18"/>
              </w:rPr>
              <w:t>/幼树</w:t>
            </w:r>
          </w:p>
          <w:p>
            <w:pPr>
              <w:pStyle w:val="16"/>
              <w:spacing w:before="2" w:line="244" w:lineRule="auto"/>
              <w:ind w:left="63" w:right="34"/>
              <w:jc w:val="center"/>
              <w:rPr>
                <w:color w:val="000000" w:themeColor="text1"/>
                <w:sz w:val="18"/>
              </w:rPr>
            </w:pPr>
            <w:r>
              <w:rPr>
                <w:color w:val="000000" w:themeColor="text1"/>
                <w:sz w:val="18"/>
              </w:rPr>
              <w:t>/</w:t>
            </w:r>
            <w:r>
              <w:rPr>
                <w:color w:val="000000" w:themeColor="text1"/>
                <w:spacing w:val="-11"/>
                <w:sz w:val="18"/>
              </w:rPr>
              <w:t>草原、草地、经</w:t>
            </w:r>
            <w:r>
              <w:rPr>
                <w:color w:val="000000" w:themeColor="text1"/>
                <w:sz w:val="18"/>
              </w:rPr>
              <w:t>济作物</w:t>
            </w:r>
          </w:p>
        </w:tc>
        <w:tc>
          <w:tcPr>
            <w:tcW w:w="1634" w:type="dxa"/>
            <w:vAlign w:val="center"/>
          </w:tcPr>
          <w:p>
            <w:pPr>
              <w:pStyle w:val="16"/>
              <w:spacing w:before="34" w:line="242" w:lineRule="auto"/>
              <w:ind w:left="63" w:right="36"/>
              <w:jc w:val="center"/>
              <w:rPr>
                <w:color w:val="000000" w:themeColor="text1"/>
                <w:sz w:val="18"/>
              </w:rPr>
            </w:pPr>
            <w:r>
              <w:rPr>
                <w:color w:val="000000" w:themeColor="text1"/>
                <w:sz w:val="18"/>
              </w:rPr>
              <w:t>森林、林木/幼树/草原、草地经济作物</w:t>
            </w:r>
          </w:p>
        </w:tc>
        <w:tc>
          <w:tcPr>
            <w:tcW w:w="1634" w:type="dxa"/>
            <w:vAlign w:val="center"/>
          </w:tcPr>
          <w:p>
            <w:pPr>
              <w:pStyle w:val="16"/>
              <w:spacing w:before="34" w:line="242" w:lineRule="auto"/>
              <w:ind w:left="63" w:right="36"/>
              <w:jc w:val="center"/>
              <w:rPr>
                <w:color w:val="000000" w:themeColor="text1"/>
                <w:sz w:val="18"/>
              </w:rPr>
            </w:pPr>
            <w:r>
              <w:rPr>
                <w:color w:val="000000" w:themeColor="text1"/>
                <w:sz w:val="18"/>
              </w:rPr>
              <w:t>森林、林木/幼树/草原、草地经济作物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9" w:hRule="atLeast"/>
        </w:trPr>
        <w:tc>
          <w:tcPr>
            <w:tcW w:w="484" w:type="dxa"/>
            <w:vMerge w:val="continue"/>
          </w:tcPr>
          <w:p>
            <w:pPr>
              <w:rPr>
                <w:rFonts w:ascii="仿宋_GB2312" w:hAnsi="仿宋_GB2312" w:eastAsia="仿宋_GB2312" w:cs="仿宋_GB2312"/>
                <w:color w:val="000000" w:themeColor="text1"/>
              </w:rPr>
            </w:pPr>
          </w:p>
        </w:tc>
        <w:tc>
          <w:tcPr>
            <w:tcW w:w="1297" w:type="dxa"/>
            <w:gridSpan w:val="3"/>
            <w:vAlign w:val="center"/>
          </w:tcPr>
          <w:p>
            <w:pPr>
              <w:pStyle w:val="16"/>
              <w:spacing w:line="242" w:lineRule="auto"/>
              <w:ind w:right="40"/>
              <w:jc w:val="center"/>
              <w:rPr>
                <w:color w:val="000000" w:themeColor="text1"/>
                <w:sz w:val="18"/>
              </w:rPr>
            </w:pPr>
            <w:r>
              <w:rPr>
                <w:color w:val="000000" w:themeColor="text1"/>
                <w:spacing w:val="10"/>
                <w:sz w:val="18"/>
              </w:rPr>
              <w:t>造成污染水体</w:t>
            </w:r>
            <w:r>
              <w:rPr>
                <w:color w:val="000000" w:themeColor="text1"/>
                <w:spacing w:val="16"/>
                <w:sz w:val="18"/>
              </w:rPr>
              <w:t>的</w:t>
            </w:r>
            <w:r>
              <w:rPr>
                <w:color w:val="000000" w:themeColor="text1"/>
                <w:sz w:val="18"/>
              </w:rPr>
              <w:t>（</w:t>
            </w:r>
            <w:r>
              <w:rPr>
                <w:color w:val="000000" w:themeColor="text1"/>
                <w:spacing w:val="-10"/>
                <w:sz w:val="18"/>
              </w:rPr>
              <w:t xml:space="preserve"> 地表水、</w:t>
            </w:r>
            <w:r>
              <w:rPr>
                <w:color w:val="000000" w:themeColor="text1"/>
                <w:spacing w:val="15"/>
                <w:sz w:val="18"/>
              </w:rPr>
              <w:t>地下水</w:t>
            </w:r>
            <w:r>
              <w:rPr>
                <w:color w:val="000000" w:themeColor="text1"/>
                <w:sz w:val="18"/>
              </w:rPr>
              <w:t>）</w:t>
            </w:r>
            <w:r>
              <w:rPr>
                <w:color w:val="000000" w:themeColor="text1"/>
                <w:spacing w:val="-25"/>
                <w:sz w:val="18"/>
              </w:rPr>
              <w:t xml:space="preserve"> 功能</w:t>
            </w:r>
            <w:r>
              <w:rPr>
                <w:color w:val="000000" w:themeColor="text1"/>
                <w:sz w:val="18"/>
              </w:rPr>
              <w:t>区划</w:t>
            </w:r>
          </w:p>
        </w:tc>
        <w:tc>
          <w:tcPr>
            <w:tcW w:w="1634" w:type="dxa"/>
            <w:vAlign w:val="center"/>
          </w:tcPr>
          <w:p>
            <w:pPr>
              <w:pStyle w:val="16"/>
              <w:spacing w:before="1"/>
              <w:ind w:right="171"/>
              <w:jc w:val="center"/>
              <w:rPr>
                <w:color w:val="000000" w:themeColor="text1"/>
                <w:sz w:val="18"/>
              </w:rPr>
            </w:pPr>
            <w:r>
              <w:rPr>
                <w:color w:val="000000" w:themeColor="text1"/>
                <w:sz w:val="18"/>
              </w:rPr>
              <w:t>V 类</w:t>
            </w:r>
          </w:p>
        </w:tc>
        <w:tc>
          <w:tcPr>
            <w:tcW w:w="1634" w:type="dxa"/>
            <w:vAlign w:val="center"/>
          </w:tcPr>
          <w:p>
            <w:pPr>
              <w:pStyle w:val="16"/>
              <w:spacing w:before="1"/>
              <w:ind w:right="255"/>
              <w:jc w:val="center"/>
              <w:rPr>
                <w:color w:val="000000" w:themeColor="text1"/>
                <w:sz w:val="18"/>
              </w:rPr>
            </w:pPr>
            <w:r>
              <w:rPr>
                <w:color w:val="000000" w:themeColor="text1"/>
                <w:sz w:val="18"/>
              </w:rPr>
              <w:t>IV 类</w:t>
            </w:r>
          </w:p>
        </w:tc>
        <w:tc>
          <w:tcPr>
            <w:tcW w:w="1634" w:type="dxa"/>
            <w:vAlign w:val="center"/>
          </w:tcPr>
          <w:p>
            <w:pPr>
              <w:pStyle w:val="16"/>
              <w:spacing w:before="1"/>
              <w:jc w:val="center"/>
              <w:rPr>
                <w:color w:val="000000" w:themeColor="text1"/>
                <w:sz w:val="18"/>
              </w:rPr>
            </w:pPr>
            <w:r>
              <w:rPr>
                <w:color w:val="000000" w:themeColor="text1"/>
                <w:sz w:val="18"/>
              </w:rPr>
              <w:t>II 类、III 类</w:t>
            </w:r>
          </w:p>
        </w:tc>
        <w:tc>
          <w:tcPr>
            <w:tcW w:w="1634" w:type="dxa"/>
            <w:vAlign w:val="center"/>
          </w:tcPr>
          <w:p>
            <w:pPr>
              <w:pStyle w:val="16"/>
              <w:spacing w:before="1"/>
              <w:ind w:right="285"/>
              <w:jc w:val="center"/>
              <w:rPr>
                <w:color w:val="000000" w:themeColor="text1"/>
                <w:sz w:val="18"/>
              </w:rPr>
            </w:pPr>
            <w:r>
              <w:rPr>
                <w:color w:val="000000" w:themeColor="text1"/>
                <w:sz w:val="18"/>
              </w:rPr>
              <w:t>I 类</w:t>
            </w:r>
            <w:r>
              <w:rPr>
                <w:rFonts w:hint="eastAsia"/>
                <w:color w:val="000000" w:themeColor="text1"/>
                <w:sz w:val="18"/>
              </w:rPr>
              <w:t>、</w:t>
            </w:r>
            <w:r>
              <w:rPr>
                <w:color w:val="000000" w:themeColor="text1"/>
                <w:spacing w:val="-5"/>
                <w:sz w:val="18"/>
              </w:rPr>
              <w:t>致使乡镇以上集中式饮用水水源地取水中断十二</w:t>
            </w:r>
            <w:r>
              <w:rPr>
                <w:color w:val="000000" w:themeColor="text1"/>
                <w:spacing w:val="-24"/>
                <w:sz w:val="18"/>
              </w:rPr>
              <w:t>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8" w:hRule="atLeast"/>
        </w:trPr>
        <w:tc>
          <w:tcPr>
            <w:tcW w:w="484" w:type="dxa"/>
            <w:vMerge w:val="continue"/>
          </w:tcPr>
          <w:p>
            <w:pPr>
              <w:rPr>
                <w:rFonts w:ascii="仿宋_GB2312" w:hAnsi="仿宋_GB2312" w:eastAsia="仿宋_GB2312" w:cs="仿宋_GB2312"/>
                <w:color w:val="000000" w:themeColor="text1"/>
              </w:rPr>
            </w:pPr>
          </w:p>
        </w:tc>
        <w:tc>
          <w:tcPr>
            <w:tcW w:w="1297" w:type="dxa"/>
            <w:gridSpan w:val="3"/>
            <w:vAlign w:val="center"/>
          </w:tcPr>
          <w:p>
            <w:pPr>
              <w:pStyle w:val="16"/>
              <w:ind w:right="424"/>
              <w:jc w:val="center"/>
              <w:rPr>
                <w:color w:val="000000" w:themeColor="text1"/>
                <w:sz w:val="18"/>
              </w:rPr>
            </w:pPr>
            <w:r>
              <w:rPr>
                <w:color w:val="000000" w:themeColor="text1"/>
                <w:sz w:val="18"/>
              </w:rPr>
              <w:t>动物</w:t>
            </w:r>
          </w:p>
        </w:tc>
        <w:tc>
          <w:tcPr>
            <w:tcW w:w="1634" w:type="dxa"/>
            <w:vAlign w:val="center"/>
          </w:tcPr>
          <w:p>
            <w:pPr>
              <w:pStyle w:val="16"/>
              <w:spacing w:line="244" w:lineRule="auto"/>
              <w:ind w:right="6"/>
              <w:jc w:val="center"/>
              <w:rPr>
                <w:color w:val="000000" w:themeColor="text1"/>
                <w:sz w:val="18"/>
              </w:rPr>
            </w:pPr>
            <w:r>
              <w:rPr>
                <w:color w:val="000000" w:themeColor="text1"/>
                <w:sz w:val="18"/>
              </w:rPr>
              <w:t>导致一般野生动物死亡</w:t>
            </w:r>
          </w:p>
        </w:tc>
        <w:tc>
          <w:tcPr>
            <w:tcW w:w="1634" w:type="dxa"/>
            <w:vAlign w:val="center"/>
          </w:tcPr>
          <w:p>
            <w:pPr>
              <w:pStyle w:val="16"/>
              <w:spacing w:line="244" w:lineRule="auto"/>
              <w:ind w:right="27"/>
              <w:jc w:val="center"/>
              <w:rPr>
                <w:color w:val="000000" w:themeColor="text1"/>
                <w:sz w:val="18"/>
              </w:rPr>
            </w:pPr>
            <w:r>
              <w:rPr>
                <w:color w:val="000000" w:themeColor="text1"/>
                <w:sz w:val="18"/>
              </w:rPr>
              <w:t>导致国家二级保护动物死亡</w:t>
            </w:r>
          </w:p>
        </w:tc>
        <w:tc>
          <w:tcPr>
            <w:tcW w:w="1634" w:type="dxa"/>
            <w:vAlign w:val="center"/>
          </w:tcPr>
          <w:p>
            <w:pPr>
              <w:pStyle w:val="16"/>
              <w:spacing w:before="1" w:line="242" w:lineRule="auto"/>
              <w:ind w:right="41"/>
              <w:jc w:val="center"/>
              <w:rPr>
                <w:color w:val="000000" w:themeColor="text1"/>
                <w:sz w:val="18"/>
              </w:rPr>
            </w:pPr>
            <w:r>
              <w:rPr>
                <w:color w:val="000000" w:themeColor="text1"/>
                <w:sz w:val="18"/>
              </w:rPr>
              <w:t>导致国家二级保护动物减损过半或国家一级保护动物数量减少</w:t>
            </w:r>
          </w:p>
        </w:tc>
        <w:tc>
          <w:tcPr>
            <w:tcW w:w="1634" w:type="dxa"/>
            <w:vAlign w:val="center"/>
          </w:tcPr>
          <w:p>
            <w:pPr>
              <w:pStyle w:val="16"/>
              <w:spacing w:before="1" w:line="242" w:lineRule="auto"/>
              <w:ind w:right="41"/>
              <w:jc w:val="center"/>
              <w:rPr>
                <w:color w:val="000000" w:themeColor="text1"/>
                <w:sz w:val="18"/>
              </w:rPr>
            </w:pPr>
            <w:r>
              <w:rPr>
                <w:rFonts w:hint="eastAsia"/>
                <w:color w:val="000000" w:themeColor="text1"/>
                <w:sz w:val="18"/>
              </w:rPr>
              <w:t>国家一级保护动物减损过半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484" w:type="dxa"/>
            <w:vMerge w:val="continue"/>
          </w:tcPr>
          <w:p>
            <w:pPr>
              <w:rPr>
                <w:rFonts w:ascii="仿宋_GB2312" w:hAnsi="仿宋_GB2312" w:eastAsia="仿宋_GB2312" w:cs="仿宋_GB2312"/>
                <w:color w:val="000000" w:themeColor="text1"/>
              </w:rPr>
            </w:pPr>
          </w:p>
        </w:tc>
        <w:tc>
          <w:tcPr>
            <w:tcW w:w="692" w:type="dxa"/>
            <w:gridSpan w:val="2"/>
            <w:vAlign w:val="center"/>
          </w:tcPr>
          <w:p>
            <w:pPr>
              <w:jc w:val="center"/>
              <w:rPr>
                <w:color w:val="000000" w:themeColor="text1"/>
              </w:rPr>
            </w:pPr>
            <w:r>
              <w:rPr>
                <w:rFonts w:hint="eastAsia" w:ascii="仿宋" w:hAnsi="仿宋" w:eastAsia="仿宋" w:cs="仿宋"/>
                <w:color w:val="000000" w:themeColor="text1"/>
                <w:sz w:val="18"/>
              </w:rPr>
              <w:t>自然景观、人文景观</w:t>
            </w:r>
          </w:p>
          <w:p>
            <w:pPr>
              <w:pStyle w:val="16"/>
              <w:spacing w:line="242" w:lineRule="auto"/>
              <w:ind w:right="96"/>
              <w:jc w:val="center"/>
              <w:rPr>
                <w:color w:val="000000" w:themeColor="text1"/>
                <w:sz w:val="18"/>
              </w:rPr>
            </w:pPr>
          </w:p>
        </w:tc>
        <w:tc>
          <w:tcPr>
            <w:tcW w:w="605" w:type="dxa"/>
            <w:vAlign w:val="center"/>
          </w:tcPr>
          <w:p>
            <w:pPr>
              <w:pStyle w:val="16"/>
              <w:spacing w:before="1"/>
              <w:jc w:val="center"/>
              <w:rPr>
                <w:color w:val="000000" w:themeColor="text1"/>
                <w:sz w:val="18"/>
              </w:rPr>
            </w:pPr>
            <w:r>
              <w:rPr>
                <w:color w:val="000000" w:themeColor="text1"/>
                <w:sz w:val="18"/>
              </w:rPr>
              <w:t>地点</w:t>
            </w:r>
          </w:p>
        </w:tc>
        <w:tc>
          <w:tcPr>
            <w:tcW w:w="1634" w:type="dxa"/>
            <w:vAlign w:val="center"/>
          </w:tcPr>
          <w:p>
            <w:pPr>
              <w:pStyle w:val="16"/>
              <w:spacing w:before="1"/>
              <w:jc w:val="center"/>
              <w:rPr>
                <w:color w:val="000000" w:themeColor="text1"/>
                <w:sz w:val="18"/>
              </w:rPr>
            </w:pPr>
            <w:r>
              <w:rPr>
                <w:color w:val="000000" w:themeColor="text1"/>
                <w:spacing w:val="-29"/>
                <w:sz w:val="18"/>
              </w:rPr>
              <w:t>县级风景名胜区</w:t>
            </w:r>
          </w:p>
        </w:tc>
        <w:tc>
          <w:tcPr>
            <w:tcW w:w="1634" w:type="dxa"/>
            <w:vAlign w:val="center"/>
          </w:tcPr>
          <w:p>
            <w:pPr>
              <w:pStyle w:val="16"/>
              <w:spacing w:before="1"/>
              <w:jc w:val="center"/>
              <w:rPr>
                <w:color w:val="000000" w:themeColor="text1"/>
                <w:sz w:val="18"/>
              </w:rPr>
            </w:pPr>
            <w:r>
              <w:rPr>
                <w:color w:val="000000" w:themeColor="text1"/>
                <w:sz w:val="18"/>
              </w:rPr>
              <w:t>市级风景名胜区</w:t>
            </w:r>
          </w:p>
        </w:tc>
        <w:tc>
          <w:tcPr>
            <w:tcW w:w="1634" w:type="dxa"/>
            <w:vAlign w:val="center"/>
          </w:tcPr>
          <w:p>
            <w:pPr>
              <w:pStyle w:val="16"/>
              <w:spacing w:before="146" w:line="242" w:lineRule="auto"/>
              <w:ind w:right="39"/>
              <w:jc w:val="center"/>
              <w:rPr>
                <w:color w:val="000000" w:themeColor="text1"/>
                <w:sz w:val="18"/>
              </w:rPr>
            </w:pPr>
            <w:r>
              <w:rPr>
                <w:color w:val="000000" w:themeColor="text1"/>
                <w:spacing w:val="25"/>
                <w:sz w:val="18"/>
              </w:rPr>
              <w:t>省级风景名胜</w:t>
            </w:r>
            <w:r>
              <w:rPr>
                <w:color w:val="000000" w:themeColor="text1"/>
                <w:spacing w:val="-5"/>
                <w:sz w:val="18"/>
              </w:rPr>
              <w:t>区、地方级自然</w:t>
            </w:r>
            <w:r>
              <w:rPr>
                <w:color w:val="000000" w:themeColor="text1"/>
                <w:spacing w:val="-4"/>
                <w:sz w:val="18"/>
              </w:rPr>
              <w:t>保护区、省级湿</w:t>
            </w:r>
            <w:r>
              <w:rPr>
                <w:color w:val="000000" w:themeColor="text1"/>
                <w:sz w:val="18"/>
              </w:rPr>
              <w:t>地公园</w:t>
            </w:r>
          </w:p>
        </w:tc>
        <w:tc>
          <w:tcPr>
            <w:tcW w:w="1634" w:type="dxa"/>
            <w:vAlign w:val="center"/>
          </w:tcPr>
          <w:p>
            <w:pPr>
              <w:pStyle w:val="16"/>
              <w:spacing w:before="146" w:line="242" w:lineRule="auto"/>
              <w:ind w:right="39"/>
              <w:jc w:val="center"/>
              <w:rPr>
                <w:color w:val="000000" w:themeColor="text1"/>
                <w:sz w:val="18"/>
              </w:rPr>
            </w:pPr>
            <w:r>
              <w:rPr>
                <w:color w:val="000000" w:themeColor="text1"/>
                <w:spacing w:val="-5"/>
                <w:sz w:val="18"/>
              </w:rPr>
              <w:t>国家级风景名胜</w:t>
            </w:r>
            <w:r>
              <w:rPr>
                <w:color w:val="000000" w:themeColor="text1"/>
                <w:spacing w:val="-29"/>
                <w:sz w:val="18"/>
              </w:rPr>
              <w:t>区、国家级自然保护区、国家级湿地</w:t>
            </w:r>
            <w:r>
              <w:rPr>
                <w:color w:val="000000" w:themeColor="text1"/>
                <w:spacing w:val="-24"/>
                <w:sz w:val="18"/>
              </w:rPr>
              <w:t>公园</w:t>
            </w:r>
          </w:p>
        </w:tc>
      </w:tr>
    </w:tbl>
    <w:p>
      <w:pPr>
        <w:pStyle w:val="6"/>
        <w:spacing w:before="22"/>
        <w:ind w:firstLine="420" w:firstLineChars="200"/>
        <w:rPr>
          <w:rFonts w:ascii="仿宋_GB2312" w:hAnsi="仿宋_GB2312" w:eastAsia="仿宋_GB2312" w:cs="仿宋_GB2312"/>
          <w:color w:val="000000" w:themeColor="text1"/>
          <w:sz w:val="32"/>
          <w:szCs w:val="32"/>
        </w:rPr>
      </w:pPr>
      <w:r>
        <w:rPr>
          <w:color w:val="000000" w:themeColor="text1"/>
        </w:rPr>
        <w:t>备注：1 代表轻微；2 代表一般；3 代表较重；4 代表严重。</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本规则中对于经济承受度、社会影响、生态破坏等具有共性裁量基准的规定，参见总表1、总表2、总表3。共性裁量基准表结合各具体违法行为表格使用。</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社会影响、生态破坏共性裁量基准中出现多个裁量因素的，取裁量因素中选取的最高值。</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（二）环境违法行为人的主观过错程度、配合调查取证情况、违法行为持续时间;</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（三）环境违法行为的具体方法或者手段;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（四）环境违法行为危害的具体对象;</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（五）环境违法行为人是初次违法还是再次违法</w:t>
      </w:r>
      <w:r>
        <w:rPr>
          <w:rFonts w:ascii="仿宋_GB2312" w:hAnsi="仿宋_GB2312" w:eastAsia="仿宋_GB2312" w:cs="仿宋_GB2312"/>
          <w:color w:val="000000" w:themeColor="text1"/>
          <w:sz w:val="32"/>
          <w:szCs w:val="32"/>
        </w:rPr>
        <w:t>;</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（六）环境违法行为人改正环境违法行为的态度和所采取的改正措施及效果。</w:t>
      </w:r>
    </w:p>
    <w:p>
      <w:pPr>
        <w:numPr>
          <w:ilvl w:val="255"/>
          <w:numId w:val="0"/>
        </w:numPr>
        <w:spacing w:line="600" w:lineRule="exact"/>
        <w:jc w:val="center"/>
        <w:rPr>
          <w:rFonts w:ascii="黑体" w:hAnsi="黑体" w:eastAsia="黑体" w:cs="黑体"/>
          <w:color w:val="000000" w:themeColor="text1"/>
          <w:sz w:val="32"/>
          <w:szCs w:val="32"/>
        </w:rPr>
      </w:pPr>
      <w:bookmarkStart w:id="30" w:name="_Toc21130"/>
      <w:bookmarkStart w:id="31" w:name="_Toc23613"/>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七</w:t>
      </w:r>
      <w:r>
        <w:rPr>
          <w:rFonts w:ascii="黑体" w:hAnsi="黑体" w:eastAsia="黑体" w:cs="黑体"/>
          <w:color w:val="000000" w:themeColor="text1"/>
          <w:sz w:val="32"/>
          <w:szCs w:val="32"/>
        </w:rPr>
        <w:t>条从重</w:t>
      </w:r>
      <w:r>
        <w:rPr>
          <w:rFonts w:hint="eastAsia" w:ascii="黑体" w:hAnsi="黑体" w:eastAsia="黑体" w:cs="黑体"/>
          <w:color w:val="000000" w:themeColor="text1"/>
          <w:sz w:val="32"/>
          <w:szCs w:val="32"/>
        </w:rPr>
        <w:t>情节</w:t>
      </w:r>
      <w:bookmarkEnd w:id="30"/>
      <w:bookmarkEnd w:id="31"/>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发生重大传染病疫情等突发事件，为了控制、减轻和消除突发事件引起的社会危害，对违反突发事件应对措施的行为，依法快速、从重处罚。</w:t>
      </w:r>
    </w:p>
    <w:p>
      <w:pPr>
        <w:spacing w:line="600" w:lineRule="exact"/>
        <w:ind w:firstLine="640" w:firstLineChars="200"/>
        <w:jc w:val="center"/>
        <w:rPr>
          <w:rFonts w:ascii="黑体" w:hAnsi="黑体" w:eastAsia="黑体" w:cs="黑体"/>
          <w:color w:val="000000" w:themeColor="text1"/>
          <w:sz w:val="32"/>
          <w:szCs w:val="32"/>
        </w:rPr>
      </w:pPr>
      <w:bookmarkStart w:id="32" w:name="_Toc8107"/>
      <w:bookmarkStart w:id="33" w:name="_Toc26348"/>
      <w:r>
        <w:rPr>
          <w:rFonts w:ascii="黑体" w:hAnsi="黑体" w:eastAsia="黑体" w:cs="黑体"/>
          <w:color w:val="000000" w:themeColor="text1"/>
          <w:sz w:val="32"/>
          <w:szCs w:val="32"/>
        </w:rPr>
        <w:t>第八条从轻减轻情节</w:t>
      </w:r>
      <w:bookmarkEnd w:id="32"/>
      <w:bookmarkEnd w:id="33"/>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（一）主动消除或者减轻违法行为危害后果的；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（二）受他人胁迫或者诱骗实施违法行为的；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（三）主动供述行政机关尚未掌握的违法行为的；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（四）配合行政机关查处违法行为有立功表现的；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（五）法律、法规、规章规定其他应当从轻或者减轻行政处罚的。</w:t>
      </w:r>
    </w:p>
    <w:p>
      <w:pPr>
        <w:spacing w:line="600" w:lineRule="exact"/>
        <w:ind w:firstLine="640" w:firstLineChars="200"/>
        <w:jc w:val="center"/>
        <w:rPr>
          <w:rFonts w:ascii="仿宋_GB2312" w:hAnsi="仿宋_GB2312" w:eastAsia="仿宋_GB2312" w:cs="仿宋_GB2312"/>
          <w:color w:val="000000" w:themeColor="text1"/>
          <w:sz w:val="32"/>
          <w:szCs w:val="32"/>
        </w:rPr>
      </w:pPr>
      <w:bookmarkStart w:id="34" w:name="_Toc2195"/>
      <w:bookmarkStart w:id="35" w:name="_Toc4179"/>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九</w:t>
      </w:r>
      <w:r>
        <w:rPr>
          <w:rFonts w:ascii="黑体" w:hAnsi="黑体" w:eastAsia="黑体" w:cs="黑体"/>
          <w:color w:val="000000" w:themeColor="text1"/>
          <w:sz w:val="32"/>
          <w:szCs w:val="32"/>
        </w:rPr>
        <w:t>条</w:t>
      </w:r>
      <w:r>
        <w:rPr>
          <w:rFonts w:hint="eastAsia" w:ascii="黑体" w:hAnsi="黑体" w:eastAsia="黑体" w:cs="黑体"/>
          <w:color w:val="000000" w:themeColor="text1"/>
          <w:sz w:val="32"/>
          <w:szCs w:val="32"/>
        </w:rPr>
        <w:t>不予</w:t>
      </w:r>
      <w:r>
        <w:rPr>
          <w:rFonts w:ascii="黑体" w:hAnsi="黑体" w:eastAsia="黑体" w:cs="黑体"/>
          <w:color w:val="000000" w:themeColor="text1"/>
          <w:sz w:val="32"/>
          <w:szCs w:val="32"/>
        </w:rPr>
        <w:t>处罚</w:t>
      </w:r>
      <w:r>
        <w:rPr>
          <w:rFonts w:hint="eastAsia" w:ascii="黑体" w:hAnsi="黑体" w:eastAsia="黑体" w:cs="黑体"/>
          <w:color w:val="000000" w:themeColor="text1"/>
          <w:sz w:val="32"/>
          <w:szCs w:val="32"/>
        </w:rPr>
        <w:t>情节</w:t>
      </w:r>
      <w:bookmarkEnd w:id="34"/>
      <w:bookmarkEnd w:id="3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违法行为轻微并及时改正，没有造成危害后果的，不予行政处罚。初次违法且危害后果轻微并及时改正的，可以不予行政处罚。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当事人有证据足以证明没有主观过错的，不予行政处罚。法律、行政法规另有规定的，从其规定。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对当事人的违法行为依法不予行政处罚的，行政机关应当对当事人进行教育。</w:t>
      </w:r>
    </w:p>
    <w:p>
      <w:pPr>
        <w:spacing w:line="600" w:lineRule="exact"/>
        <w:ind w:firstLine="640" w:firstLineChars="200"/>
        <w:jc w:val="center"/>
        <w:rPr>
          <w:rFonts w:ascii="黑体" w:hAnsi="黑体" w:eastAsia="黑体" w:cs="黑体"/>
          <w:color w:val="000000" w:themeColor="text1"/>
          <w:sz w:val="32"/>
          <w:szCs w:val="32"/>
        </w:rPr>
      </w:pPr>
      <w:bookmarkStart w:id="36" w:name="_Toc18853"/>
      <w:bookmarkStart w:id="37" w:name="_Toc499"/>
      <w:r>
        <w:rPr>
          <w:rFonts w:hint="eastAsia" w:ascii="黑体" w:hAnsi="黑体" w:eastAsia="黑体" w:cs="黑体"/>
          <w:color w:val="000000" w:themeColor="text1"/>
          <w:sz w:val="32"/>
          <w:szCs w:val="32"/>
        </w:rPr>
        <w:t>第十条择一从重处罚</w:t>
      </w:r>
      <w:bookmarkEnd w:id="36"/>
      <w:bookmarkEnd w:id="3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一个行为同时违反两个以上法</w:t>
      </w:r>
      <w:r>
        <w:rPr>
          <w:rFonts w:ascii="仿宋_GB2312" w:hAnsi="仿宋_GB2312" w:eastAsia="仿宋_GB2312" w:cs="仿宋_GB2312"/>
          <w:color w:val="000000" w:themeColor="text1"/>
          <w:sz w:val="32"/>
          <w:szCs w:val="32"/>
        </w:rPr>
        <w:t>律规范的，可以构成不同违法行为的，应当选择处罚较重的违法行为予以认定，并给予处罚。</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分别处罚实施两个以上环境违法行为，且</w:t>
      </w:r>
      <w:r>
        <w:rPr>
          <w:rFonts w:hint="eastAsia" w:ascii="仿宋_GB2312" w:hAnsi="仿宋_GB2312" w:eastAsia="仿宋_GB2312" w:cs="仿宋_GB2312"/>
          <w:color w:val="000000" w:themeColor="text1"/>
          <w:sz w:val="32"/>
          <w:szCs w:val="32"/>
        </w:rPr>
        <w:t>违法</w:t>
      </w:r>
      <w:r>
        <w:rPr>
          <w:rFonts w:ascii="仿宋_GB2312" w:hAnsi="仿宋_GB2312" w:eastAsia="仿宋_GB2312" w:cs="仿宋_GB2312"/>
          <w:color w:val="000000" w:themeColor="text1"/>
          <w:sz w:val="32"/>
          <w:szCs w:val="32"/>
        </w:rPr>
        <w:t>行为之间不存在必然关联关系的，应当对每个违法行为分别依法给予相应处罚</w:t>
      </w:r>
      <w:r>
        <w:rPr>
          <w:rFonts w:hint="eastAsia" w:ascii="仿宋_GB2312" w:hAnsi="仿宋_GB2312" w:eastAsia="仿宋_GB2312" w:cs="仿宋_GB2312"/>
          <w:color w:val="000000" w:themeColor="text1"/>
          <w:sz w:val="32"/>
          <w:szCs w:val="32"/>
        </w:rPr>
        <w:t>。</w:t>
      </w:r>
    </w:p>
    <w:p>
      <w:pPr>
        <w:spacing w:line="600" w:lineRule="exact"/>
        <w:ind w:firstLine="640" w:firstLineChars="200"/>
        <w:jc w:val="center"/>
        <w:outlineLvl w:val="0"/>
        <w:rPr>
          <w:rFonts w:ascii="华文中宋" w:hAnsi="华文中宋" w:eastAsia="华文中宋" w:cs="华文中宋"/>
          <w:color w:val="000000" w:themeColor="text1"/>
          <w:sz w:val="32"/>
          <w:szCs w:val="32"/>
        </w:rPr>
      </w:pPr>
      <w:bookmarkStart w:id="38" w:name="_Toc17657"/>
      <w:bookmarkStart w:id="39" w:name="_Toc30168"/>
      <w:bookmarkStart w:id="40" w:name="_Toc5511"/>
      <w:bookmarkStart w:id="41" w:name="_Toc3342"/>
      <w:r>
        <w:rPr>
          <w:rFonts w:hint="eastAsia" w:ascii="华文中宋" w:hAnsi="华文中宋" w:eastAsia="华文中宋" w:cs="华文中宋"/>
          <w:color w:val="000000" w:themeColor="text1"/>
          <w:sz w:val="32"/>
          <w:szCs w:val="32"/>
        </w:rPr>
        <w:t>第三章自由裁量权计算标准</w:t>
      </w:r>
      <w:bookmarkEnd w:id="38"/>
      <w:bookmarkEnd w:id="39"/>
      <w:bookmarkEnd w:id="40"/>
      <w:bookmarkEnd w:id="41"/>
    </w:p>
    <w:p>
      <w:pPr>
        <w:spacing w:line="600" w:lineRule="exact"/>
        <w:ind w:firstLine="640" w:firstLineChars="200"/>
        <w:jc w:val="center"/>
        <w:rPr>
          <w:rFonts w:ascii="黑体" w:hAnsi="黑体" w:eastAsia="黑体" w:cs="黑体"/>
          <w:color w:val="000000" w:themeColor="text1"/>
          <w:sz w:val="32"/>
          <w:szCs w:val="32"/>
        </w:rPr>
      </w:pPr>
      <w:bookmarkStart w:id="42" w:name="_Toc1260"/>
      <w:bookmarkStart w:id="43" w:name="_Toc19496"/>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十一</w:t>
      </w:r>
      <w:r>
        <w:rPr>
          <w:rFonts w:ascii="黑体" w:hAnsi="黑体" w:eastAsia="黑体" w:cs="黑体"/>
          <w:color w:val="000000" w:themeColor="text1"/>
          <w:sz w:val="32"/>
          <w:szCs w:val="32"/>
        </w:rPr>
        <w:t>条</w:t>
      </w:r>
      <w:r>
        <w:rPr>
          <w:rFonts w:hint="eastAsia" w:ascii="黑体" w:hAnsi="黑体" w:eastAsia="黑体" w:cs="黑体"/>
          <w:color w:val="000000" w:themeColor="text1"/>
          <w:sz w:val="32"/>
          <w:szCs w:val="32"/>
        </w:rPr>
        <w:t>计算</w:t>
      </w:r>
      <w:r>
        <w:rPr>
          <w:rFonts w:ascii="黑体" w:hAnsi="黑体" w:eastAsia="黑体" w:cs="黑体"/>
          <w:color w:val="000000" w:themeColor="text1"/>
          <w:sz w:val="32"/>
          <w:szCs w:val="32"/>
        </w:rPr>
        <w:t>方式</w:t>
      </w:r>
      <w:bookmarkEnd w:id="42"/>
      <w:bookmarkEnd w:id="43"/>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生态环境部门裁定处罚金额时，方法一首先确定裁量方式中各项要素的百分值，再进行累加，然后乘以违法行为最高法定罚款上限，最后得出具体的罚款金额(罚款金额=百分值之和×最高法定罚款上限)；方法二首先确定裁量方式中各项要素的百分值，再进行累加，然后在总百分值表中确定处罚倍数，最后得出具体的罚款金额。处罚金额按“元”取整。</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有法定最低罚款金额的情况下，按照裁量表得出具体的罚款金额低于法定罚款金额的，以法定最低罚款金额为限。</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各级生态环境部门在作出行政处罚决定前及时开展复查，根据裁量方式提出</w:t>
      </w:r>
      <w:r>
        <w:rPr>
          <w:rFonts w:ascii="仿宋_GB2312" w:hAnsi="仿宋_GB2312" w:eastAsia="仿宋_GB2312" w:cs="仿宋_GB2312"/>
          <w:color w:val="000000" w:themeColor="text1"/>
          <w:sz w:val="32"/>
          <w:szCs w:val="32"/>
        </w:rPr>
        <w:t>行</w:t>
      </w:r>
      <w:r>
        <w:rPr>
          <w:rFonts w:hint="eastAsia" w:ascii="仿宋_GB2312" w:hAnsi="仿宋_GB2312" w:eastAsia="仿宋_GB2312" w:cs="仿宋_GB2312"/>
          <w:color w:val="000000" w:themeColor="text1"/>
          <w:sz w:val="32"/>
          <w:szCs w:val="32"/>
        </w:rPr>
        <w:t>政处罚的具体建议，经集体讨论确定最终罚款金额。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无减轻处罚等法定情形的，裁量得出的具体罚款金额不得低于法定的裁量范围。</w:t>
      </w:r>
    </w:p>
    <w:p>
      <w:pPr>
        <w:spacing w:line="600" w:lineRule="exact"/>
        <w:ind w:firstLine="640" w:firstLineChars="200"/>
        <w:jc w:val="center"/>
        <w:rPr>
          <w:rFonts w:ascii="黑体" w:hAnsi="黑体" w:eastAsia="黑体" w:cs="黑体"/>
          <w:color w:val="000000" w:themeColor="text1"/>
          <w:sz w:val="32"/>
          <w:szCs w:val="32"/>
        </w:rPr>
      </w:pPr>
      <w:bookmarkStart w:id="44" w:name="_Toc15881"/>
      <w:bookmarkStart w:id="45" w:name="_Toc5428"/>
      <w:r>
        <w:rPr>
          <w:rFonts w:hint="eastAsia" w:ascii="黑体" w:hAnsi="黑体" w:eastAsia="黑体" w:cs="黑体"/>
          <w:color w:val="000000" w:themeColor="text1"/>
          <w:sz w:val="32"/>
          <w:szCs w:val="32"/>
        </w:rPr>
        <w:t>第十二条从重处罚计算标准</w:t>
      </w:r>
      <w:bookmarkEnd w:id="44"/>
      <w:bookmarkEnd w:id="4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对于符合本办法第七条从重处罚条件的案件，经行政执法机构集体研究讨论后，可以在裁量表裁定的基础上增加一定的百分值，但增加的百分值一般不超过裁量额度的</w:t>
      </w:r>
      <w:r>
        <w:rPr>
          <w:rFonts w:ascii="仿宋_GB2312" w:hAnsi="仿宋_GB2312" w:eastAsia="仿宋_GB2312" w:cs="仿宋_GB2312"/>
          <w:color w:val="000000" w:themeColor="text1"/>
          <w:sz w:val="32"/>
          <w:szCs w:val="32"/>
        </w:rPr>
        <w:t>30%。从重处罚后处罚的金额应以最高的法定罚款金额为限。</w:t>
      </w:r>
    </w:p>
    <w:p>
      <w:pPr>
        <w:spacing w:line="600" w:lineRule="exact"/>
        <w:ind w:firstLine="640" w:firstLineChars="200"/>
        <w:jc w:val="center"/>
        <w:rPr>
          <w:rFonts w:ascii="黑体" w:hAnsi="黑体" w:eastAsia="黑体" w:cs="黑体"/>
          <w:color w:val="000000" w:themeColor="text1"/>
          <w:sz w:val="32"/>
          <w:szCs w:val="32"/>
        </w:rPr>
      </w:pPr>
      <w:bookmarkStart w:id="46" w:name="_Toc547"/>
      <w:bookmarkStart w:id="47" w:name="_Toc10633"/>
      <w:r>
        <w:rPr>
          <w:rFonts w:hint="eastAsia" w:ascii="黑体" w:hAnsi="黑体" w:eastAsia="黑体" w:cs="黑体"/>
          <w:color w:val="000000" w:themeColor="text1"/>
          <w:sz w:val="32"/>
          <w:szCs w:val="32"/>
        </w:rPr>
        <w:t>第十三条从轻、减轻处罚计算标准</w:t>
      </w:r>
      <w:bookmarkEnd w:id="46"/>
      <w:bookmarkEnd w:id="4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对于符合本办法第八条从轻或者减轻处罚条件的案件，行政执法机构集体研究讨论后，可以在裁量表裁定的基础上减少一定百分值，减少的百分值一般不超过裁量额度的</w:t>
      </w:r>
      <w:r>
        <w:rPr>
          <w:rFonts w:ascii="仿宋_GB2312" w:hAnsi="仿宋_GB2312" w:eastAsia="仿宋_GB2312" w:cs="仿宋_GB2312"/>
          <w:color w:val="000000" w:themeColor="text1"/>
          <w:sz w:val="32"/>
          <w:szCs w:val="32"/>
        </w:rPr>
        <w:t>20%，且从轻处罚</w:t>
      </w:r>
      <w:r>
        <w:rPr>
          <w:rFonts w:hint="eastAsia" w:ascii="仿宋_GB2312" w:hAnsi="仿宋_GB2312" w:eastAsia="仿宋_GB2312" w:cs="仿宋_GB2312"/>
          <w:color w:val="000000" w:themeColor="text1"/>
          <w:sz w:val="32"/>
          <w:szCs w:val="32"/>
        </w:rPr>
        <w:t>后的罚款金额以最低法定罚款金额为限。</w:t>
      </w:r>
    </w:p>
    <w:p>
      <w:pPr>
        <w:spacing w:line="600" w:lineRule="exact"/>
        <w:ind w:firstLine="640" w:firstLineChars="200"/>
        <w:jc w:val="center"/>
        <w:rPr>
          <w:rFonts w:ascii="黑体" w:hAnsi="黑体" w:eastAsia="黑体" w:cs="黑体"/>
          <w:color w:val="000000" w:themeColor="text1"/>
          <w:sz w:val="32"/>
          <w:szCs w:val="32"/>
        </w:rPr>
      </w:pPr>
      <w:bookmarkStart w:id="48" w:name="_Toc23888"/>
      <w:bookmarkStart w:id="49" w:name="_Toc4527"/>
      <w:r>
        <w:rPr>
          <w:rFonts w:hint="eastAsia" w:ascii="黑体" w:hAnsi="黑体" w:eastAsia="黑体" w:cs="黑体"/>
          <w:color w:val="000000" w:themeColor="text1"/>
          <w:sz w:val="32"/>
          <w:szCs w:val="32"/>
        </w:rPr>
        <w:t>第十四条其他情况</w:t>
      </w:r>
      <w:bookmarkEnd w:id="48"/>
      <w:bookmarkEnd w:id="49"/>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（一）对案情复杂或者其他客观因素导致裁量计算结果不能使用或依据本办法第十、第十一、第十二条实施裁量的，必须通过重大执法决定法制审核。</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（二）对按日连续处罚的裁量，应当在首个行政处罚过程中依据本办法实施裁量，后续处罚依据有关法律、法规的规定实施。</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（三）对情节复杂或者重大违法行为给予行政处罚，行政机关负责人应当集体讨论决定。</w:t>
      </w:r>
    </w:p>
    <w:p>
      <w:pPr>
        <w:spacing w:line="600" w:lineRule="exact"/>
        <w:ind w:firstLine="640" w:firstLineChars="200"/>
        <w:jc w:val="center"/>
        <w:outlineLvl w:val="0"/>
        <w:rPr>
          <w:rFonts w:ascii="仿宋_GB2312" w:hAnsi="仿宋_GB2312" w:eastAsia="仿宋_GB2312" w:cs="仿宋_GB2312"/>
          <w:color w:val="000000" w:themeColor="text1"/>
          <w:sz w:val="32"/>
          <w:szCs w:val="32"/>
        </w:rPr>
      </w:pPr>
      <w:bookmarkStart w:id="50" w:name="_Toc4339"/>
      <w:bookmarkStart w:id="51" w:name="_Toc20745"/>
      <w:bookmarkStart w:id="52" w:name="_Toc29205"/>
      <w:bookmarkStart w:id="53" w:name="_Toc31429"/>
      <w:r>
        <w:rPr>
          <w:rFonts w:hint="eastAsia" w:ascii="华文中宋" w:hAnsi="华文中宋" w:eastAsia="华文中宋" w:cs="华文中宋"/>
          <w:color w:val="000000" w:themeColor="text1"/>
          <w:sz w:val="32"/>
          <w:szCs w:val="32"/>
        </w:rPr>
        <w:t>第四章自由裁量权的管理与实施</w:t>
      </w:r>
      <w:bookmarkEnd w:id="50"/>
      <w:bookmarkEnd w:id="51"/>
      <w:bookmarkEnd w:id="52"/>
      <w:bookmarkEnd w:id="53"/>
    </w:p>
    <w:p>
      <w:pPr>
        <w:spacing w:line="600" w:lineRule="exact"/>
        <w:ind w:firstLine="640" w:firstLineChars="200"/>
        <w:jc w:val="center"/>
        <w:rPr>
          <w:rFonts w:ascii="仿宋_GB2312" w:hAnsi="仿宋_GB2312" w:eastAsia="仿宋_GB2312" w:cs="仿宋_GB2312"/>
          <w:color w:val="000000" w:themeColor="text1"/>
          <w:sz w:val="32"/>
          <w:szCs w:val="32"/>
        </w:rPr>
      </w:pPr>
      <w:bookmarkStart w:id="54" w:name="_Toc10924"/>
      <w:bookmarkStart w:id="55" w:name="_Toc13978"/>
      <w:r>
        <w:rPr>
          <w:rFonts w:ascii="黑体" w:hAnsi="黑体" w:eastAsia="黑体" w:cs="黑体"/>
          <w:color w:val="000000" w:themeColor="text1"/>
          <w:sz w:val="32"/>
          <w:szCs w:val="32"/>
        </w:rPr>
        <w:t>第十</w:t>
      </w:r>
      <w:r>
        <w:rPr>
          <w:rFonts w:hint="eastAsia" w:ascii="黑体" w:hAnsi="黑体" w:eastAsia="黑体" w:cs="黑体"/>
          <w:color w:val="000000" w:themeColor="text1"/>
          <w:sz w:val="32"/>
          <w:szCs w:val="32"/>
        </w:rPr>
        <w:t>五</w:t>
      </w:r>
      <w:r>
        <w:rPr>
          <w:rFonts w:ascii="黑体" w:hAnsi="黑体" w:eastAsia="黑体" w:cs="黑体"/>
          <w:color w:val="000000" w:themeColor="text1"/>
          <w:sz w:val="32"/>
          <w:szCs w:val="32"/>
        </w:rPr>
        <w:t>条依法依规运行</w:t>
      </w:r>
      <w:bookmarkEnd w:id="54"/>
      <w:bookmarkEnd w:id="5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各级生态环境部门实施自由裁量权，应严格遵照执行行政执法公示制度、执法全过程记录制度、重大执法决定法制审核制度，确保自由裁量权的确定准确、公平。</w:t>
      </w:r>
    </w:p>
    <w:p>
      <w:pPr>
        <w:spacing w:line="600" w:lineRule="exact"/>
        <w:ind w:firstLine="640" w:firstLineChars="200"/>
        <w:jc w:val="center"/>
        <w:rPr>
          <w:rFonts w:ascii="仿宋_GB2312" w:hAnsi="仿宋_GB2312" w:eastAsia="仿宋_GB2312" w:cs="仿宋_GB2312"/>
          <w:color w:val="000000" w:themeColor="text1"/>
          <w:sz w:val="32"/>
          <w:szCs w:val="32"/>
        </w:rPr>
      </w:pPr>
      <w:bookmarkStart w:id="56" w:name="_Toc5052"/>
      <w:bookmarkStart w:id="57" w:name="_Toc18079"/>
      <w:r>
        <w:rPr>
          <w:rFonts w:ascii="黑体" w:hAnsi="黑体" w:eastAsia="黑体" w:cs="黑体"/>
          <w:color w:val="000000" w:themeColor="text1"/>
          <w:sz w:val="32"/>
          <w:szCs w:val="32"/>
        </w:rPr>
        <w:t>第十</w:t>
      </w:r>
      <w:r>
        <w:rPr>
          <w:rFonts w:hint="eastAsia" w:ascii="黑体" w:hAnsi="黑体" w:eastAsia="黑体" w:cs="黑体"/>
          <w:color w:val="000000" w:themeColor="text1"/>
          <w:sz w:val="32"/>
          <w:szCs w:val="32"/>
        </w:rPr>
        <w:t>六</w:t>
      </w:r>
      <w:r>
        <w:rPr>
          <w:rFonts w:ascii="黑体" w:hAnsi="黑体" w:eastAsia="黑体" w:cs="黑体"/>
          <w:color w:val="000000" w:themeColor="text1"/>
          <w:sz w:val="32"/>
          <w:szCs w:val="32"/>
        </w:rPr>
        <w:t>条规范办理流程</w:t>
      </w:r>
      <w:bookmarkEnd w:id="56"/>
      <w:bookmarkEnd w:id="5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各级生态环境部门在作出处罚决定时，应当依法将自由裁量权依据的证据获取完善，纳入行政处罚案卷，并全面系统归档保存，实现全过程留痕和可回溯管理。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应当强化裁量规则和基准对调查取证的指导作用，应根据裁量基准全面调取证据；在提交行政处罚案件调查报告时，不仅要附有违法行为的定性证据，还应根据裁量因子提供有关定量证据。开发使用移动执法平台的，应当与裁量系统相衔接，为执法人员现场全面收集证据、正确适用法律提供帮助。</w:t>
      </w:r>
    </w:p>
    <w:p>
      <w:pPr>
        <w:spacing w:line="600" w:lineRule="exact"/>
        <w:ind w:firstLine="640" w:firstLineChars="200"/>
        <w:jc w:val="center"/>
        <w:rPr>
          <w:rFonts w:ascii="黑体" w:hAnsi="黑体" w:eastAsia="黑体" w:cs="黑体"/>
          <w:color w:val="000000" w:themeColor="text1"/>
          <w:sz w:val="32"/>
          <w:szCs w:val="32"/>
        </w:rPr>
      </w:pPr>
      <w:bookmarkStart w:id="58" w:name="_Toc25166"/>
      <w:bookmarkStart w:id="59" w:name="_Toc10438"/>
      <w:r>
        <w:rPr>
          <w:rFonts w:ascii="黑体" w:hAnsi="黑体" w:eastAsia="黑体" w:cs="黑体"/>
          <w:color w:val="000000" w:themeColor="text1"/>
          <w:sz w:val="32"/>
          <w:szCs w:val="32"/>
        </w:rPr>
        <w:t>第十</w:t>
      </w:r>
      <w:r>
        <w:rPr>
          <w:rFonts w:hint="eastAsia" w:ascii="黑体" w:hAnsi="黑体" w:eastAsia="黑体" w:cs="黑体"/>
          <w:color w:val="000000" w:themeColor="text1"/>
          <w:sz w:val="32"/>
          <w:szCs w:val="32"/>
        </w:rPr>
        <w:t>七</w:t>
      </w:r>
      <w:r>
        <w:rPr>
          <w:rFonts w:ascii="黑体" w:hAnsi="黑体" w:eastAsia="黑体" w:cs="黑体"/>
          <w:color w:val="000000" w:themeColor="text1"/>
          <w:sz w:val="32"/>
          <w:szCs w:val="32"/>
        </w:rPr>
        <w:t>条</w:t>
      </w:r>
      <w:r>
        <w:rPr>
          <w:rFonts w:hint="eastAsia" w:ascii="黑体" w:hAnsi="黑体" w:eastAsia="黑体" w:cs="黑体"/>
          <w:color w:val="000000" w:themeColor="text1"/>
          <w:sz w:val="32"/>
          <w:szCs w:val="32"/>
        </w:rPr>
        <w:t>保障措施</w:t>
      </w:r>
      <w:bookmarkEnd w:id="58"/>
      <w:bookmarkEnd w:id="59"/>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市生态环境局根据实际工作需要，向各级生态环境执法部门提供自由裁量权计算系统，辅助各级生态环境执法部门计算自由裁量金额，作为确定自由裁量权的重要证据。</w:t>
      </w:r>
    </w:p>
    <w:p>
      <w:pPr>
        <w:spacing w:line="600" w:lineRule="exact"/>
        <w:ind w:firstLine="640" w:firstLineChars="200"/>
        <w:jc w:val="center"/>
        <w:outlineLvl w:val="0"/>
        <w:rPr>
          <w:rFonts w:ascii="华文中宋" w:hAnsi="华文中宋" w:eastAsia="华文中宋" w:cs="华文中宋"/>
          <w:color w:val="000000" w:themeColor="text1"/>
          <w:sz w:val="32"/>
          <w:szCs w:val="32"/>
        </w:rPr>
      </w:pPr>
      <w:bookmarkStart w:id="60" w:name="_Toc24653"/>
      <w:bookmarkStart w:id="61" w:name="_Toc29508"/>
      <w:bookmarkStart w:id="62" w:name="_Toc929"/>
      <w:bookmarkStart w:id="63" w:name="_Toc16027"/>
      <w:r>
        <w:rPr>
          <w:rFonts w:hint="eastAsia" w:ascii="华文中宋" w:hAnsi="华文中宋" w:eastAsia="华文中宋" w:cs="华文中宋"/>
          <w:color w:val="000000" w:themeColor="text1"/>
          <w:sz w:val="32"/>
          <w:szCs w:val="32"/>
        </w:rPr>
        <w:t>第五章附则</w:t>
      </w:r>
      <w:bookmarkEnd w:id="60"/>
      <w:bookmarkEnd w:id="61"/>
      <w:bookmarkEnd w:id="62"/>
      <w:bookmarkEnd w:id="63"/>
    </w:p>
    <w:p>
      <w:pPr>
        <w:spacing w:line="600" w:lineRule="exact"/>
        <w:ind w:firstLine="640" w:firstLineChars="200"/>
        <w:jc w:val="center"/>
        <w:rPr>
          <w:rFonts w:ascii="黑体" w:hAnsi="黑体" w:eastAsia="黑体" w:cs="黑体"/>
          <w:color w:val="000000" w:themeColor="text1"/>
          <w:sz w:val="32"/>
          <w:szCs w:val="32"/>
        </w:rPr>
      </w:pPr>
      <w:bookmarkStart w:id="64" w:name="_Toc25042"/>
      <w:bookmarkStart w:id="65" w:name="_Toc8695"/>
      <w:r>
        <w:rPr>
          <w:rFonts w:ascii="黑体" w:hAnsi="黑体" w:eastAsia="黑体" w:cs="黑体"/>
          <w:color w:val="000000" w:themeColor="text1"/>
          <w:sz w:val="32"/>
          <w:szCs w:val="32"/>
        </w:rPr>
        <w:t>第十</w:t>
      </w:r>
      <w:r>
        <w:rPr>
          <w:rFonts w:hint="eastAsia" w:ascii="黑体" w:hAnsi="黑体" w:eastAsia="黑体" w:cs="黑体"/>
          <w:color w:val="000000" w:themeColor="text1"/>
          <w:sz w:val="32"/>
          <w:szCs w:val="32"/>
        </w:rPr>
        <w:t>八</w:t>
      </w:r>
      <w:r>
        <w:rPr>
          <w:rFonts w:ascii="黑体" w:hAnsi="黑体" w:eastAsia="黑体" w:cs="黑体"/>
          <w:color w:val="000000" w:themeColor="text1"/>
          <w:sz w:val="32"/>
          <w:szCs w:val="32"/>
        </w:rPr>
        <w:t>条</w:t>
      </w:r>
      <w:r>
        <w:rPr>
          <w:rFonts w:hint="eastAsia" w:ascii="黑体" w:hAnsi="黑体" w:eastAsia="黑体" w:cs="黑体"/>
          <w:color w:val="000000" w:themeColor="text1"/>
          <w:sz w:val="32"/>
          <w:szCs w:val="32"/>
        </w:rPr>
        <w:t>办法</w:t>
      </w:r>
      <w:r>
        <w:rPr>
          <w:rFonts w:ascii="黑体" w:hAnsi="黑体" w:eastAsia="黑体" w:cs="黑体"/>
          <w:color w:val="000000" w:themeColor="text1"/>
          <w:sz w:val="32"/>
          <w:szCs w:val="32"/>
        </w:rPr>
        <w:t>适用</w:t>
      </w:r>
      <w:bookmarkEnd w:id="64"/>
      <w:bookmarkEnd w:id="6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本办法印发之日起已经立案的，应当按照之前关于自由裁量权的规定实施；在本办法印发之日后立案的，应当按照本办法规定实施裁量。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本裁量标准所指的“以上”包含本数，“以下”不包含本数。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未列入本裁量标准的环境违法行为，参照本裁量标准的裁量方法，进行综合裁量。噪声类使用通用表，通用表无法适用的，参照本裁量标准的裁量方法，进行综合裁量。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本办法将根据法律、法规及相关政策的调整、实施情况，进行动态修订、更新。法律、法规和规章对环境行政处罚裁量权另有规定的，从其规定。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本溪市生态环境局负责对本办法有关规定解释。</w:t>
      </w:r>
    </w:p>
    <w:p>
      <w:pPr>
        <w:spacing w:line="600" w:lineRule="exact"/>
        <w:ind w:firstLine="640" w:firstLineChars="200"/>
        <w:jc w:val="center"/>
        <w:rPr>
          <w:rFonts w:ascii="黑体" w:hAnsi="黑体" w:eastAsia="黑体" w:cs="黑体"/>
          <w:color w:val="000000" w:themeColor="text1"/>
          <w:sz w:val="32"/>
          <w:szCs w:val="32"/>
        </w:rPr>
      </w:pPr>
      <w:bookmarkStart w:id="66" w:name="_Toc15689"/>
      <w:bookmarkStart w:id="67" w:name="_Toc32681"/>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十九</w:t>
      </w:r>
      <w:r>
        <w:rPr>
          <w:rFonts w:ascii="黑体" w:hAnsi="黑体" w:eastAsia="黑体" w:cs="黑体"/>
          <w:color w:val="000000" w:themeColor="text1"/>
          <w:sz w:val="32"/>
          <w:szCs w:val="32"/>
        </w:rPr>
        <w:t>条施行日期</w:t>
      </w:r>
      <w:bookmarkEnd w:id="66"/>
      <w:bookmarkEnd w:id="6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本办法自公布之日起施行。《本溪市生态环境局行政处罚自由裁量权统一判定标准》同时废止。</w:t>
      </w: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pStyle w:val="11"/>
        <w:tabs>
          <w:tab w:val="right" w:leader="dot" w:pos="8453"/>
        </w:tabs>
        <w:ind w:left="0" w:leftChars="0"/>
        <w:rPr>
          <w:rFonts w:ascii="黑体" w:hAnsi="黑体" w:eastAsia="黑体" w:cs="黑体"/>
          <w:color w:val="000000" w:themeColor="text1"/>
          <w:sz w:val="28"/>
          <w:szCs w:val="28"/>
        </w:rPr>
      </w:pPr>
      <w:bookmarkStart w:id="68" w:name="_Toc25993"/>
      <w:bookmarkStart w:id="69" w:name="_Toc25758"/>
    </w:p>
    <w:p>
      <w:pPr>
        <w:pStyle w:val="11"/>
        <w:tabs>
          <w:tab w:val="right" w:leader="dot" w:pos="8453"/>
        </w:tabs>
        <w:ind w:left="0" w:leftChars="0"/>
        <w:jc w:val="center"/>
        <w:rPr>
          <w:color w:val="000000" w:themeColor="text1"/>
        </w:rPr>
      </w:pPr>
      <w:r>
        <w:rPr>
          <w:rFonts w:hint="eastAsia" w:ascii="黑体" w:hAnsi="黑体" w:eastAsia="黑体" w:cs="黑体"/>
          <w:color w:val="000000" w:themeColor="text1"/>
          <w:sz w:val="28"/>
          <w:szCs w:val="28"/>
        </w:rPr>
        <w:t>目录</w:t>
      </w:r>
      <w:r>
        <w:rPr>
          <w:rFonts w:hint="eastAsia" w:ascii="黑体" w:hAnsi="黑体" w:eastAsia="黑体" w:cs="黑体"/>
          <w:color w:val="000000" w:themeColor="text1"/>
          <w:sz w:val="28"/>
          <w:szCs w:val="28"/>
        </w:rPr>
        <w:fldChar w:fldCharType="begin"/>
      </w:r>
      <w:r>
        <w:rPr>
          <w:rFonts w:hint="eastAsia" w:ascii="黑体" w:hAnsi="黑体" w:eastAsia="黑体" w:cs="黑体"/>
          <w:color w:val="000000" w:themeColor="text1"/>
          <w:sz w:val="28"/>
          <w:szCs w:val="28"/>
        </w:rPr>
        <w:instrText xml:space="preserve">TOC \o "1-2" \h \u </w:instrText>
      </w:r>
      <w:r>
        <w:rPr>
          <w:rFonts w:hint="eastAsia" w:ascii="黑体" w:hAnsi="黑体" w:eastAsia="黑体" w:cs="黑体"/>
          <w:color w:val="000000" w:themeColor="text1"/>
          <w:sz w:val="28"/>
          <w:szCs w:val="28"/>
        </w:rPr>
        <w:fldChar w:fldCharType="separate"/>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"_Toc21316" </w:instrText>
      </w:r>
      <w:r>
        <w:rPr>
          <w:color w:val="000000" w:themeColor="text1"/>
        </w:rPr>
        <w:fldChar w:fldCharType="separate"/>
      </w:r>
      <w:r>
        <w:rPr>
          <w:rFonts w:hint="eastAsia" w:ascii="黑体" w:hAnsi="黑体" w:eastAsia="黑体" w:cs="黑体"/>
          <w:color w:val="000000" w:themeColor="text1"/>
          <w:szCs w:val="28"/>
        </w:rPr>
        <w:t>一、本溪市生态环境局环境行政处罚裁量规则（环评类）</w:t>
      </w:r>
      <w:r>
        <w:rPr>
          <w:color w:val="000000" w:themeColor="text1"/>
        </w:rPr>
        <w:tab/>
      </w:r>
      <w:r>
        <w:rPr>
          <w:color w:val="000000" w:themeColor="text1"/>
        </w:rPr>
        <w:fldChar w:fldCharType="begin"/>
      </w:r>
      <w:r>
        <w:rPr>
          <w:color w:val="000000" w:themeColor="text1"/>
        </w:rPr>
        <w:instrText xml:space="preserve"> PAGEREF _Toc21316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"_Toc28957"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w:t>
      </w:r>
      <w:r>
        <w:rPr>
          <w:rFonts w:hint="eastAsia" w:ascii="仿宋" w:hAnsi="仿宋" w:eastAsia="仿宋" w:cs="仿宋"/>
          <w:bCs/>
          <w:color w:val="000000" w:themeColor="text1"/>
          <w:kern w:val="0"/>
          <w:lang w:val="zh-CN"/>
        </w:rPr>
        <w:t xml:space="preserve"> 未依法报批或未重新报批或报请重新审核环境影响报告书、报告表的罚款幅度裁定</w:t>
      </w:r>
      <w:r>
        <w:rPr>
          <w:color w:val="000000" w:themeColor="text1"/>
        </w:rPr>
        <w:tab/>
      </w:r>
      <w:r>
        <w:rPr>
          <w:color w:val="000000" w:themeColor="text1"/>
        </w:rPr>
        <w:fldChar w:fldCharType="begin"/>
      </w:r>
      <w:r>
        <w:rPr>
          <w:color w:val="000000" w:themeColor="text1"/>
        </w:rPr>
        <w:instrText xml:space="preserve"> PAGEREF _Toc28957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"_Toc11616"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2</w:t>
      </w:r>
      <w:r>
        <w:rPr>
          <w:rFonts w:hint="eastAsia" w:ascii="仿宋" w:hAnsi="仿宋" w:eastAsia="仿宋" w:cs="仿宋"/>
          <w:bCs/>
          <w:color w:val="000000" w:themeColor="text1"/>
          <w:kern w:val="0"/>
          <w:lang w:val="zh-CN"/>
        </w:rPr>
        <w:t xml:space="preserve"> 建设项目环境影响报告书、报告表未经批准或者未经原审批部门重新审核同意，建设单位擅自开工建设的的罚款幅度裁定</w:t>
      </w:r>
      <w:r>
        <w:rPr>
          <w:color w:val="000000" w:themeColor="text1"/>
        </w:rPr>
        <w:tab/>
      </w:r>
      <w:r>
        <w:rPr>
          <w:color w:val="000000" w:themeColor="text1"/>
        </w:rPr>
        <w:fldChar w:fldCharType="begin"/>
      </w:r>
      <w:r>
        <w:rPr>
          <w:color w:val="000000" w:themeColor="text1"/>
        </w:rPr>
        <w:instrText xml:space="preserve"> PAGEREF _Toc11616 \h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"_Toc22432" </w:instrText>
      </w:r>
      <w:r>
        <w:rPr>
          <w:color w:val="000000" w:themeColor="text1"/>
        </w:rPr>
        <w:fldChar w:fldCharType="separate"/>
      </w:r>
      <w:r>
        <w:rPr>
          <w:rFonts w:hint="eastAsia" w:ascii="仿宋" w:hAnsi="仿宋" w:eastAsia="仿宋" w:cs="仿宋"/>
          <w:bCs/>
          <w:color w:val="000000" w:themeColor="text1"/>
          <w:kern w:val="0"/>
        </w:rPr>
        <w:t>表 3 未依法备案建设项目环境影响登记表的罚款幅度裁定</w:t>
      </w:r>
      <w:r>
        <w:rPr>
          <w:color w:val="000000" w:themeColor="text1"/>
        </w:rPr>
        <w:tab/>
      </w:r>
      <w:r>
        <w:rPr>
          <w:color w:val="000000" w:themeColor="text1"/>
        </w:rPr>
        <w:fldChar w:fldCharType="begin"/>
      </w:r>
      <w:r>
        <w:rPr>
          <w:color w:val="000000" w:themeColor="text1"/>
        </w:rPr>
        <w:instrText xml:space="preserve"> PAGEREF _Toc22432 \h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"_Toc6775" </w:instrText>
      </w:r>
      <w:r>
        <w:rPr>
          <w:color w:val="000000" w:themeColor="text1"/>
        </w:rPr>
        <w:fldChar w:fldCharType="separate"/>
      </w:r>
      <w:r>
        <w:rPr>
          <w:rFonts w:hint="eastAsia" w:ascii="仿宋" w:hAnsi="仿宋" w:eastAsia="仿宋" w:cs="仿宋"/>
          <w:bCs/>
          <w:color w:val="000000" w:themeColor="text1"/>
          <w:kern w:val="0"/>
        </w:rPr>
        <w:t>表 4 建设项目环境影响报告书、环境影响报告表存在基础资料明显不实，内容存在重大缺陷、遗漏或者虚假，环境影响评价结论不正确或者不合理等严重质量问题的罚款幅度裁定</w:t>
      </w:r>
      <w:r>
        <w:rPr>
          <w:color w:val="000000" w:themeColor="text1"/>
        </w:rPr>
        <w:tab/>
      </w:r>
      <w:r>
        <w:rPr>
          <w:color w:val="000000" w:themeColor="text1"/>
        </w:rPr>
        <w:fldChar w:fldCharType="begin"/>
      </w:r>
      <w:r>
        <w:rPr>
          <w:color w:val="000000" w:themeColor="text1"/>
        </w:rPr>
        <w:instrText xml:space="preserve"> PAGEREF _Toc6775 \h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"_Toc12571" </w:instrText>
      </w:r>
      <w:r>
        <w:rPr>
          <w:color w:val="000000" w:themeColor="text1"/>
        </w:rPr>
        <w:fldChar w:fldCharType="separate"/>
      </w:r>
      <w:r>
        <w:rPr>
          <w:rFonts w:hint="eastAsia" w:ascii="仿宋" w:hAnsi="仿宋" w:eastAsia="仿宋" w:cs="仿宋"/>
          <w:bCs/>
          <w:color w:val="000000" w:themeColor="text1"/>
          <w:kern w:val="0"/>
        </w:rPr>
        <w:t>表 5 编制建设项目初步设计未落实防治环境污染和生态破坏的措施以及环境保护设施投资概算、未将环境保护设施建设纳入施工合同或未开展后评价的罚款幅度裁定表</w:t>
      </w:r>
      <w:r>
        <w:rPr>
          <w:color w:val="000000" w:themeColor="text1"/>
        </w:rPr>
        <w:tab/>
      </w:r>
      <w:r>
        <w:rPr>
          <w:color w:val="000000" w:themeColor="text1"/>
        </w:rPr>
        <w:fldChar w:fldCharType="begin"/>
      </w:r>
      <w:r>
        <w:rPr>
          <w:color w:val="000000" w:themeColor="text1"/>
        </w:rPr>
        <w:instrText xml:space="preserve"> PAGEREF _Toc12571 \h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"_Toc9191" </w:instrText>
      </w:r>
      <w:r>
        <w:rPr>
          <w:color w:val="000000" w:themeColor="text1"/>
        </w:rPr>
        <w:fldChar w:fldCharType="separate"/>
      </w:r>
      <w:r>
        <w:rPr>
          <w:rFonts w:hint="eastAsia" w:ascii="仿宋" w:hAnsi="仿宋" w:eastAsia="仿宋" w:cs="仿宋"/>
          <w:bCs/>
          <w:color w:val="000000" w:themeColor="text1"/>
          <w:kern w:val="0"/>
        </w:rPr>
        <w:t>表 6 未落实环境影响评价及审批部门决定中提出的环境保护</w:t>
      </w:r>
      <w:r>
        <w:rPr>
          <w:color w:val="000000" w:themeColor="text1"/>
        </w:rPr>
        <w:tab/>
      </w:r>
      <w:r>
        <w:rPr>
          <w:color w:val="000000" w:themeColor="text1"/>
        </w:rPr>
        <w:fldChar w:fldCharType="begin"/>
      </w:r>
      <w:r>
        <w:rPr>
          <w:color w:val="000000" w:themeColor="text1"/>
        </w:rPr>
        <w:instrText xml:space="preserve"> PAGEREF _Toc9191 \h </w:instrText>
      </w:r>
      <w:r>
        <w:rPr>
          <w:color w:val="000000" w:themeColor="text1"/>
        </w:rPr>
        <w:fldChar w:fldCharType="separate"/>
      </w:r>
      <w:r>
        <w:rPr>
          <w:color w:val="000000" w:themeColor="text1"/>
        </w:rPr>
        <w:t>27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"_Toc27334" </w:instrText>
      </w:r>
      <w:r>
        <w:rPr>
          <w:color w:val="000000" w:themeColor="text1"/>
        </w:rPr>
        <w:fldChar w:fldCharType="separate"/>
      </w:r>
      <w:r>
        <w:rPr>
          <w:rFonts w:hint="eastAsia" w:ascii="仿宋" w:hAnsi="仿宋" w:eastAsia="仿宋" w:cs="仿宋"/>
          <w:bCs/>
          <w:color w:val="000000" w:themeColor="text1"/>
          <w:kern w:val="0"/>
        </w:rPr>
        <w:t>表 7-1 需要配套建设的环境保护设施未建成、未经验收或者验收不合格投入生产和使用的罚款幅度裁定</w:t>
      </w:r>
      <w:r>
        <w:rPr>
          <w:color w:val="000000" w:themeColor="text1"/>
        </w:rPr>
        <w:tab/>
      </w:r>
      <w:r>
        <w:rPr>
          <w:color w:val="000000" w:themeColor="text1"/>
        </w:rPr>
        <w:fldChar w:fldCharType="begin"/>
      </w:r>
      <w:r>
        <w:rPr>
          <w:color w:val="000000" w:themeColor="text1"/>
        </w:rPr>
        <w:instrText xml:space="preserve"> PAGEREF _Toc27334 \h </w:instrText>
      </w:r>
      <w:r>
        <w:rPr>
          <w:color w:val="000000" w:themeColor="text1"/>
        </w:rPr>
        <w:fldChar w:fldCharType="separate"/>
      </w:r>
      <w:r>
        <w:rPr>
          <w:color w:val="000000" w:themeColor="text1"/>
        </w:rPr>
        <w:t>29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"_Toc11797" </w:instrText>
      </w:r>
      <w:r>
        <w:rPr>
          <w:color w:val="000000" w:themeColor="text1"/>
        </w:rPr>
        <w:fldChar w:fldCharType="separate"/>
      </w:r>
      <w:r>
        <w:rPr>
          <w:rFonts w:hint="eastAsia" w:ascii="仿宋" w:hAnsi="仿宋" w:eastAsia="仿宋" w:cs="仿宋"/>
          <w:bCs/>
          <w:color w:val="000000" w:themeColor="text1"/>
          <w:kern w:val="0"/>
        </w:rPr>
        <w:t>表 7-2 畜禽规模养殖配套环保设施未建成，验收不合格或未委托他人处理的罚款幅度裁定</w:t>
      </w:r>
      <w:r>
        <w:rPr>
          <w:color w:val="000000" w:themeColor="text1"/>
        </w:rPr>
        <w:tab/>
      </w:r>
      <w:r>
        <w:rPr>
          <w:color w:val="000000" w:themeColor="text1"/>
        </w:rPr>
        <w:fldChar w:fldCharType="begin"/>
      </w:r>
      <w:r>
        <w:rPr>
          <w:color w:val="000000" w:themeColor="text1"/>
        </w:rPr>
        <w:instrText xml:space="preserve"> PAGEREF _Toc11797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"_Toc31575" </w:instrText>
      </w:r>
      <w:r>
        <w:rPr>
          <w:color w:val="000000" w:themeColor="text1"/>
        </w:rPr>
        <w:fldChar w:fldCharType="separate"/>
      </w:r>
      <w:r>
        <w:rPr>
          <w:rFonts w:hint="eastAsia" w:ascii="仿宋" w:hAnsi="仿宋" w:eastAsia="仿宋" w:cs="仿宋"/>
          <w:bCs/>
          <w:color w:val="000000" w:themeColor="text1"/>
          <w:kern w:val="0"/>
        </w:rPr>
        <w:t>表 8 未依法向社会公开环境保护设施验收报告的罚款幅度裁定</w:t>
      </w:r>
      <w:r>
        <w:rPr>
          <w:color w:val="000000" w:themeColor="text1"/>
        </w:rPr>
        <w:tab/>
      </w:r>
      <w:r>
        <w:rPr>
          <w:color w:val="000000" w:themeColor="text1"/>
        </w:rPr>
        <w:fldChar w:fldCharType="begin"/>
      </w:r>
      <w:r>
        <w:rPr>
          <w:color w:val="000000" w:themeColor="text1"/>
        </w:rPr>
        <w:instrText xml:space="preserve"> PAGEREF _Toc31575 \h </w:instrText>
      </w:r>
      <w:r>
        <w:rPr>
          <w:color w:val="000000" w:themeColor="text1"/>
        </w:rPr>
        <w:fldChar w:fldCharType="separate"/>
      </w:r>
      <w:r>
        <w:rPr>
          <w:color w:val="000000" w:themeColor="text1"/>
        </w:rPr>
        <w:t>33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"_Toc28980" </w:instrText>
      </w:r>
      <w:r>
        <w:rPr>
          <w:color w:val="000000" w:themeColor="text1"/>
        </w:rPr>
        <w:fldChar w:fldCharType="separate"/>
      </w:r>
      <w:r>
        <w:rPr>
          <w:rFonts w:hint="eastAsia" w:ascii="仿宋" w:hAnsi="仿宋" w:eastAsia="仿宋" w:cs="仿宋"/>
          <w:bCs/>
          <w:color w:val="000000" w:themeColor="text1"/>
          <w:kern w:val="0"/>
        </w:rPr>
        <w:t>表 9技术机构向建设单位、从事环境影响评价工作的单位收取费用的罚款幅度裁定</w:t>
      </w:r>
      <w:r>
        <w:rPr>
          <w:color w:val="000000" w:themeColor="text1"/>
        </w:rPr>
        <w:tab/>
      </w:r>
      <w:r>
        <w:rPr>
          <w:color w:val="000000" w:themeColor="text1"/>
        </w:rPr>
        <w:fldChar w:fldCharType="begin"/>
      </w:r>
      <w:r>
        <w:rPr>
          <w:color w:val="000000" w:themeColor="text1"/>
        </w:rPr>
        <w:instrText xml:space="preserve"> PAGEREF _Toc28980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"_Toc19748" </w:instrText>
      </w:r>
      <w:r>
        <w:rPr>
          <w:color w:val="000000" w:themeColor="text1"/>
        </w:rPr>
        <w:fldChar w:fldCharType="separate"/>
      </w:r>
      <w:r>
        <w:rPr>
          <w:rFonts w:hint="eastAsia" w:ascii="黑体" w:hAnsi="黑体" w:eastAsia="黑体" w:cs="黑体"/>
          <w:color w:val="000000" w:themeColor="text1"/>
          <w:szCs w:val="28"/>
        </w:rPr>
        <w:t>二、本溪市生态环境局环境行政处罚裁量规则（大气类）</w:t>
      </w:r>
      <w:r>
        <w:rPr>
          <w:color w:val="000000" w:themeColor="text1"/>
        </w:rPr>
        <w:tab/>
      </w:r>
      <w:r>
        <w:rPr>
          <w:color w:val="000000" w:themeColor="text1"/>
        </w:rPr>
        <w:fldChar w:fldCharType="begin"/>
      </w:r>
      <w:r>
        <w:rPr>
          <w:color w:val="000000" w:themeColor="text1"/>
        </w:rPr>
        <w:instrText xml:space="preserve"> PAGEREF _Toc19748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"_Toc15725"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10</w:t>
      </w:r>
      <w:r>
        <w:rPr>
          <w:rFonts w:hint="eastAsia" w:ascii="仿宋" w:hAnsi="仿宋" w:eastAsia="仿宋" w:cs="仿宋"/>
          <w:bCs/>
          <w:color w:val="000000" w:themeColor="text1"/>
          <w:kern w:val="0"/>
          <w:lang w:val="zh-CN"/>
        </w:rPr>
        <w:t xml:space="preserve"> 拒绝检查及检查时弄虚作假的罚款幅度裁定</w:t>
      </w:r>
      <w:r>
        <w:rPr>
          <w:color w:val="000000" w:themeColor="text1"/>
        </w:rPr>
        <w:tab/>
      </w:r>
      <w:r>
        <w:rPr>
          <w:color w:val="000000" w:themeColor="text1"/>
        </w:rPr>
        <w:fldChar w:fldCharType="begin"/>
      </w:r>
      <w:r>
        <w:rPr>
          <w:color w:val="000000" w:themeColor="text1"/>
        </w:rPr>
        <w:instrText xml:space="preserve"> PAGEREF _Toc15725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"_Toc27190"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11</w:t>
      </w:r>
      <w:r>
        <w:rPr>
          <w:rFonts w:hint="eastAsia" w:ascii="仿宋" w:hAnsi="仿宋" w:eastAsia="仿宋" w:cs="仿宋"/>
          <w:bCs/>
          <w:color w:val="000000" w:themeColor="text1"/>
          <w:kern w:val="0"/>
          <w:lang w:val="zh-CN"/>
        </w:rPr>
        <w:t xml:space="preserve"> 未依法取得排污许可证排放大气污染物的罚款幅度裁定</w:t>
      </w:r>
      <w:r>
        <w:rPr>
          <w:color w:val="000000" w:themeColor="text1"/>
        </w:rPr>
        <w:tab/>
      </w:r>
      <w:r>
        <w:rPr>
          <w:color w:val="000000" w:themeColor="text1"/>
        </w:rPr>
        <w:fldChar w:fldCharType="begin"/>
      </w:r>
      <w:r>
        <w:rPr>
          <w:color w:val="000000" w:themeColor="text1"/>
        </w:rPr>
        <w:instrText xml:space="preserve"> PAGEREF _Toc27190 \h </w:instrText>
      </w:r>
      <w:r>
        <w:rPr>
          <w:color w:val="000000" w:themeColor="text1"/>
        </w:rPr>
        <w:fldChar w:fldCharType="separate"/>
      </w:r>
      <w:r>
        <w:rPr>
          <w:color w:val="000000" w:themeColor="text1"/>
        </w:rPr>
        <w:t>39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"_Toc3362"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12</w:t>
      </w:r>
      <w:r>
        <w:rPr>
          <w:rFonts w:hint="eastAsia" w:ascii="仿宋" w:hAnsi="仿宋" w:eastAsia="仿宋" w:cs="仿宋"/>
          <w:bCs/>
          <w:color w:val="000000" w:themeColor="text1"/>
          <w:kern w:val="0"/>
          <w:lang w:val="zh-CN"/>
        </w:rPr>
        <w:t xml:space="preserve"> 超过大气污染物排放标准或者超过重点大气污染物排放总量控制指标排放大气污染物的罚款幅度裁定</w:t>
      </w:r>
      <w:r>
        <w:rPr>
          <w:color w:val="000000" w:themeColor="text1"/>
        </w:rPr>
        <w:tab/>
      </w:r>
      <w:r>
        <w:rPr>
          <w:color w:val="000000" w:themeColor="text1"/>
        </w:rPr>
        <w:fldChar w:fldCharType="begin"/>
      </w:r>
      <w:r>
        <w:rPr>
          <w:color w:val="000000" w:themeColor="text1"/>
        </w:rPr>
        <w:instrText xml:space="preserve"> PAGEREF _Toc3362 \h </w:instrText>
      </w:r>
      <w:r>
        <w:rPr>
          <w:color w:val="000000" w:themeColor="text1"/>
        </w:rPr>
        <w:fldChar w:fldCharType="separate"/>
      </w:r>
      <w:r>
        <w:rPr>
          <w:color w:val="000000" w:themeColor="text1"/>
        </w:rPr>
        <w:t>41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"_Toc502"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13</w:t>
      </w:r>
      <w:r>
        <w:rPr>
          <w:rFonts w:hint="eastAsia" w:ascii="仿宋" w:hAnsi="仿宋" w:eastAsia="仿宋" w:cs="仿宋"/>
          <w:bCs/>
          <w:color w:val="000000" w:themeColor="text1"/>
          <w:kern w:val="0"/>
          <w:lang w:val="zh-CN"/>
        </w:rPr>
        <w:t xml:space="preserve"> 通过逃避监管的方式排放大气污染物的罚款幅度裁定</w:t>
      </w:r>
      <w:r>
        <w:rPr>
          <w:color w:val="000000" w:themeColor="text1"/>
        </w:rPr>
        <w:tab/>
      </w:r>
      <w:r>
        <w:rPr>
          <w:color w:val="000000" w:themeColor="text1"/>
        </w:rPr>
        <w:fldChar w:fldCharType="begin"/>
      </w:r>
      <w:r>
        <w:rPr>
          <w:color w:val="000000" w:themeColor="text1"/>
        </w:rPr>
        <w:instrText xml:space="preserve"> PAGEREF _Toc502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"_Toc15966"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14</w:t>
      </w:r>
      <w:r>
        <w:rPr>
          <w:rFonts w:hint="eastAsia" w:ascii="仿宋" w:hAnsi="仿宋" w:eastAsia="仿宋" w:cs="仿宋"/>
          <w:bCs/>
          <w:color w:val="000000" w:themeColor="text1"/>
          <w:kern w:val="0"/>
          <w:lang w:val="zh-CN"/>
        </w:rPr>
        <w:t xml:space="preserve"> 侵占、损毁或者擅自移动、改变大气环境质量监测设施或者大气污染物排放自动监测设备的罚款幅度裁定</w:t>
      </w:r>
      <w:r>
        <w:rPr>
          <w:color w:val="000000" w:themeColor="text1"/>
        </w:rPr>
        <w:tab/>
      </w:r>
      <w:r>
        <w:rPr>
          <w:color w:val="000000" w:themeColor="text1"/>
        </w:rPr>
        <w:fldChar w:fldCharType="begin"/>
      </w:r>
      <w:r>
        <w:rPr>
          <w:color w:val="000000" w:themeColor="text1"/>
        </w:rPr>
        <w:instrText xml:space="preserve"> PAGEREF _Toc15966 \h </w:instrText>
      </w:r>
      <w:r>
        <w:rPr>
          <w:color w:val="000000" w:themeColor="text1"/>
        </w:rPr>
        <w:fldChar w:fldCharType="separate"/>
      </w:r>
      <w:r>
        <w:rPr>
          <w:color w:val="000000" w:themeColor="text1"/>
        </w:rPr>
        <w:t>45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"_Toc23912"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15</w:t>
      </w:r>
      <w:r>
        <w:rPr>
          <w:rFonts w:hint="eastAsia" w:ascii="仿宋" w:hAnsi="仿宋" w:eastAsia="仿宋" w:cs="仿宋"/>
          <w:bCs/>
          <w:color w:val="000000" w:themeColor="text1"/>
          <w:kern w:val="0"/>
          <w:lang w:val="zh-CN"/>
        </w:rPr>
        <w:t xml:space="preserve"> 未按照规定进行监测并保存原始监测记录的罚款幅度裁定</w:t>
      </w:r>
      <w:r>
        <w:rPr>
          <w:color w:val="000000" w:themeColor="text1"/>
        </w:rPr>
        <w:tab/>
      </w:r>
      <w:r>
        <w:rPr>
          <w:color w:val="000000" w:themeColor="text1"/>
        </w:rPr>
        <w:fldChar w:fldCharType="begin"/>
      </w:r>
      <w:r>
        <w:rPr>
          <w:color w:val="000000" w:themeColor="text1"/>
        </w:rPr>
        <w:instrText xml:space="preserve"> PAGEREF _Toc23912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"_Toc21683"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16</w:t>
      </w:r>
      <w:r>
        <w:rPr>
          <w:rFonts w:hint="eastAsia" w:ascii="仿宋" w:hAnsi="仿宋" w:eastAsia="仿宋" w:cs="仿宋"/>
          <w:bCs/>
          <w:color w:val="000000" w:themeColor="text1"/>
          <w:kern w:val="0"/>
          <w:lang w:val="zh-CN"/>
        </w:rPr>
        <w:t xml:space="preserve"> 未按照规定安装、使用大气污染物排放自动监测设备或者未按照规定与生态环境主管部门的监控设备联网，并保证监测设备正常运行的罚款幅度裁定</w:t>
      </w:r>
      <w:r>
        <w:rPr>
          <w:color w:val="000000" w:themeColor="text1"/>
        </w:rPr>
        <w:tab/>
      </w:r>
      <w:r>
        <w:rPr>
          <w:color w:val="000000" w:themeColor="text1"/>
        </w:rPr>
        <w:fldChar w:fldCharType="begin"/>
      </w:r>
      <w:r>
        <w:rPr>
          <w:color w:val="000000" w:themeColor="text1"/>
        </w:rPr>
        <w:instrText xml:space="preserve"> PAGEREF _Toc21683 \h </w:instrText>
      </w:r>
      <w:r>
        <w:rPr>
          <w:color w:val="000000" w:themeColor="text1"/>
        </w:rPr>
        <w:fldChar w:fldCharType="separate"/>
      </w:r>
      <w:r>
        <w:rPr>
          <w:color w:val="000000" w:themeColor="text1"/>
        </w:rPr>
        <w:t>49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"_Toc15882"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17</w:t>
      </w:r>
      <w:r>
        <w:rPr>
          <w:rFonts w:hint="eastAsia" w:ascii="仿宋" w:hAnsi="仿宋" w:eastAsia="仿宋" w:cs="仿宋"/>
          <w:bCs/>
          <w:color w:val="000000" w:themeColor="text1"/>
          <w:kern w:val="0"/>
          <w:lang w:val="zh-CN"/>
        </w:rPr>
        <w:t>重点排污单位不公开或者不如实公开自动监测数据的罚款幅度裁定</w:t>
      </w:r>
      <w:r>
        <w:rPr>
          <w:color w:val="000000" w:themeColor="text1"/>
        </w:rPr>
        <w:tab/>
      </w:r>
      <w:r>
        <w:rPr>
          <w:color w:val="000000" w:themeColor="text1"/>
        </w:rPr>
        <w:fldChar w:fldCharType="begin"/>
      </w:r>
      <w:r>
        <w:rPr>
          <w:color w:val="000000" w:themeColor="text1"/>
        </w:rPr>
        <w:instrText xml:space="preserve"> PAGEREF _Toc15882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"_Toc28432" </w:instrText>
      </w:r>
      <w:r>
        <w:rPr>
          <w:color w:val="000000" w:themeColor="text1"/>
        </w:rPr>
        <w:fldChar w:fldCharType="separate"/>
      </w:r>
      <w:r>
        <w:rPr>
          <w:rFonts w:hint="eastAsia" w:ascii="仿宋" w:hAnsi="仿宋" w:eastAsia="仿宋" w:cs="仿宋"/>
          <w:bCs/>
          <w:color w:val="000000" w:themeColor="text1"/>
          <w:kern w:val="0"/>
        </w:rPr>
        <w:t>表 18 未按照规定设置大气污染物排放口的罚款幅度裁定</w:t>
      </w:r>
      <w:r>
        <w:rPr>
          <w:color w:val="000000" w:themeColor="text1"/>
        </w:rPr>
        <w:tab/>
      </w:r>
      <w:r>
        <w:rPr>
          <w:color w:val="000000" w:themeColor="text1"/>
        </w:rPr>
        <w:fldChar w:fldCharType="begin"/>
      </w:r>
      <w:r>
        <w:rPr>
          <w:color w:val="000000" w:themeColor="text1"/>
        </w:rPr>
        <w:instrText xml:space="preserve"> PAGEREF _Toc28432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"_Toc17611" </w:instrText>
      </w:r>
      <w:r>
        <w:rPr>
          <w:color w:val="000000" w:themeColor="text1"/>
        </w:rPr>
        <w:fldChar w:fldCharType="separate"/>
      </w:r>
      <w:r>
        <w:rPr>
          <w:rFonts w:hint="eastAsia" w:ascii="仿宋" w:hAnsi="仿宋" w:eastAsia="仿宋" w:cs="仿宋"/>
          <w:bCs/>
          <w:color w:val="000000" w:themeColor="text1"/>
          <w:kern w:val="0"/>
        </w:rPr>
        <w:t>表 19 单位燃用不符合质量标准的煤炭、石油焦的罚款幅度裁定</w:t>
      </w:r>
      <w:r>
        <w:rPr>
          <w:color w:val="000000" w:themeColor="text1"/>
        </w:rPr>
        <w:tab/>
      </w:r>
      <w:r>
        <w:rPr>
          <w:color w:val="000000" w:themeColor="text1"/>
        </w:rPr>
        <w:fldChar w:fldCharType="begin"/>
      </w:r>
      <w:r>
        <w:rPr>
          <w:color w:val="000000" w:themeColor="text1"/>
        </w:rPr>
        <w:instrText xml:space="preserve"> PAGEREF _Toc17611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"_Toc14687" </w:instrText>
      </w:r>
      <w:r>
        <w:rPr>
          <w:color w:val="000000" w:themeColor="text1"/>
        </w:rPr>
        <w:fldChar w:fldCharType="separate"/>
      </w:r>
      <w:r>
        <w:rPr>
          <w:rFonts w:hint="eastAsia" w:ascii="仿宋" w:hAnsi="仿宋" w:eastAsia="仿宋" w:cs="仿宋"/>
          <w:bCs/>
          <w:color w:val="000000" w:themeColor="text1"/>
          <w:kern w:val="0"/>
        </w:rPr>
        <w:t>表 20 违反禁燃区、城市集中供热管网覆盖区燃料或锅炉规定的罚款幅度裁定</w:t>
      </w:r>
      <w:r>
        <w:rPr>
          <w:color w:val="000000" w:themeColor="text1"/>
        </w:rPr>
        <w:tab/>
      </w:r>
      <w:r>
        <w:rPr>
          <w:color w:val="000000" w:themeColor="text1"/>
        </w:rPr>
        <w:fldChar w:fldCharType="begin"/>
      </w:r>
      <w:r>
        <w:rPr>
          <w:color w:val="000000" w:themeColor="text1"/>
        </w:rPr>
        <w:instrText xml:space="preserve"> PAGEREF _Toc14687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"_Toc10692" </w:instrText>
      </w:r>
      <w:r>
        <w:rPr>
          <w:color w:val="000000" w:themeColor="text1"/>
        </w:rPr>
        <w:fldChar w:fldCharType="separate"/>
      </w:r>
      <w:r>
        <w:rPr>
          <w:rFonts w:hint="eastAsia" w:ascii="仿宋" w:hAnsi="仿宋" w:eastAsia="仿宋" w:cs="仿宋"/>
          <w:bCs/>
          <w:color w:val="000000" w:themeColor="text1"/>
          <w:kern w:val="0"/>
        </w:rPr>
        <w:t>表 21 产生含挥发性有机物废气的生产和服务活动，未在密闭空间或者设备中进行，未按照规定安装、使用污染防治设施，或者未采取减少废气排放措施的罚款幅度裁定</w:t>
      </w:r>
      <w:r>
        <w:rPr>
          <w:color w:val="000000" w:themeColor="text1"/>
        </w:rPr>
        <w:tab/>
      </w:r>
      <w:r>
        <w:rPr>
          <w:color w:val="000000" w:themeColor="text1"/>
        </w:rPr>
        <w:fldChar w:fldCharType="begin"/>
      </w:r>
      <w:r>
        <w:rPr>
          <w:color w:val="000000" w:themeColor="text1"/>
        </w:rPr>
        <w:instrText xml:space="preserve"> PAGEREF _Toc10692 \h </w:instrText>
      </w:r>
      <w:r>
        <w:rPr>
          <w:color w:val="000000" w:themeColor="text1"/>
        </w:rPr>
        <w:fldChar w:fldCharType="separate"/>
      </w:r>
      <w:r>
        <w:rPr>
          <w:color w:val="000000" w:themeColor="text1"/>
        </w:rPr>
        <w:t>60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"_Toc8163" </w:instrText>
      </w:r>
      <w:r>
        <w:rPr>
          <w:color w:val="000000" w:themeColor="text1"/>
        </w:rPr>
        <w:fldChar w:fldCharType="separate"/>
      </w:r>
      <w:r>
        <w:rPr>
          <w:rFonts w:hint="eastAsia" w:ascii="仿宋" w:hAnsi="仿宋" w:eastAsia="仿宋" w:cs="仿宋"/>
          <w:bCs/>
          <w:color w:val="000000" w:themeColor="text1"/>
          <w:kern w:val="0"/>
        </w:rPr>
        <w:t>表 22工业涂装企业未使用低挥发性有机物含量涂料或者未建立、保存台账的罚款幅度裁定</w:t>
      </w:r>
      <w:r>
        <w:rPr>
          <w:color w:val="000000" w:themeColor="text1"/>
        </w:rPr>
        <w:tab/>
      </w:r>
      <w:r>
        <w:rPr>
          <w:color w:val="000000" w:themeColor="text1"/>
        </w:rPr>
        <w:fldChar w:fldCharType="begin"/>
      </w:r>
      <w:r>
        <w:rPr>
          <w:color w:val="000000" w:themeColor="text1"/>
        </w:rPr>
        <w:instrText xml:space="preserve"> PAGEREF _Toc8163 \h </w:instrText>
      </w:r>
      <w:r>
        <w:rPr>
          <w:color w:val="000000" w:themeColor="text1"/>
        </w:rPr>
        <w:fldChar w:fldCharType="separate"/>
      </w:r>
      <w:r>
        <w:rPr>
          <w:color w:val="000000" w:themeColor="text1"/>
        </w:rPr>
        <w:t>62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"_Toc4749" </w:instrText>
      </w:r>
      <w:r>
        <w:rPr>
          <w:color w:val="000000" w:themeColor="text1"/>
        </w:rPr>
        <w:fldChar w:fldCharType="separate"/>
      </w:r>
      <w:r>
        <w:rPr>
          <w:rFonts w:hint="eastAsia" w:ascii="仿宋" w:hAnsi="仿宋" w:eastAsia="仿宋" w:cs="仿宋"/>
          <w:bCs/>
          <w:color w:val="000000" w:themeColor="text1"/>
          <w:kern w:val="0"/>
        </w:rPr>
        <w:t>表 23石油、化工以及其他生产和使用有机溶剂的企业，未采取措施对管道、设备进行日常维护、维修，减少物料泄漏或者对泄漏的物料未及时收集处理的罚款幅度裁定</w:t>
      </w:r>
      <w:r>
        <w:rPr>
          <w:color w:val="000000" w:themeColor="text1"/>
        </w:rPr>
        <w:tab/>
      </w:r>
      <w:r>
        <w:rPr>
          <w:color w:val="000000" w:themeColor="text1"/>
        </w:rPr>
        <w:fldChar w:fldCharType="begin"/>
      </w:r>
      <w:r>
        <w:rPr>
          <w:color w:val="000000" w:themeColor="text1"/>
        </w:rPr>
        <w:instrText xml:space="preserve"> PAGEREF _Toc4749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"_Toc31404" </w:instrText>
      </w:r>
      <w:r>
        <w:rPr>
          <w:color w:val="000000" w:themeColor="text1"/>
        </w:rPr>
        <w:fldChar w:fldCharType="separate"/>
      </w:r>
      <w:r>
        <w:rPr>
          <w:rFonts w:hint="eastAsia" w:ascii="仿宋" w:hAnsi="仿宋" w:eastAsia="仿宋" w:cs="仿宋"/>
          <w:bCs/>
          <w:color w:val="000000" w:themeColor="text1"/>
          <w:kern w:val="0"/>
        </w:rPr>
        <w:t>表 24储油储气库、加油加气站和油罐车、气罐车等，未按照国家有关规定安装并正常使用油气回收装置的罚款幅度裁定</w:t>
      </w:r>
      <w:r>
        <w:rPr>
          <w:color w:val="000000" w:themeColor="text1"/>
        </w:rPr>
        <w:tab/>
      </w:r>
      <w:r>
        <w:rPr>
          <w:color w:val="000000" w:themeColor="text1"/>
        </w:rPr>
        <w:fldChar w:fldCharType="begin"/>
      </w:r>
      <w:r>
        <w:rPr>
          <w:color w:val="000000" w:themeColor="text1"/>
        </w:rPr>
        <w:instrText xml:space="preserve"> PAGEREF _Toc31404 \h </w:instrText>
      </w:r>
      <w:r>
        <w:rPr>
          <w:color w:val="000000" w:themeColor="text1"/>
        </w:rPr>
        <w:fldChar w:fldCharType="separate"/>
      </w:r>
      <w:r>
        <w:rPr>
          <w:color w:val="000000" w:themeColor="text1"/>
        </w:rPr>
        <w:t>66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"_Toc1126" </w:instrText>
      </w:r>
      <w:r>
        <w:rPr>
          <w:color w:val="000000" w:themeColor="text1"/>
        </w:rPr>
        <w:fldChar w:fldCharType="separate"/>
      </w:r>
      <w:r>
        <w:rPr>
          <w:rFonts w:hint="eastAsia" w:ascii="仿宋" w:hAnsi="仿宋" w:eastAsia="仿宋" w:cs="仿宋"/>
          <w:bCs/>
          <w:color w:val="000000" w:themeColor="text1"/>
          <w:kern w:val="0"/>
        </w:rPr>
        <w:t>表 25钢铁、建材、有色金属、石油、化工、制药、矿产开采等企业，未采取集中收集处理、密闭、围挡、遮盖、清扫、洒水等措施，控制、减少粉尘和气态污染物排放的罚款幅度裁定</w:t>
      </w:r>
      <w:r>
        <w:rPr>
          <w:color w:val="000000" w:themeColor="text1"/>
        </w:rPr>
        <w:tab/>
      </w:r>
      <w:r>
        <w:rPr>
          <w:color w:val="000000" w:themeColor="text1"/>
        </w:rPr>
        <w:fldChar w:fldCharType="begin"/>
      </w:r>
      <w:r>
        <w:rPr>
          <w:color w:val="000000" w:themeColor="text1"/>
        </w:rPr>
        <w:instrText xml:space="preserve"> PAGEREF _Toc1126 \h </w:instrText>
      </w:r>
      <w:r>
        <w:rPr>
          <w:color w:val="000000" w:themeColor="text1"/>
        </w:rPr>
        <w:fldChar w:fldCharType="separate"/>
      </w:r>
      <w:r>
        <w:rPr>
          <w:color w:val="000000" w:themeColor="text1"/>
        </w:rPr>
        <w:t>68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"_Toc22949" </w:instrText>
      </w:r>
      <w:r>
        <w:rPr>
          <w:color w:val="000000" w:themeColor="text1"/>
        </w:rPr>
        <w:fldChar w:fldCharType="separate"/>
      </w:r>
      <w:r>
        <w:rPr>
          <w:rFonts w:hint="eastAsia" w:ascii="仿宋" w:hAnsi="仿宋" w:eastAsia="仿宋" w:cs="仿宋"/>
          <w:bCs/>
          <w:color w:val="000000" w:themeColor="text1"/>
          <w:kern w:val="0"/>
        </w:rPr>
        <w:t>表 26工业生产、垃圾填埋或者其他活动中产生的可燃性气体未回收利用，不具备回收利用条件未进行防治污染处理，或者可燃性气体回收利用装置不能正常作业，未及时修复或者更新的罚款幅度裁定</w:t>
      </w:r>
      <w:r>
        <w:rPr>
          <w:color w:val="000000" w:themeColor="text1"/>
        </w:rPr>
        <w:tab/>
      </w:r>
      <w:r>
        <w:rPr>
          <w:color w:val="000000" w:themeColor="text1"/>
        </w:rPr>
        <w:fldChar w:fldCharType="begin"/>
      </w:r>
      <w:r>
        <w:rPr>
          <w:color w:val="000000" w:themeColor="text1"/>
        </w:rPr>
        <w:instrText xml:space="preserve"> PAGEREF _Toc22949 \h </w:instrText>
      </w:r>
      <w:r>
        <w:rPr>
          <w:color w:val="000000" w:themeColor="text1"/>
        </w:rPr>
        <w:fldChar w:fldCharType="separate"/>
      </w:r>
      <w:r>
        <w:rPr>
          <w:color w:val="000000" w:themeColor="text1"/>
        </w:rPr>
        <w:t>70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"_Toc6290" </w:instrText>
      </w:r>
      <w:r>
        <w:rPr>
          <w:color w:val="000000" w:themeColor="text1"/>
        </w:rPr>
        <w:fldChar w:fldCharType="separate"/>
      </w:r>
      <w:r>
        <w:rPr>
          <w:rFonts w:hint="eastAsia" w:ascii="仿宋" w:hAnsi="仿宋" w:eastAsia="仿宋" w:cs="仿宋"/>
          <w:bCs/>
          <w:color w:val="000000" w:themeColor="text1"/>
          <w:kern w:val="0"/>
        </w:rPr>
        <w:t>表27生产超过污染物排放标准的机动车、非道路移动机械的罚款幅度裁定</w:t>
      </w:r>
      <w:r>
        <w:rPr>
          <w:color w:val="000000" w:themeColor="text1"/>
        </w:rPr>
        <w:tab/>
      </w:r>
      <w:r>
        <w:rPr>
          <w:color w:val="000000" w:themeColor="text1"/>
        </w:rPr>
        <w:fldChar w:fldCharType="begin"/>
      </w:r>
      <w:r>
        <w:rPr>
          <w:color w:val="000000" w:themeColor="text1"/>
        </w:rPr>
        <w:instrText xml:space="preserve"> PAGEREF _Toc6290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"_Toc7679" </w:instrText>
      </w:r>
      <w:r>
        <w:rPr>
          <w:color w:val="000000" w:themeColor="text1"/>
        </w:rPr>
        <w:fldChar w:fldCharType="separate"/>
      </w:r>
      <w:r>
        <w:rPr>
          <w:rFonts w:hint="eastAsia" w:ascii="仿宋" w:hAnsi="仿宋" w:eastAsia="仿宋" w:cs="仿宋"/>
          <w:bCs/>
          <w:color w:val="000000" w:themeColor="text1"/>
          <w:kern w:val="0"/>
        </w:rPr>
        <w:t>表28机动车、非道路移动机械生产企业对发动机、污染控制装置弄虚作假、以次充好，冒充排放检验合格产品出厂销售的罚款幅度裁定</w:t>
      </w:r>
      <w:r>
        <w:rPr>
          <w:color w:val="000000" w:themeColor="text1"/>
        </w:rPr>
        <w:tab/>
      </w:r>
      <w:r>
        <w:rPr>
          <w:color w:val="000000" w:themeColor="text1"/>
        </w:rPr>
        <w:fldChar w:fldCharType="begin"/>
      </w:r>
      <w:r>
        <w:rPr>
          <w:color w:val="000000" w:themeColor="text1"/>
        </w:rPr>
        <w:instrText xml:space="preserve"> PAGEREF _Toc7679 \h </w:instrText>
      </w:r>
      <w:r>
        <w:rPr>
          <w:color w:val="000000" w:themeColor="text1"/>
        </w:rPr>
        <w:fldChar w:fldCharType="separate"/>
      </w:r>
      <w:r>
        <w:rPr>
          <w:color w:val="000000" w:themeColor="text1"/>
        </w:rPr>
        <w:t>74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"_Toc3214" </w:instrText>
      </w:r>
      <w:r>
        <w:rPr>
          <w:color w:val="000000" w:themeColor="text1"/>
        </w:rPr>
        <w:fldChar w:fldCharType="separate"/>
      </w:r>
      <w:r>
        <w:rPr>
          <w:rFonts w:hint="eastAsia" w:ascii="仿宋" w:hAnsi="仿宋" w:eastAsia="仿宋" w:cs="仿宋"/>
          <w:bCs/>
          <w:color w:val="000000" w:themeColor="text1"/>
          <w:kern w:val="0"/>
        </w:rPr>
        <w:t>表29机动车生产、进口企业未按照规定向社会公布其生产、进口机动车车型的排放检验信息或者污染控制技术信息的罚款幅度裁定</w:t>
      </w:r>
      <w:r>
        <w:rPr>
          <w:color w:val="000000" w:themeColor="text1"/>
        </w:rPr>
        <w:tab/>
      </w:r>
      <w:r>
        <w:rPr>
          <w:color w:val="000000" w:themeColor="text1"/>
        </w:rPr>
        <w:fldChar w:fldCharType="begin"/>
      </w:r>
      <w:r>
        <w:rPr>
          <w:color w:val="000000" w:themeColor="text1"/>
        </w:rPr>
        <w:instrText xml:space="preserve"> PAGEREF _Toc3214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"_Toc13320" </w:instrText>
      </w:r>
      <w:r>
        <w:rPr>
          <w:color w:val="000000" w:themeColor="text1"/>
        </w:rPr>
        <w:fldChar w:fldCharType="separate"/>
      </w:r>
      <w:r>
        <w:rPr>
          <w:rFonts w:hint="eastAsia" w:ascii="仿宋" w:hAnsi="仿宋" w:eastAsia="仿宋" w:cs="仿宋"/>
          <w:bCs/>
          <w:color w:val="000000" w:themeColor="text1"/>
          <w:kern w:val="0"/>
        </w:rPr>
        <w:t>表30未密闭煤炭、煤矸石、煤渣、煤灰、水泥、石灰、石膏、砂土等易产生扬尘的物料的罚款幅度裁定</w:t>
      </w:r>
      <w:r>
        <w:rPr>
          <w:color w:val="000000" w:themeColor="text1"/>
        </w:rPr>
        <w:tab/>
      </w:r>
      <w:r>
        <w:rPr>
          <w:color w:val="000000" w:themeColor="text1"/>
        </w:rPr>
        <w:fldChar w:fldCharType="begin"/>
      </w:r>
      <w:r>
        <w:rPr>
          <w:color w:val="000000" w:themeColor="text1"/>
        </w:rPr>
        <w:instrText xml:space="preserve"> PAGEREF _Toc13320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"_Toc21781" </w:instrText>
      </w:r>
      <w:r>
        <w:rPr>
          <w:color w:val="000000" w:themeColor="text1"/>
        </w:rPr>
        <w:fldChar w:fldCharType="separate"/>
      </w:r>
      <w:r>
        <w:rPr>
          <w:rFonts w:hint="eastAsia" w:ascii="仿宋" w:hAnsi="仿宋" w:eastAsia="仿宋" w:cs="仿宋"/>
          <w:bCs/>
          <w:color w:val="000000" w:themeColor="text1"/>
          <w:kern w:val="0"/>
        </w:rPr>
        <w:t>表31对不能密闭的易产生扬尘的物料，未设置不低于堆放物高度的严密围挡，或者未采取有效覆盖措施防治扬尘污染的罚款幅度裁定</w:t>
      </w:r>
      <w:r>
        <w:rPr>
          <w:color w:val="000000" w:themeColor="text1"/>
        </w:rPr>
        <w:tab/>
      </w:r>
      <w:r>
        <w:rPr>
          <w:color w:val="000000" w:themeColor="text1"/>
        </w:rPr>
        <w:fldChar w:fldCharType="begin"/>
      </w:r>
      <w:r>
        <w:rPr>
          <w:color w:val="000000" w:themeColor="text1"/>
        </w:rPr>
        <w:instrText xml:space="preserve"> PAGEREF _Toc21781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"_Toc6322" </w:instrText>
      </w:r>
      <w:r>
        <w:rPr>
          <w:color w:val="000000" w:themeColor="text1"/>
        </w:rPr>
        <w:fldChar w:fldCharType="separate"/>
      </w:r>
      <w:r>
        <w:rPr>
          <w:rFonts w:hint="eastAsia" w:ascii="仿宋" w:hAnsi="仿宋" w:eastAsia="仿宋" w:cs="仿宋"/>
          <w:bCs/>
          <w:color w:val="000000" w:themeColor="text1"/>
          <w:kern w:val="0"/>
        </w:rPr>
        <w:t>表32装卸物料未采取密闭或者喷淋等方式控制扬尘排放的罚款幅度裁定</w:t>
      </w:r>
      <w:r>
        <w:rPr>
          <w:color w:val="000000" w:themeColor="text1"/>
        </w:rPr>
        <w:tab/>
      </w:r>
      <w:r>
        <w:rPr>
          <w:color w:val="000000" w:themeColor="text1"/>
        </w:rPr>
        <w:fldChar w:fldCharType="begin"/>
      </w:r>
      <w:r>
        <w:rPr>
          <w:color w:val="000000" w:themeColor="text1"/>
        </w:rPr>
        <w:instrText xml:space="preserve"> PAGEREF _Toc6322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"_Toc20993" </w:instrText>
      </w:r>
      <w:r>
        <w:rPr>
          <w:color w:val="000000" w:themeColor="text1"/>
        </w:rPr>
        <w:fldChar w:fldCharType="separate"/>
      </w:r>
      <w:r>
        <w:rPr>
          <w:rFonts w:hint="eastAsia" w:ascii="仿宋" w:hAnsi="仿宋" w:eastAsia="仿宋" w:cs="仿宋"/>
          <w:bCs/>
          <w:color w:val="000000" w:themeColor="text1"/>
          <w:kern w:val="0"/>
        </w:rPr>
        <w:t>表33存放煤炭、煤矸石、煤渣、煤灰等物料，未采取防燃措施的罚款幅度裁定</w:t>
      </w:r>
      <w:r>
        <w:rPr>
          <w:color w:val="000000" w:themeColor="text1"/>
        </w:rPr>
        <w:tab/>
      </w:r>
      <w:r>
        <w:rPr>
          <w:color w:val="000000" w:themeColor="text1"/>
        </w:rPr>
        <w:fldChar w:fldCharType="begin"/>
      </w:r>
      <w:r>
        <w:rPr>
          <w:color w:val="000000" w:themeColor="text1"/>
        </w:rPr>
        <w:instrText xml:space="preserve"> PAGEREF _Toc20993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"_Toc28755" </w:instrText>
      </w:r>
      <w:r>
        <w:rPr>
          <w:color w:val="000000" w:themeColor="text1"/>
        </w:rPr>
        <w:fldChar w:fldCharType="separate"/>
      </w:r>
      <w:r>
        <w:rPr>
          <w:rFonts w:hint="eastAsia" w:ascii="仿宋" w:hAnsi="仿宋" w:eastAsia="仿宋" w:cs="仿宋"/>
          <w:bCs/>
          <w:color w:val="000000" w:themeColor="text1"/>
          <w:kern w:val="0"/>
        </w:rPr>
        <w:t>表34码头、矿山、填埋场和消纳场未采取有效措施防治扬尘污染的罚款幅度裁定</w:t>
      </w:r>
      <w:r>
        <w:rPr>
          <w:color w:val="000000" w:themeColor="text1"/>
        </w:rPr>
        <w:tab/>
      </w:r>
      <w:r>
        <w:rPr>
          <w:color w:val="000000" w:themeColor="text1"/>
        </w:rPr>
        <w:fldChar w:fldCharType="begin"/>
      </w:r>
      <w:r>
        <w:rPr>
          <w:color w:val="000000" w:themeColor="text1"/>
        </w:rPr>
        <w:instrText xml:space="preserve"> PAGEREF _Toc28755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"_Toc29329" </w:instrText>
      </w:r>
      <w:r>
        <w:rPr>
          <w:color w:val="000000" w:themeColor="text1"/>
        </w:rPr>
        <w:fldChar w:fldCharType="separate"/>
      </w:r>
      <w:r>
        <w:rPr>
          <w:rFonts w:hint="eastAsia" w:ascii="仿宋" w:hAnsi="仿宋" w:eastAsia="仿宋" w:cs="仿宋"/>
          <w:bCs/>
          <w:color w:val="000000" w:themeColor="text1"/>
          <w:kern w:val="0"/>
        </w:rPr>
        <w:t>表35排放有毒有害大气污染物名录中所列有毒有害大气污染物的企业事业单位，未按照规定建设环境风险预警体系或者对排放口和周边环境进行定期监测、排查环境安全隐患并采取有效措施防范环境风险的罚款幅度裁定</w:t>
      </w:r>
      <w:r>
        <w:rPr>
          <w:color w:val="000000" w:themeColor="text1"/>
        </w:rPr>
        <w:tab/>
      </w:r>
      <w:r>
        <w:rPr>
          <w:color w:val="000000" w:themeColor="text1"/>
        </w:rPr>
        <w:fldChar w:fldCharType="begin"/>
      </w:r>
      <w:r>
        <w:rPr>
          <w:color w:val="000000" w:themeColor="text1"/>
        </w:rPr>
        <w:instrText xml:space="preserve"> PAGEREF _Toc29329 \h </w:instrText>
      </w:r>
      <w:r>
        <w:rPr>
          <w:color w:val="000000" w:themeColor="text1"/>
        </w:rPr>
        <w:fldChar w:fldCharType="separate"/>
      </w:r>
      <w:r>
        <w:rPr>
          <w:color w:val="000000" w:themeColor="text1"/>
        </w:rPr>
        <w:t>81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"_Toc24678" </w:instrText>
      </w:r>
      <w:r>
        <w:rPr>
          <w:color w:val="000000" w:themeColor="text1"/>
        </w:rPr>
        <w:fldChar w:fldCharType="separate"/>
      </w:r>
      <w:r>
        <w:rPr>
          <w:rFonts w:hint="eastAsia" w:ascii="仿宋" w:hAnsi="仿宋" w:eastAsia="仿宋" w:cs="仿宋"/>
          <w:bCs/>
          <w:color w:val="000000" w:themeColor="text1"/>
          <w:kern w:val="0"/>
        </w:rPr>
        <w:t>表36向大气排放持久性有机污染物的企业事业单位和其他生产经营者以及废弃物焚烧设施的运营单位，未按照国家有关规定采取有利于减少持久性有机污染物排放的技术方法和工艺，配备净化装置的罚款幅度裁定</w:t>
      </w:r>
      <w:r>
        <w:rPr>
          <w:color w:val="000000" w:themeColor="text1"/>
        </w:rPr>
        <w:tab/>
      </w:r>
      <w:r>
        <w:rPr>
          <w:color w:val="000000" w:themeColor="text1"/>
        </w:rPr>
        <w:fldChar w:fldCharType="begin"/>
      </w:r>
      <w:r>
        <w:rPr>
          <w:color w:val="000000" w:themeColor="text1"/>
        </w:rPr>
        <w:instrText xml:space="preserve"> PAGEREF _Toc24678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"_Toc21670" </w:instrText>
      </w:r>
      <w:r>
        <w:rPr>
          <w:color w:val="000000" w:themeColor="text1"/>
        </w:rPr>
        <w:fldChar w:fldCharType="separate"/>
      </w:r>
      <w:r>
        <w:rPr>
          <w:rFonts w:hint="eastAsia" w:ascii="仿宋" w:hAnsi="仿宋" w:eastAsia="仿宋" w:cs="仿宋"/>
          <w:bCs/>
          <w:color w:val="000000" w:themeColor="text1"/>
          <w:kern w:val="0"/>
        </w:rPr>
        <w:t>表37未采取措施防止排放恶臭气体的罚款幅度裁定</w:t>
      </w:r>
      <w:r>
        <w:rPr>
          <w:color w:val="000000" w:themeColor="text1"/>
        </w:rPr>
        <w:tab/>
      </w:r>
      <w:r>
        <w:rPr>
          <w:color w:val="000000" w:themeColor="text1"/>
        </w:rPr>
        <w:fldChar w:fldCharType="begin"/>
      </w:r>
      <w:r>
        <w:rPr>
          <w:color w:val="000000" w:themeColor="text1"/>
        </w:rPr>
        <w:instrText xml:space="preserve"> PAGEREF _Toc21670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"_Toc11351" </w:instrText>
      </w:r>
      <w:r>
        <w:rPr>
          <w:color w:val="000000" w:themeColor="text1"/>
        </w:rPr>
        <w:fldChar w:fldCharType="separate"/>
      </w:r>
      <w:r>
        <w:rPr>
          <w:rFonts w:hint="eastAsia" w:ascii="仿宋" w:hAnsi="仿宋" w:eastAsia="仿宋" w:cs="仿宋"/>
          <w:bCs/>
          <w:color w:val="000000" w:themeColor="text1"/>
          <w:kern w:val="0"/>
        </w:rPr>
        <w:t>表38从事服装干洗和机动车维修等服务活动，未设置异味和废气处理装置等污染防治设施并保持正常使用，影响周边环境的罚款幅度裁定</w:t>
      </w:r>
      <w:r>
        <w:rPr>
          <w:color w:val="000000" w:themeColor="text1"/>
        </w:rPr>
        <w:tab/>
      </w:r>
      <w:r>
        <w:rPr>
          <w:color w:val="000000" w:themeColor="text1"/>
        </w:rPr>
        <w:fldChar w:fldCharType="begin"/>
      </w:r>
      <w:r>
        <w:rPr>
          <w:color w:val="000000" w:themeColor="text1"/>
        </w:rPr>
        <w:instrText xml:space="preserve"> PAGEREF _Toc11351 \h </w:instrText>
      </w:r>
      <w:r>
        <w:rPr>
          <w:color w:val="000000" w:themeColor="text1"/>
        </w:rPr>
        <w:fldChar w:fldCharType="separate"/>
      </w:r>
      <w:r>
        <w:rPr>
          <w:color w:val="000000" w:themeColor="text1"/>
        </w:rPr>
        <w:t>87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"_Toc32482" </w:instrText>
      </w:r>
      <w:r>
        <w:rPr>
          <w:color w:val="000000" w:themeColor="text1"/>
        </w:rPr>
        <w:fldChar w:fldCharType="separate"/>
      </w:r>
      <w:r>
        <w:rPr>
          <w:rFonts w:hint="eastAsia" w:ascii="仿宋" w:hAnsi="仿宋" w:eastAsia="仿宋" w:cs="仿宋"/>
          <w:bCs/>
          <w:color w:val="000000" w:themeColor="text1"/>
          <w:kern w:val="0"/>
        </w:rPr>
        <w:t>表39造成大气污染事故的罚款幅度裁定</w:t>
      </w:r>
      <w:r>
        <w:rPr>
          <w:color w:val="000000" w:themeColor="text1"/>
        </w:rPr>
        <w:tab/>
      </w:r>
      <w:r>
        <w:rPr>
          <w:color w:val="000000" w:themeColor="text1"/>
        </w:rPr>
        <w:fldChar w:fldCharType="begin"/>
      </w:r>
      <w:r>
        <w:rPr>
          <w:color w:val="000000" w:themeColor="text1"/>
        </w:rPr>
        <w:instrText xml:space="preserve"> PAGEREF _Toc32482 \h </w:instrText>
      </w:r>
      <w:r>
        <w:rPr>
          <w:color w:val="000000" w:themeColor="text1"/>
        </w:rPr>
        <w:fldChar w:fldCharType="separate"/>
      </w:r>
      <w:r>
        <w:rPr>
          <w:color w:val="000000" w:themeColor="text1"/>
        </w:rPr>
        <w:t>89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"_Toc21915" </w:instrText>
      </w:r>
      <w:r>
        <w:rPr>
          <w:color w:val="000000" w:themeColor="text1"/>
        </w:rPr>
        <w:fldChar w:fldCharType="separate"/>
      </w:r>
      <w:r>
        <w:rPr>
          <w:rFonts w:hint="eastAsia" w:ascii="仿宋" w:hAnsi="仿宋" w:eastAsia="仿宋" w:cs="仿宋"/>
          <w:bCs/>
          <w:color w:val="000000" w:themeColor="text1"/>
          <w:kern w:val="0"/>
        </w:rPr>
        <w:t>表40机动车排放检验机构出具虚假排放检验报告的罚款幅度裁定</w:t>
      </w:r>
      <w:r>
        <w:rPr>
          <w:color w:val="000000" w:themeColor="text1"/>
        </w:rPr>
        <w:tab/>
      </w:r>
      <w:r>
        <w:rPr>
          <w:color w:val="000000" w:themeColor="text1"/>
        </w:rPr>
        <w:fldChar w:fldCharType="begin"/>
      </w:r>
      <w:r>
        <w:rPr>
          <w:color w:val="000000" w:themeColor="text1"/>
        </w:rPr>
        <w:instrText xml:space="preserve"> PAGEREF _Toc21915 \h </w:instrText>
      </w:r>
      <w:r>
        <w:rPr>
          <w:color w:val="000000" w:themeColor="text1"/>
        </w:rPr>
        <w:fldChar w:fldCharType="separate"/>
      </w:r>
      <w:r>
        <w:rPr>
          <w:color w:val="000000" w:themeColor="text1"/>
        </w:rPr>
        <w:t>91</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"_Toc5334" </w:instrText>
      </w:r>
      <w:r>
        <w:rPr>
          <w:color w:val="000000" w:themeColor="text1"/>
        </w:rPr>
        <w:fldChar w:fldCharType="separate"/>
      </w:r>
      <w:r>
        <w:rPr>
          <w:rFonts w:hint="eastAsia" w:ascii="黑体" w:hAnsi="黑体" w:eastAsia="黑体" w:cs="黑体"/>
          <w:bCs/>
          <w:color w:val="000000" w:themeColor="text1"/>
          <w:spacing w:val="1"/>
          <w:szCs w:val="28"/>
        </w:rPr>
        <w:t>三、辽宁省生态环境行政处罚裁量规则(水类)</w:t>
      </w:r>
      <w:r>
        <w:rPr>
          <w:color w:val="000000" w:themeColor="text1"/>
        </w:rPr>
        <w:tab/>
      </w:r>
      <w:r>
        <w:rPr>
          <w:color w:val="000000" w:themeColor="text1"/>
        </w:rPr>
        <w:fldChar w:fldCharType="begin"/>
      </w:r>
      <w:r>
        <w:rPr>
          <w:color w:val="000000" w:themeColor="text1"/>
        </w:rPr>
        <w:instrText xml:space="preserve"> PAGEREF _Toc5334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"_Toc16805"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cs="仿宋"/>
          <w:bCs/>
          <w:color w:val="000000" w:themeColor="text1"/>
          <w:kern w:val="0"/>
        </w:rPr>
        <w:t>41</w:t>
      </w:r>
      <w:r>
        <w:rPr>
          <w:rFonts w:hint="eastAsia" w:ascii="仿宋" w:hAnsi="仿宋" w:eastAsia="仿宋" w:cs="仿宋"/>
          <w:bCs/>
          <w:color w:val="000000" w:themeColor="text1"/>
          <w:kern w:val="0"/>
          <w:lang w:val="zh-CN"/>
        </w:rPr>
        <w:t>以拖延、围堵、滞留执法人员等方式拒绝、阻挠环境保护主管部门或者其他依照本法规定行使监督管理权的部门的监督检查，或者在接受监督检查时弄虚作假的罚款幅度裁定</w:t>
      </w:r>
      <w:r>
        <w:rPr>
          <w:color w:val="000000" w:themeColor="text1"/>
        </w:rPr>
        <w:tab/>
      </w:r>
      <w:r>
        <w:rPr>
          <w:color w:val="000000" w:themeColor="text1"/>
        </w:rPr>
        <w:fldChar w:fldCharType="begin"/>
      </w:r>
      <w:r>
        <w:rPr>
          <w:color w:val="000000" w:themeColor="text1"/>
        </w:rPr>
        <w:instrText xml:space="preserve"> PAGEREF _Toc16805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"_Toc7591"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w:t>
      </w:r>
      <w:r>
        <w:rPr>
          <w:rFonts w:hint="eastAsia" w:cs="仿宋"/>
          <w:bCs/>
          <w:color w:val="000000" w:themeColor="text1"/>
          <w:kern w:val="0"/>
        </w:rPr>
        <w:t>2</w:t>
      </w:r>
      <w:r>
        <w:rPr>
          <w:rFonts w:hint="eastAsia" w:ascii="仿宋" w:hAnsi="仿宋" w:eastAsia="仿宋" w:cs="仿宋"/>
          <w:bCs/>
          <w:color w:val="000000" w:themeColor="text1"/>
          <w:kern w:val="0"/>
          <w:lang w:val="zh-CN"/>
        </w:rPr>
        <w:t>未按照规定对所排放的水污染物自行监测，或者未保存原始监测记录的罚款幅度裁定</w:t>
      </w:r>
      <w:r>
        <w:rPr>
          <w:color w:val="000000" w:themeColor="text1"/>
        </w:rPr>
        <w:tab/>
      </w:r>
      <w:r>
        <w:rPr>
          <w:color w:val="000000" w:themeColor="text1"/>
        </w:rPr>
        <w:fldChar w:fldCharType="begin"/>
      </w:r>
      <w:r>
        <w:rPr>
          <w:color w:val="000000" w:themeColor="text1"/>
        </w:rPr>
        <w:instrText xml:space="preserve"> PAGEREF _Toc7591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"_Toc15486"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43</w:t>
      </w:r>
      <w:r>
        <w:rPr>
          <w:rFonts w:hint="eastAsia" w:ascii="仿宋" w:hAnsi="仿宋" w:eastAsia="仿宋" w:cs="仿宋"/>
          <w:bCs/>
          <w:color w:val="000000" w:themeColor="text1"/>
          <w:kern w:val="0"/>
          <w:lang w:val="zh-CN"/>
        </w:rPr>
        <w:t>未按照规定安装水污染物排放自动监测设备，未按照规定与环境保护主管部门的监控设备联网，或者未保证监测设备正常运行的罚款幅度裁定</w:t>
      </w:r>
      <w:r>
        <w:rPr>
          <w:color w:val="000000" w:themeColor="text1"/>
        </w:rPr>
        <w:tab/>
      </w:r>
      <w:r>
        <w:rPr>
          <w:color w:val="000000" w:themeColor="text1"/>
        </w:rPr>
        <w:fldChar w:fldCharType="begin"/>
      </w:r>
      <w:r>
        <w:rPr>
          <w:color w:val="000000" w:themeColor="text1"/>
        </w:rPr>
        <w:instrText xml:space="preserve"> PAGEREF _Toc15486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"_Toc30931"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44</w:t>
      </w:r>
      <w:r>
        <w:rPr>
          <w:rFonts w:hint="eastAsia" w:ascii="仿宋" w:hAnsi="仿宋" w:eastAsia="仿宋" w:cs="仿宋"/>
          <w:bCs/>
          <w:color w:val="000000" w:themeColor="text1"/>
          <w:kern w:val="0"/>
          <w:lang w:val="zh-CN"/>
        </w:rPr>
        <w:t>未按照规定对有毒有害水污染物的排污口和周边环境进行监测，或者未公开有毒有害水污染物信息的罚款幅度裁定</w:t>
      </w:r>
      <w:r>
        <w:rPr>
          <w:color w:val="000000" w:themeColor="text1"/>
        </w:rPr>
        <w:tab/>
      </w:r>
      <w:r>
        <w:rPr>
          <w:color w:val="000000" w:themeColor="text1"/>
        </w:rPr>
        <w:fldChar w:fldCharType="begin"/>
      </w:r>
      <w:r>
        <w:rPr>
          <w:color w:val="000000" w:themeColor="text1"/>
        </w:rPr>
        <w:instrText xml:space="preserve"> PAGEREF _Toc30931 \h </w:instrText>
      </w:r>
      <w:r>
        <w:rPr>
          <w:color w:val="000000" w:themeColor="text1"/>
        </w:rPr>
        <w:fldChar w:fldCharType="separate"/>
      </w:r>
      <w:r>
        <w:rPr>
          <w:color w:val="000000" w:themeColor="text1"/>
        </w:rPr>
        <w:t>100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"_Toc9470"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45</w:t>
      </w:r>
      <w:r>
        <w:rPr>
          <w:rFonts w:hint="eastAsia" w:ascii="仿宋" w:hAnsi="仿宋" w:eastAsia="仿宋" w:cs="仿宋"/>
          <w:bCs/>
          <w:color w:val="000000" w:themeColor="text1"/>
          <w:kern w:val="0"/>
          <w:lang w:val="zh-CN"/>
        </w:rPr>
        <w:t>未依法取得排污许可证排放水污染物的罚款幅度裁定</w:t>
      </w:r>
      <w:r>
        <w:rPr>
          <w:color w:val="000000" w:themeColor="text1"/>
        </w:rPr>
        <w:tab/>
      </w:r>
      <w:r>
        <w:rPr>
          <w:color w:val="000000" w:themeColor="text1"/>
        </w:rPr>
        <w:fldChar w:fldCharType="begin"/>
      </w:r>
      <w:r>
        <w:rPr>
          <w:color w:val="000000" w:themeColor="text1"/>
        </w:rPr>
        <w:instrText xml:space="preserve"> PAGEREF _Toc9470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"_Toc14828"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46</w:t>
      </w:r>
      <w:r>
        <w:rPr>
          <w:rFonts w:hint="eastAsia" w:ascii="仿宋" w:hAnsi="仿宋" w:eastAsia="仿宋" w:cs="仿宋"/>
          <w:bCs/>
          <w:color w:val="000000" w:themeColor="text1"/>
          <w:kern w:val="0"/>
          <w:lang w:val="zh-CN"/>
        </w:rPr>
        <w:t>超过水污染物排放标准或者超过重点水污染物排放总量控制指标排放水污染物的罚款幅度裁定</w:t>
      </w:r>
      <w:r>
        <w:rPr>
          <w:color w:val="000000" w:themeColor="text1"/>
        </w:rPr>
        <w:tab/>
      </w:r>
      <w:r>
        <w:rPr>
          <w:color w:val="000000" w:themeColor="text1"/>
        </w:rPr>
        <w:fldChar w:fldCharType="begin"/>
      </w:r>
      <w:r>
        <w:rPr>
          <w:color w:val="000000" w:themeColor="text1"/>
        </w:rPr>
        <w:instrText xml:space="preserve"> PAGEREF _Toc14828 \h </w:instrText>
      </w:r>
      <w:r>
        <w:rPr>
          <w:color w:val="000000" w:themeColor="text1"/>
        </w:rPr>
        <w:fldChar w:fldCharType="separate"/>
      </w:r>
      <w:r>
        <w:rPr>
          <w:color w:val="000000" w:themeColor="text1"/>
        </w:rPr>
        <w:t>104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"_Toc14337"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47</w:t>
      </w:r>
      <w:r>
        <w:rPr>
          <w:rFonts w:hint="eastAsia" w:ascii="仿宋" w:hAnsi="仿宋" w:eastAsia="仿宋" w:cs="仿宋"/>
          <w:bCs/>
          <w:color w:val="000000" w:themeColor="text1"/>
          <w:kern w:val="0"/>
          <w:lang w:val="zh-CN"/>
        </w:rPr>
        <w:t>利用渗井、渗坑、裂隙、溶洞，私设暗管，篡改、伪造监测数据，或者不正常运行水污染防治设施等逃避监管的方式排放水污染物的罚款幅度裁定</w:t>
      </w:r>
      <w:r>
        <w:rPr>
          <w:color w:val="000000" w:themeColor="text1"/>
        </w:rPr>
        <w:tab/>
      </w:r>
      <w:r>
        <w:rPr>
          <w:color w:val="000000" w:themeColor="text1"/>
        </w:rPr>
        <w:fldChar w:fldCharType="begin"/>
      </w:r>
      <w:r>
        <w:rPr>
          <w:color w:val="000000" w:themeColor="text1"/>
        </w:rPr>
        <w:instrText xml:space="preserve"> PAGEREF _Toc14337 \h </w:instrText>
      </w:r>
      <w:r>
        <w:rPr>
          <w:color w:val="000000" w:themeColor="text1"/>
        </w:rPr>
        <w:fldChar w:fldCharType="separate"/>
      </w:r>
      <w:r>
        <w:rPr>
          <w:color w:val="000000" w:themeColor="text1"/>
        </w:rPr>
        <w:t>106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"_Toc11157"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48</w:t>
      </w:r>
      <w:r>
        <w:rPr>
          <w:rFonts w:hint="eastAsia" w:ascii="仿宋" w:hAnsi="仿宋" w:eastAsia="仿宋" w:cs="仿宋"/>
          <w:bCs/>
          <w:color w:val="000000" w:themeColor="text1"/>
          <w:kern w:val="0"/>
          <w:lang w:val="zh-CN"/>
        </w:rPr>
        <w:t>未按照规定进行预处理，向污水集中处理设施排放不符合处理工艺要求的工业废水的罚款幅度裁定</w:t>
      </w:r>
      <w:r>
        <w:rPr>
          <w:color w:val="000000" w:themeColor="text1"/>
        </w:rPr>
        <w:tab/>
      </w:r>
      <w:r>
        <w:rPr>
          <w:color w:val="000000" w:themeColor="text1"/>
        </w:rPr>
        <w:fldChar w:fldCharType="begin"/>
      </w:r>
      <w:r>
        <w:rPr>
          <w:color w:val="000000" w:themeColor="text1"/>
        </w:rPr>
        <w:instrText xml:space="preserve"> PAGEREF _Toc11157 \h </w:instrText>
      </w:r>
      <w:r>
        <w:rPr>
          <w:color w:val="000000" w:themeColor="text1"/>
        </w:rPr>
        <w:fldChar w:fldCharType="separate"/>
      </w:r>
      <w:r>
        <w:rPr>
          <w:color w:val="000000" w:themeColor="text1"/>
        </w:rPr>
        <w:t>108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"_Toc23051"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49</w:t>
      </w:r>
      <w:r>
        <w:rPr>
          <w:rFonts w:hint="eastAsia" w:ascii="仿宋" w:hAnsi="仿宋" w:eastAsia="仿宋" w:cs="仿宋"/>
          <w:bCs/>
          <w:color w:val="000000" w:themeColor="text1"/>
          <w:kern w:val="0"/>
          <w:lang w:val="zh-CN"/>
        </w:rPr>
        <w:t>违反法律、行政法规和国务院环境保护主管部门的规定设置排污口的罚款幅度裁定</w:t>
      </w:r>
      <w:r>
        <w:rPr>
          <w:color w:val="000000" w:themeColor="text1"/>
        </w:rPr>
        <w:tab/>
      </w:r>
      <w:r>
        <w:rPr>
          <w:color w:val="000000" w:themeColor="text1"/>
        </w:rPr>
        <w:fldChar w:fldCharType="begin"/>
      </w:r>
      <w:r>
        <w:rPr>
          <w:color w:val="000000" w:themeColor="text1"/>
        </w:rPr>
        <w:instrText xml:space="preserve"> PAGEREF _Toc23051 \h </w:instrText>
      </w:r>
      <w:r>
        <w:rPr>
          <w:color w:val="000000" w:themeColor="text1"/>
        </w:rPr>
        <w:fldChar w:fldCharType="separate"/>
      </w:r>
      <w:r>
        <w:rPr>
          <w:color w:val="000000" w:themeColor="text1"/>
        </w:rPr>
        <w:t>110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"_Toc31494"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50</w:t>
      </w:r>
      <w:r>
        <w:rPr>
          <w:rFonts w:hint="eastAsia" w:ascii="仿宋" w:hAnsi="仿宋" w:eastAsia="仿宋" w:cs="仿宋"/>
          <w:bCs/>
          <w:color w:val="000000" w:themeColor="text1"/>
          <w:kern w:val="0"/>
          <w:lang w:val="zh-CN"/>
        </w:rPr>
        <w:t>向水体排放油类、酸液、碱液的罚款幅度裁定</w:t>
      </w:r>
      <w:r>
        <w:rPr>
          <w:color w:val="000000" w:themeColor="text1"/>
        </w:rPr>
        <w:tab/>
      </w:r>
      <w:r>
        <w:rPr>
          <w:color w:val="000000" w:themeColor="text1"/>
        </w:rPr>
        <w:fldChar w:fldCharType="begin"/>
      </w:r>
      <w:r>
        <w:rPr>
          <w:color w:val="000000" w:themeColor="text1"/>
        </w:rPr>
        <w:instrText xml:space="preserve"> PAGEREF _Toc31494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"_Toc31537"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51</w:t>
      </w:r>
      <w:r>
        <w:rPr>
          <w:rFonts w:hint="eastAsia" w:ascii="仿宋" w:hAnsi="仿宋" w:eastAsia="仿宋" w:cs="仿宋"/>
          <w:bCs/>
          <w:color w:val="000000" w:themeColor="text1"/>
          <w:kern w:val="0"/>
          <w:lang w:val="zh-CN"/>
        </w:rPr>
        <w:t>向水体排放剧毒废液，或者将含有汞、镉、砷、铬、铅、氰化物、黄磷等的可溶性剧毒废渣向水体排放、倾倒或者直接埋入地下的罚款幅度裁定</w:t>
      </w:r>
      <w:r>
        <w:rPr>
          <w:color w:val="000000" w:themeColor="text1"/>
        </w:rPr>
        <w:tab/>
      </w:r>
      <w:r>
        <w:rPr>
          <w:color w:val="000000" w:themeColor="text1"/>
        </w:rPr>
        <w:fldChar w:fldCharType="begin"/>
      </w:r>
      <w:r>
        <w:rPr>
          <w:color w:val="000000" w:themeColor="text1"/>
        </w:rPr>
        <w:instrText xml:space="preserve"> PAGEREF _Toc31537 \h </w:instrText>
      </w:r>
      <w:r>
        <w:rPr>
          <w:color w:val="000000" w:themeColor="text1"/>
        </w:rPr>
        <w:fldChar w:fldCharType="separate"/>
      </w:r>
      <w:r>
        <w:rPr>
          <w:color w:val="000000" w:themeColor="text1"/>
        </w:rPr>
        <w:t>114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"_Toc22733"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52</w:t>
      </w:r>
      <w:r>
        <w:rPr>
          <w:rFonts w:hint="eastAsia" w:ascii="仿宋" w:hAnsi="仿宋" w:eastAsia="仿宋" w:cs="仿宋"/>
          <w:bCs/>
          <w:color w:val="000000" w:themeColor="text1"/>
          <w:kern w:val="0"/>
          <w:lang w:val="zh-CN"/>
        </w:rPr>
        <w:t>在水体清洗装贮过油类、有毒污染物的车辆或者容器的罚款幅度裁定</w:t>
      </w:r>
      <w:r>
        <w:rPr>
          <w:color w:val="000000" w:themeColor="text1"/>
        </w:rPr>
        <w:tab/>
      </w:r>
      <w:r>
        <w:rPr>
          <w:color w:val="000000" w:themeColor="text1"/>
        </w:rPr>
        <w:fldChar w:fldCharType="begin"/>
      </w:r>
      <w:r>
        <w:rPr>
          <w:color w:val="000000" w:themeColor="text1"/>
        </w:rPr>
        <w:instrText xml:space="preserve"> PAGEREF _Toc22733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"_Toc20302"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53</w:t>
      </w:r>
      <w:r>
        <w:rPr>
          <w:rFonts w:hint="eastAsia" w:ascii="仿宋" w:hAnsi="仿宋" w:eastAsia="仿宋" w:cs="仿宋"/>
          <w:bCs/>
          <w:color w:val="000000" w:themeColor="text1"/>
          <w:kern w:val="0"/>
          <w:lang w:val="zh-CN"/>
        </w:rPr>
        <w:t>向水体排放、倾倒工业废渣、城镇垃圾或者其他废弃物，或者在江河、湖泊、运河、渠道、水库最高水位线以下的滩地、岸坡堆放、存贮固体废弃物或者其他污染物的罚款幅度裁定</w:t>
      </w:r>
      <w:r>
        <w:rPr>
          <w:color w:val="000000" w:themeColor="text1"/>
        </w:rPr>
        <w:tab/>
      </w:r>
      <w:r>
        <w:rPr>
          <w:color w:val="000000" w:themeColor="text1"/>
        </w:rPr>
        <w:fldChar w:fldCharType="begin"/>
      </w:r>
      <w:r>
        <w:rPr>
          <w:color w:val="000000" w:themeColor="text1"/>
        </w:rPr>
        <w:instrText xml:space="preserve"> PAGEREF _Toc20302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54</w:t>
      </w:r>
      <w:r>
        <w:rPr>
          <w:rFonts w:hint="eastAsia" w:ascii="仿宋" w:hAnsi="仿宋" w:eastAsia="仿宋" w:cs="仿宋"/>
          <w:bCs/>
          <w:color w:val="000000" w:themeColor="text1"/>
          <w:kern w:val="0"/>
          <w:lang w:val="zh-CN"/>
        </w:rPr>
        <w:t>向水体排放、倾倒放射性固体废物或者含有高放射性、中放射性物质的废水的罚款幅度裁定</w:t>
      </w:r>
      <w:r>
        <w:rPr>
          <w:color w:val="000000" w:themeColor="text1"/>
        </w:rPr>
        <w:tab/>
      </w:r>
      <w:r>
        <w:rPr>
          <w:color w:val="000000" w:themeColor="text1"/>
        </w:rPr>
        <w:fldChar w:fldCharType="begin"/>
      </w:r>
      <w:r>
        <w:rPr>
          <w:color w:val="000000" w:themeColor="text1"/>
        </w:rPr>
        <w:instrText xml:space="preserve"> PAGEREF _Toc189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"_Toc9413"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55</w:t>
      </w:r>
      <w:r>
        <w:rPr>
          <w:rFonts w:hint="eastAsia" w:ascii="仿宋" w:hAnsi="仿宋" w:eastAsia="仿宋" w:cs="仿宋"/>
          <w:bCs/>
          <w:color w:val="000000" w:themeColor="text1"/>
          <w:kern w:val="0"/>
          <w:lang w:val="zh-CN"/>
        </w:rPr>
        <w:t>违反国家有关规定或者标准，向水体排放含低放射性物质的废水、热废水或者含病原体的污水的罚款幅度裁定</w:t>
      </w:r>
      <w:r>
        <w:rPr>
          <w:color w:val="000000" w:themeColor="text1"/>
        </w:rPr>
        <w:tab/>
      </w:r>
      <w:r>
        <w:rPr>
          <w:color w:val="000000" w:themeColor="text1"/>
        </w:rPr>
        <w:fldChar w:fldCharType="begin"/>
      </w:r>
      <w:r>
        <w:rPr>
          <w:color w:val="000000" w:themeColor="text1"/>
        </w:rPr>
        <w:instrText xml:space="preserve"> PAGEREF _Toc9413 \h </w:instrText>
      </w:r>
      <w:r>
        <w:rPr>
          <w:color w:val="000000" w:themeColor="text1"/>
        </w:rPr>
        <w:fldChar w:fldCharType="separate"/>
      </w:r>
      <w:r>
        <w:rPr>
          <w:color w:val="000000" w:themeColor="text1"/>
        </w:rPr>
        <w:t>122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"_Toc27172"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56</w:t>
      </w:r>
      <w:r>
        <w:rPr>
          <w:rFonts w:hint="eastAsia" w:ascii="仿宋" w:hAnsi="仿宋" w:eastAsia="仿宋" w:cs="仿宋"/>
          <w:bCs/>
          <w:color w:val="000000" w:themeColor="text1"/>
          <w:kern w:val="0"/>
          <w:lang w:val="zh-CN"/>
        </w:rPr>
        <w:t>未采取防渗漏等措施，或者未建设地下水水质监测井进行监测的罚款幅度裁定</w:t>
      </w:r>
      <w:r>
        <w:rPr>
          <w:color w:val="000000" w:themeColor="text1"/>
        </w:rPr>
        <w:tab/>
      </w:r>
      <w:r>
        <w:rPr>
          <w:color w:val="000000" w:themeColor="text1"/>
        </w:rPr>
        <w:fldChar w:fldCharType="begin"/>
      </w:r>
      <w:r>
        <w:rPr>
          <w:color w:val="000000" w:themeColor="text1"/>
        </w:rPr>
        <w:instrText xml:space="preserve"> PAGEREF _Toc27172 \h </w:instrText>
      </w:r>
      <w:r>
        <w:rPr>
          <w:color w:val="000000" w:themeColor="text1"/>
        </w:rPr>
        <w:fldChar w:fldCharType="separate"/>
      </w:r>
      <w:r>
        <w:rPr>
          <w:color w:val="000000" w:themeColor="text1"/>
        </w:rPr>
        <w:t>124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"_Toc13913"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57</w:t>
      </w:r>
      <w:r>
        <w:rPr>
          <w:rFonts w:hint="eastAsia" w:ascii="仿宋" w:hAnsi="仿宋" w:eastAsia="仿宋" w:cs="仿宋"/>
          <w:bCs/>
          <w:color w:val="000000" w:themeColor="text1"/>
          <w:kern w:val="0"/>
          <w:lang w:val="zh-CN"/>
        </w:rPr>
        <w:t>加油站等的地下油罐未使用双层罐或者采取建造防渗池等其他有效措施，或者未进行防渗漏监测的罚款幅度裁定</w:t>
      </w:r>
      <w:r>
        <w:rPr>
          <w:color w:val="000000" w:themeColor="text1"/>
        </w:rPr>
        <w:tab/>
      </w:r>
      <w:r>
        <w:rPr>
          <w:color w:val="000000" w:themeColor="text1"/>
        </w:rPr>
        <w:fldChar w:fldCharType="begin"/>
      </w:r>
      <w:r>
        <w:rPr>
          <w:color w:val="000000" w:themeColor="text1"/>
        </w:rPr>
        <w:instrText xml:space="preserve"> PAGEREF _Toc13913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"_Toc10929"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58</w:t>
      </w:r>
      <w:r>
        <w:rPr>
          <w:rFonts w:hint="eastAsia" w:ascii="仿宋" w:hAnsi="仿宋" w:eastAsia="仿宋" w:cs="仿宋"/>
          <w:bCs/>
          <w:color w:val="000000" w:themeColor="text1"/>
          <w:kern w:val="0"/>
          <w:lang w:val="zh-CN"/>
        </w:rPr>
        <w:t>未按照规定采取防护性措施，或者利用无防渗漏措施的沟渠、坑塘等输送或者存贮含有毒污染物的废水、含病原体的污水或者其他废弃物的罚款幅度裁定</w:t>
      </w:r>
      <w:r>
        <w:rPr>
          <w:color w:val="000000" w:themeColor="text1"/>
        </w:rPr>
        <w:tab/>
      </w:r>
      <w:r>
        <w:rPr>
          <w:color w:val="000000" w:themeColor="text1"/>
        </w:rPr>
        <w:fldChar w:fldCharType="begin"/>
      </w:r>
      <w:r>
        <w:rPr>
          <w:color w:val="000000" w:themeColor="text1"/>
        </w:rPr>
        <w:instrText xml:space="preserve"> PAGEREF _Toc10929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"_Toc30962"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59</w:t>
      </w:r>
      <w:r>
        <w:rPr>
          <w:rFonts w:hint="eastAsia" w:ascii="仿宋" w:hAnsi="仿宋" w:eastAsia="仿宋" w:cs="仿宋"/>
          <w:bCs/>
          <w:color w:val="000000" w:themeColor="text1"/>
          <w:kern w:val="0"/>
          <w:lang w:val="zh-CN"/>
        </w:rPr>
        <w:t>(一)在饮用水水源一级保护区内新建、改建、扩建与供水设施和保护水源无关的建设项目的；(二)在饮用水水源二级保护区内新、改建、扩建排放污染物的建设项目的；(三)在饮用水水源准保护区内新建、扩建对水体污染严重的建设项目，或者改建建设项目增加排污量的罚款幅度裁定</w:t>
      </w:r>
      <w:r>
        <w:rPr>
          <w:color w:val="000000" w:themeColor="text1"/>
        </w:rPr>
        <w:tab/>
      </w:r>
      <w:r>
        <w:rPr>
          <w:color w:val="000000" w:themeColor="text1"/>
        </w:rPr>
        <w:fldChar w:fldCharType="begin"/>
      </w:r>
      <w:r>
        <w:rPr>
          <w:color w:val="000000" w:themeColor="text1"/>
        </w:rPr>
        <w:instrText xml:space="preserve"> PAGEREF _Toc30962 \h </w:instrText>
      </w:r>
      <w:r>
        <w:rPr>
          <w:color w:val="000000" w:themeColor="text1"/>
        </w:rPr>
        <w:fldChar w:fldCharType="separate"/>
      </w:r>
      <w:r>
        <w:rPr>
          <w:color w:val="000000" w:themeColor="text1"/>
        </w:rPr>
        <w:t>130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"_Toc10691"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60</w:t>
      </w:r>
      <w:r>
        <w:rPr>
          <w:rFonts w:hint="eastAsia" w:ascii="仿宋" w:hAnsi="仿宋" w:eastAsia="仿宋" w:cs="仿宋"/>
          <w:bCs/>
          <w:color w:val="000000" w:themeColor="text1"/>
          <w:kern w:val="0"/>
          <w:lang w:val="zh-CN"/>
        </w:rPr>
        <w:t>在饮用水水源一级保护区内从事网箱养殖或者组织进行旅游、垂钓或者其他可能污染饮用水水体的活动的；个人在饮用水水源一级保护区内游泳、垂钓或者从事其他可能污染饮用水水体的活动的罚款幅度裁定</w:t>
      </w:r>
      <w:r>
        <w:rPr>
          <w:color w:val="000000" w:themeColor="text1"/>
        </w:rPr>
        <w:tab/>
      </w:r>
      <w:r>
        <w:rPr>
          <w:color w:val="000000" w:themeColor="text1"/>
        </w:rPr>
        <w:fldChar w:fldCharType="begin"/>
      </w:r>
      <w:r>
        <w:rPr>
          <w:color w:val="000000" w:themeColor="text1"/>
        </w:rPr>
        <w:instrText xml:space="preserve"> PAGEREF _Toc10691 \h </w:instrText>
      </w:r>
      <w:r>
        <w:rPr>
          <w:color w:val="000000" w:themeColor="text1"/>
        </w:rPr>
        <w:fldChar w:fldCharType="separate"/>
      </w:r>
      <w:r>
        <w:rPr>
          <w:color w:val="000000" w:themeColor="text1"/>
        </w:rPr>
        <w:t>132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"_Toc11326"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61</w:t>
      </w:r>
      <w:r>
        <w:rPr>
          <w:rFonts w:hint="eastAsia" w:ascii="仿宋" w:hAnsi="仿宋" w:eastAsia="仿宋" w:cs="仿宋"/>
          <w:bCs/>
          <w:color w:val="000000" w:themeColor="text1"/>
          <w:kern w:val="0"/>
          <w:lang w:val="zh-CN"/>
        </w:rPr>
        <w:t>(一)不按照规定制定水污染事故的应急方案的；(二)水污染事故发生后，未及时启动水污染事故的应急方案，采取有关应急措施的罚款幅度裁定</w:t>
      </w:r>
      <w:r>
        <w:rPr>
          <w:color w:val="000000" w:themeColor="text1"/>
        </w:rPr>
        <w:tab/>
      </w:r>
      <w:r>
        <w:rPr>
          <w:color w:val="000000" w:themeColor="text1"/>
        </w:rPr>
        <w:fldChar w:fldCharType="begin"/>
      </w:r>
      <w:r>
        <w:rPr>
          <w:color w:val="000000" w:themeColor="text1"/>
        </w:rPr>
        <w:instrText xml:space="preserve"> PAGEREF _Toc11326 \h </w:instrText>
      </w:r>
      <w:r>
        <w:rPr>
          <w:color w:val="000000" w:themeColor="text1"/>
        </w:rPr>
        <w:fldChar w:fldCharType="separate"/>
      </w:r>
      <w:r>
        <w:rPr>
          <w:color w:val="000000" w:themeColor="text1"/>
        </w:rPr>
        <w:t>134</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"_Toc28406" </w:instrText>
      </w:r>
      <w:r>
        <w:rPr>
          <w:color w:val="000000" w:themeColor="text1"/>
        </w:rPr>
        <w:fldChar w:fldCharType="separate"/>
      </w:r>
      <w:r>
        <w:rPr>
          <w:rFonts w:hint="eastAsia" w:ascii="黑体" w:hAnsi="黑体" w:eastAsia="黑体" w:cs="黑体"/>
          <w:bCs/>
          <w:color w:val="000000" w:themeColor="text1"/>
          <w:spacing w:val="1"/>
          <w:szCs w:val="28"/>
        </w:rPr>
        <w:t>四、本溪市生态环境局环境行政处罚裁量规则(土壤类)</w:t>
      </w:r>
      <w:r>
        <w:rPr>
          <w:color w:val="000000" w:themeColor="text1"/>
        </w:rPr>
        <w:tab/>
      </w:r>
      <w:r>
        <w:rPr>
          <w:color w:val="000000" w:themeColor="text1"/>
        </w:rPr>
        <w:fldChar w:fldCharType="begin"/>
      </w:r>
      <w:r>
        <w:rPr>
          <w:color w:val="000000" w:themeColor="text1"/>
        </w:rPr>
        <w:instrText xml:space="preserve"> PAGEREF _Toc28406 \h </w:instrText>
      </w:r>
      <w:r>
        <w:rPr>
          <w:color w:val="000000" w:themeColor="text1"/>
        </w:rPr>
        <w:fldChar w:fldCharType="separate"/>
      </w:r>
      <w:r>
        <w:rPr>
          <w:color w:val="000000" w:themeColor="text1"/>
        </w:rPr>
        <w:t>136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"_Toc28039"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62</w:t>
      </w:r>
      <w:r>
        <w:rPr>
          <w:rFonts w:hint="eastAsia" w:ascii="仿宋" w:hAnsi="仿宋" w:eastAsia="仿宋" w:cs="仿宋"/>
          <w:bCs/>
          <w:color w:val="000000" w:themeColor="text1"/>
          <w:kern w:val="0"/>
          <w:lang w:val="zh-CN"/>
        </w:rPr>
        <w:t>土壤污染重点监管单位未制定、实施自行监测方案，或者未将监测数据报生态环境主管部门的罚款幅度裁定</w:t>
      </w:r>
      <w:r>
        <w:rPr>
          <w:color w:val="000000" w:themeColor="text1"/>
        </w:rPr>
        <w:tab/>
      </w:r>
      <w:r>
        <w:rPr>
          <w:color w:val="000000" w:themeColor="text1"/>
        </w:rPr>
        <w:fldChar w:fldCharType="begin"/>
      </w:r>
      <w:r>
        <w:rPr>
          <w:color w:val="000000" w:themeColor="text1"/>
        </w:rPr>
        <w:instrText xml:space="preserve"> PAGEREF _Toc28039 \h </w:instrText>
      </w:r>
      <w:r>
        <w:rPr>
          <w:color w:val="000000" w:themeColor="text1"/>
        </w:rPr>
        <w:fldChar w:fldCharType="separate"/>
      </w:r>
      <w:r>
        <w:rPr>
          <w:color w:val="000000" w:themeColor="text1"/>
        </w:rPr>
        <w:t>136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"_Toc28185"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63</w:t>
      </w:r>
      <w:r>
        <w:rPr>
          <w:rFonts w:hint="eastAsia" w:ascii="仿宋" w:hAnsi="仿宋" w:eastAsia="仿宋" w:cs="仿宋"/>
          <w:bCs/>
          <w:color w:val="000000" w:themeColor="text1"/>
          <w:kern w:val="0"/>
          <w:lang w:val="zh-CN"/>
        </w:rPr>
        <w:t>土壤污染重点监管单位篡改、伪造监测数据的罚款幅度裁定</w:t>
      </w:r>
      <w:r>
        <w:rPr>
          <w:color w:val="000000" w:themeColor="text1"/>
        </w:rPr>
        <w:tab/>
      </w:r>
      <w:r>
        <w:rPr>
          <w:color w:val="000000" w:themeColor="text1"/>
        </w:rPr>
        <w:fldChar w:fldCharType="begin"/>
      </w:r>
      <w:r>
        <w:rPr>
          <w:color w:val="000000" w:themeColor="text1"/>
        </w:rPr>
        <w:instrText xml:space="preserve"> PAGEREF _Toc28185 \h </w:instrText>
      </w:r>
      <w:r>
        <w:rPr>
          <w:color w:val="000000" w:themeColor="text1"/>
        </w:rPr>
        <w:fldChar w:fldCharType="separate"/>
      </w:r>
      <w:r>
        <w:rPr>
          <w:color w:val="000000" w:themeColor="text1"/>
        </w:rPr>
        <w:t>138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"_Toc17990"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64</w:t>
      </w:r>
      <w:r>
        <w:rPr>
          <w:rFonts w:hint="eastAsia" w:ascii="仿宋" w:hAnsi="仿宋" w:eastAsia="仿宋" w:cs="仿宋"/>
          <w:bCs/>
          <w:color w:val="000000" w:themeColor="text1"/>
          <w:kern w:val="0"/>
          <w:lang w:val="zh-CN"/>
        </w:rPr>
        <w:t>土壤污染重点监管单位未按年度报告有毒有害物质排放情况，或者未建立土壤污染隐患排查制度的罚款幅度裁定</w:t>
      </w:r>
      <w:r>
        <w:rPr>
          <w:color w:val="000000" w:themeColor="text1"/>
        </w:rPr>
        <w:tab/>
      </w:r>
      <w:r>
        <w:rPr>
          <w:color w:val="000000" w:themeColor="text1"/>
        </w:rPr>
        <w:fldChar w:fldCharType="begin"/>
      </w:r>
      <w:r>
        <w:rPr>
          <w:color w:val="000000" w:themeColor="text1"/>
        </w:rPr>
        <w:instrText xml:space="preserve"> PAGEREF _Toc17990 \h </w:instrText>
      </w:r>
      <w:r>
        <w:rPr>
          <w:color w:val="000000" w:themeColor="text1"/>
        </w:rPr>
        <w:fldChar w:fldCharType="separate"/>
      </w:r>
      <w:r>
        <w:rPr>
          <w:color w:val="000000" w:themeColor="text1"/>
        </w:rPr>
        <w:t>140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"_Toc1026"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65</w:t>
      </w:r>
      <w:r>
        <w:rPr>
          <w:rFonts w:hint="eastAsia" w:ascii="仿宋" w:hAnsi="仿宋" w:eastAsia="仿宋" w:cs="仿宋"/>
          <w:bCs/>
          <w:color w:val="000000" w:themeColor="text1"/>
          <w:kern w:val="0"/>
          <w:lang w:val="zh-CN"/>
        </w:rPr>
        <w:t>拆除设施、设备或者建筑物、构筑物，企业事业单位未采取相应的土壤污染防治措施或者土壤污染重点监管单位未制定、实施土壤污染防治工作方案的罚款幅度裁定</w:t>
      </w:r>
      <w:r>
        <w:rPr>
          <w:color w:val="000000" w:themeColor="text1"/>
        </w:rPr>
        <w:tab/>
      </w:r>
      <w:r>
        <w:rPr>
          <w:color w:val="000000" w:themeColor="text1"/>
        </w:rPr>
        <w:fldChar w:fldCharType="begin"/>
      </w:r>
      <w:r>
        <w:rPr>
          <w:color w:val="000000" w:themeColor="text1"/>
        </w:rPr>
        <w:instrText xml:space="preserve"> PAGEREF _Toc1026 \h </w:instrText>
      </w:r>
      <w:r>
        <w:rPr>
          <w:color w:val="000000" w:themeColor="text1"/>
        </w:rPr>
        <w:fldChar w:fldCharType="separate"/>
      </w:r>
      <w:r>
        <w:rPr>
          <w:color w:val="000000" w:themeColor="text1"/>
        </w:rPr>
        <w:t>142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"_Toc15413"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66</w:t>
      </w:r>
      <w:r>
        <w:rPr>
          <w:rFonts w:hint="eastAsia" w:ascii="仿宋" w:hAnsi="仿宋" w:eastAsia="仿宋" w:cs="仿宋"/>
          <w:bCs/>
          <w:color w:val="000000" w:themeColor="text1"/>
          <w:kern w:val="0"/>
          <w:lang w:val="zh-CN"/>
        </w:rPr>
        <w:t>尾矿库运营、管理单位未按照规定采取措施防止土壤污染的罚款幅度裁定</w:t>
      </w:r>
      <w:r>
        <w:rPr>
          <w:color w:val="000000" w:themeColor="text1"/>
        </w:rPr>
        <w:tab/>
      </w:r>
      <w:r>
        <w:rPr>
          <w:color w:val="000000" w:themeColor="text1"/>
        </w:rPr>
        <w:fldChar w:fldCharType="begin"/>
      </w:r>
      <w:r>
        <w:rPr>
          <w:color w:val="000000" w:themeColor="text1"/>
        </w:rPr>
        <w:instrText xml:space="preserve"> PAGEREF _Toc15413 \h </w:instrText>
      </w:r>
      <w:r>
        <w:rPr>
          <w:color w:val="000000" w:themeColor="text1"/>
        </w:rPr>
        <w:fldChar w:fldCharType="separate"/>
      </w:r>
      <w:r>
        <w:rPr>
          <w:color w:val="000000" w:themeColor="text1"/>
        </w:rPr>
        <w:t>144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"_Toc13016"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67</w:t>
      </w:r>
      <w:r>
        <w:rPr>
          <w:rFonts w:hint="eastAsia" w:ascii="仿宋" w:hAnsi="仿宋" w:eastAsia="仿宋" w:cs="仿宋"/>
          <w:bCs/>
          <w:color w:val="000000" w:themeColor="text1"/>
          <w:kern w:val="0"/>
          <w:lang w:val="zh-CN"/>
        </w:rPr>
        <w:t>尾矿库运营、管理单位未按照规定进行土壤污染状况</w:t>
      </w:r>
      <w:r>
        <w:rPr>
          <w:color w:val="000000" w:themeColor="text1"/>
        </w:rPr>
        <w:tab/>
      </w:r>
      <w:r>
        <w:rPr>
          <w:color w:val="000000" w:themeColor="text1"/>
        </w:rPr>
        <w:fldChar w:fldCharType="begin"/>
      </w:r>
      <w:r>
        <w:rPr>
          <w:color w:val="000000" w:themeColor="text1"/>
        </w:rPr>
        <w:instrText xml:space="preserve"> PAGEREF _Toc13016 \h </w:instrText>
      </w:r>
      <w:r>
        <w:rPr>
          <w:color w:val="000000" w:themeColor="text1"/>
        </w:rPr>
        <w:fldChar w:fldCharType="separate"/>
      </w:r>
      <w:r>
        <w:rPr>
          <w:color w:val="000000" w:themeColor="text1"/>
        </w:rPr>
        <w:t>146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"_Toc22246"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68</w:t>
      </w:r>
      <w:r>
        <w:rPr>
          <w:rFonts w:hint="eastAsia" w:ascii="仿宋" w:hAnsi="仿宋" w:eastAsia="仿宋" w:cs="仿宋"/>
          <w:bCs/>
          <w:color w:val="000000" w:themeColor="text1"/>
          <w:kern w:val="0"/>
          <w:lang w:val="zh-CN"/>
        </w:rPr>
        <w:t>建设和运行污水集中处理设施、固体废物处置设施，未依照法律法规和相关标准的要求采取措施防止土壤污染的罚款幅度裁定</w:t>
      </w:r>
      <w:r>
        <w:rPr>
          <w:color w:val="000000" w:themeColor="text1"/>
        </w:rPr>
        <w:tab/>
      </w:r>
      <w:r>
        <w:rPr>
          <w:color w:val="000000" w:themeColor="text1"/>
        </w:rPr>
        <w:fldChar w:fldCharType="begin"/>
      </w:r>
      <w:r>
        <w:rPr>
          <w:color w:val="000000" w:themeColor="text1"/>
        </w:rPr>
        <w:instrText xml:space="preserve"> PAGEREF _Toc22246 \h </w:instrText>
      </w:r>
      <w:r>
        <w:rPr>
          <w:color w:val="000000" w:themeColor="text1"/>
        </w:rPr>
        <w:fldChar w:fldCharType="separate"/>
      </w:r>
      <w:r>
        <w:rPr>
          <w:color w:val="000000" w:themeColor="text1"/>
        </w:rPr>
        <w:t>148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"_Toc25033"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69</w:t>
      </w:r>
      <w:r>
        <w:rPr>
          <w:rFonts w:hint="eastAsia" w:ascii="仿宋" w:hAnsi="仿宋" w:eastAsia="仿宋" w:cs="仿宋"/>
          <w:bCs/>
          <w:color w:val="000000" w:themeColor="text1"/>
          <w:kern w:val="0"/>
          <w:lang w:val="zh-CN"/>
        </w:rPr>
        <w:t>向农用地排放重金属或者其他有毒有害物质含量超标的污水、污泥，以及可能造成土壤污染的清淤底泥、尾矿、矿渣等的罚款幅度裁定</w:t>
      </w:r>
      <w:r>
        <w:rPr>
          <w:color w:val="000000" w:themeColor="text1"/>
        </w:rPr>
        <w:tab/>
      </w:r>
      <w:r>
        <w:rPr>
          <w:color w:val="000000" w:themeColor="text1"/>
        </w:rPr>
        <w:fldChar w:fldCharType="begin"/>
      </w:r>
      <w:r>
        <w:rPr>
          <w:color w:val="000000" w:themeColor="text1"/>
        </w:rPr>
        <w:instrText xml:space="preserve"> PAGEREF _Toc25033 \h </w:instrText>
      </w:r>
      <w:r>
        <w:rPr>
          <w:color w:val="000000" w:themeColor="text1"/>
        </w:rPr>
        <w:fldChar w:fldCharType="separate"/>
      </w:r>
      <w:r>
        <w:rPr>
          <w:color w:val="000000" w:themeColor="text1"/>
        </w:rPr>
        <w:t>150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"_Toc28462"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70</w:t>
      </w:r>
      <w:r>
        <w:rPr>
          <w:rFonts w:hint="eastAsia" w:ascii="仿宋" w:hAnsi="仿宋" w:eastAsia="仿宋" w:cs="仿宋"/>
          <w:bCs/>
          <w:color w:val="000000" w:themeColor="text1"/>
          <w:kern w:val="0"/>
          <w:lang w:val="zh-CN"/>
        </w:rPr>
        <w:t>将重金属或者其他有毒有害物质含量超标的工业固体废物、生活垃圾或者污染土壤用于土地复垦的罚款幅度裁定</w:t>
      </w:r>
      <w:r>
        <w:rPr>
          <w:color w:val="000000" w:themeColor="text1"/>
        </w:rPr>
        <w:tab/>
      </w:r>
      <w:r>
        <w:rPr>
          <w:color w:val="000000" w:themeColor="text1"/>
        </w:rPr>
        <w:fldChar w:fldCharType="begin"/>
      </w:r>
      <w:r>
        <w:rPr>
          <w:color w:val="000000" w:themeColor="text1"/>
        </w:rPr>
        <w:instrText xml:space="preserve"> PAGEREF _Toc28462 \h </w:instrText>
      </w:r>
      <w:r>
        <w:rPr>
          <w:color w:val="000000" w:themeColor="text1"/>
        </w:rPr>
        <w:fldChar w:fldCharType="separate"/>
      </w:r>
      <w:r>
        <w:rPr>
          <w:color w:val="000000" w:themeColor="text1"/>
        </w:rPr>
        <w:t>152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"_Toc17217"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71</w:t>
      </w:r>
      <w:r>
        <w:rPr>
          <w:rFonts w:hint="eastAsia" w:ascii="仿宋" w:hAnsi="仿宋" w:eastAsia="仿宋" w:cs="仿宋"/>
          <w:bCs/>
          <w:color w:val="000000" w:themeColor="text1"/>
          <w:kern w:val="0"/>
          <w:lang w:val="zh-CN"/>
        </w:rPr>
        <w:t>受委托从事土壤污染状况调查和土壤污染风险评估、风险管控效果评估、修复效果评估活动的单位，出具虚假调查报告、风险评估报告、风险管控效果评估报告、修复效果评估报告的罚款幅度裁定</w:t>
      </w:r>
      <w:r>
        <w:rPr>
          <w:color w:val="000000" w:themeColor="text1"/>
        </w:rPr>
        <w:tab/>
      </w:r>
      <w:r>
        <w:rPr>
          <w:color w:val="000000" w:themeColor="text1"/>
        </w:rPr>
        <w:fldChar w:fldCharType="begin"/>
      </w:r>
      <w:r>
        <w:rPr>
          <w:color w:val="000000" w:themeColor="text1"/>
        </w:rPr>
        <w:instrText xml:space="preserve"> PAGEREF _Toc17217 \h </w:instrText>
      </w:r>
      <w:r>
        <w:rPr>
          <w:color w:val="000000" w:themeColor="text1"/>
        </w:rPr>
        <w:fldChar w:fldCharType="separate"/>
      </w:r>
      <w:r>
        <w:rPr>
          <w:color w:val="000000" w:themeColor="text1"/>
        </w:rPr>
        <w:t>154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"_Toc32494"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72</w:t>
      </w:r>
      <w:r>
        <w:rPr>
          <w:rFonts w:hint="eastAsia" w:ascii="仿宋" w:hAnsi="仿宋" w:eastAsia="仿宋" w:cs="仿宋"/>
          <w:bCs/>
          <w:color w:val="000000" w:themeColor="text1"/>
          <w:kern w:val="0"/>
          <w:lang w:val="zh-CN"/>
        </w:rPr>
        <w:t>未单独收集、存放开发建设过程中剥离的表土的罚款幅度裁定</w:t>
      </w:r>
      <w:r>
        <w:rPr>
          <w:color w:val="000000" w:themeColor="text1"/>
        </w:rPr>
        <w:tab/>
      </w:r>
      <w:r>
        <w:rPr>
          <w:color w:val="000000" w:themeColor="text1"/>
        </w:rPr>
        <w:fldChar w:fldCharType="begin"/>
      </w:r>
      <w:r>
        <w:rPr>
          <w:color w:val="000000" w:themeColor="text1"/>
        </w:rPr>
        <w:instrText xml:space="preserve"> PAGEREF _Toc32494 \h </w:instrText>
      </w:r>
      <w:r>
        <w:rPr>
          <w:color w:val="000000" w:themeColor="text1"/>
        </w:rPr>
        <w:fldChar w:fldCharType="separate"/>
      </w:r>
      <w:r>
        <w:rPr>
          <w:color w:val="000000" w:themeColor="text1"/>
        </w:rPr>
        <w:t>156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"_Toc7155"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73</w:t>
      </w:r>
      <w:r>
        <w:rPr>
          <w:rFonts w:hint="eastAsia" w:ascii="仿宋" w:hAnsi="仿宋" w:eastAsia="仿宋" w:cs="仿宋"/>
          <w:bCs/>
          <w:color w:val="000000" w:themeColor="text1"/>
          <w:kern w:val="0"/>
          <w:lang w:val="zh-CN"/>
        </w:rPr>
        <w:t>实施风险管控、修复活动对土壤、周边环境造成新的污染的罚款幅度裁定</w:t>
      </w:r>
      <w:r>
        <w:rPr>
          <w:color w:val="000000" w:themeColor="text1"/>
        </w:rPr>
        <w:tab/>
      </w:r>
      <w:r>
        <w:rPr>
          <w:color w:val="000000" w:themeColor="text1"/>
        </w:rPr>
        <w:fldChar w:fldCharType="begin"/>
      </w:r>
      <w:r>
        <w:rPr>
          <w:color w:val="000000" w:themeColor="text1"/>
        </w:rPr>
        <w:instrText xml:space="preserve"> PAGEREF _Toc7155 \h </w:instrText>
      </w:r>
      <w:r>
        <w:rPr>
          <w:color w:val="000000" w:themeColor="text1"/>
        </w:rPr>
        <w:fldChar w:fldCharType="separate"/>
      </w:r>
      <w:r>
        <w:rPr>
          <w:color w:val="000000" w:themeColor="text1"/>
        </w:rPr>
        <w:t>158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"_Toc22946"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74</w:t>
      </w:r>
      <w:r>
        <w:rPr>
          <w:rFonts w:hint="eastAsia" w:ascii="仿宋" w:hAnsi="仿宋" w:eastAsia="仿宋" w:cs="仿宋"/>
          <w:bCs/>
          <w:color w:val="000000" w:themeColor="text1"/>
          <w:kern w:val="0"/>
          <w:lang w:val="zh-CN"/>
        </w:rPr>
        <w:t>转运污染土壤，未将运输时间、方式、线路和污染土壤数量、去向、最终处置措施等提前报所在地和接收地生态环境主管部门的罚款幅度裁定</w:t>
      </w:r>
      <w:r>
        <w:rPr>
          <w:color w:val="000000" w:themeColor="text1"/>
        </w:rPr>
        <w:tab/>
      </w:r>
      <w:r>
        <w:rPr>
          <w:color w:val="000000" w:themeColor="text1"/>
        </w:rPr>
        <w:fldChar w:fldCharType="begin"/>
      </w:r>
      <w:r>
        <w:rPr>
          <w:color w:val="000000" w:themeColor="text1"/>
        </w:rPr>
        <w:instrText xml:space="preserve"> PAGEREF _Toc22946 \h </w:instrText>
      </w:r>
      <w:r>
        <w:rPr>
          <w:color w:val="000000" w:themeColor="text1"/>
        </w:rPr>
        <w:fldChar w:fldCharType="separate"/>
      </w:r>
      <w:r>
        <w:rPr>
          <w:color w:val="000000" w:themeColor="text1"/>
        </w:rPr>
        <w:t>160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"_Toc24324"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75</w:t>
      </w:r>
      <w:r>
        <w:rPr>
          <w:rFonts w:hint="eastAsia" w:ascii="仿宋" w:hAnsi="仿宋" w:eastAsia="仿宋" w:cs="仿宋"/>
          <w:bCs/>
          <w:color w:val="000000" w:themeColor="text1"/>
          <w:kern w:val="0"/>
          <w:lang w:val="zh-CN"/>
        </w:rPr>
        <w:t>未达到土壤污染风险评估报告确定的风险管控、修复目标的建设用地地块，开工建设与风险管控、修复无关的项目的罚款幅度裁定</w:t>
      </w:r>
      <w:r>
        <w:rPr>
          <w:color w:val="000000" w:themeColor="text1"/>
        </w:rPr>
        <w:tab/>
      </w:r>
      <w:r>
        <w:rPr>
          <w:color w:val="000000" w:themeColor="text1"/>
        </w:rPr>
        <w:fldChar w:fldCharType="begin"/>
      </w:r>
      <w:r>
        <w:rPr>
          <w:color w:val="000000" w:themeColor="text1"/>
        </w:rPr>
        <w:instrText xml:space="preserve"> PAGEREF _Toc24324 \h </w:instrText>
      </w:r>
      <w:r>
        <w:rPr>
          <w:color w:val="000000" w:themeColor="text1"/>
        </w:rPr>
        <w:fldChar w:fldCharType="separate"/>
      </w:r>
      <w:r>
        <w:rPr>
          <w:color w:val="000000" w:themeColor="text1"/>
        </w:rPr>
        <w:t>162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"_Toc26749"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76</w:t>
      </w:r>
      <w:r>
        <w:rPr>
          <w:rFonts w:hint="eastAsia" w:ascii="仿宋" w:hAnsi="仿宋" w:eastAsia="仿宋" w:cs="仿宋"/>
          <w:bCs/>
          <w:color w:val="000000" w:themeColor="text1"/>
          <w:kern w:val="0"/>
          <w:lang w:val="zh-CN"/>
        </w:rPr>
        <w:t>土壤污染责任人或者土地使用权人未按照规定实施后期管理</w:t>
      </w:r>
      <w:r>
        <w:rPr>
          <w:color w:val="000000" w:themeColor="text1"/>
        </w:rPr>
        <w:tab/>
      </w:r>
      <w:r>
        <w:rPr>
          <w:color w:val="000000" w:themeColor="text1"/>
        </w:rPr>
        <w:fldChar w:fldCharType="begin"/>
      </w:r>
      <w:r>
        <w:rPr>
          <w:color w:val="000000" w:themeColor="text1"/>
        </w:rPr>
        <w:instrText xml:space="preserve"> PAGEREF _Toc26749 \h </w:instrText>
      </w:r>
      <w:r>
        <w:rPr>
          <w:color w:val="000000" w:themeColor="text1"/>
        </w:rPr>
        <w:fldChar w:fldCharType="separate"/>
      </w:r>
      <w:r>
        <w:rPr>
          <w:color w:val="000000" w:themeColor="text1"/>
        </w:rPr>
        <w:t>164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"_Toc16486"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77</w:t>
      </w:r>
      <w:r>
        <w:rPr>
          <w:rFonts w:hint="eastAsia" w:ascii="仿宋" w:hAnsi="仿宋" w:eastAsia="仿宋" w:cs="仿宋"/>
          <w:bCs/>
          <w:color w:val="000000" w:themeColor="text1"/>
          <w:kern w:val="0"/>
          <w:lang w:val="zh-CN"/>
        </w:rPr>
        <w:t>被检查者拒不配合检查，或者在接受检查时弄虚作假的罚款幅度裁定</w:t>
      </w:r>
      <w:r>
        <w:rPr>
          <w:color w:val="000000" w:themeColor="text1"/>
        </w:rPr>
        <w:tab/>
      </w:r>
      <w:r>
        <w:rPr>
          <w:color w:val="000000" w:themeColor="text1"/>
        </w:rPr>
        <w:fldChar w:fldCharType="begin"/>
      </w:r>
      <w:r>
        <w:rPr>
          <w:color w:val="000000" w:themeColor="text1"/>
        </w:rPr>
        <w:instrText xml:space="preserve"> PAGEREF _Toc16486 \h </w:instrText>
      </w:r>
      <w:r>
        <w:rPr>
          <w:color w:val="000000" w:themeColor="text1"/>
        </w:rPr>
        <w:fldChar w:fldCharType="separate"/>
      </w:r>
      <w:r>
        <w:rPr>
          <w:color w:val="000000" w:themeColor="text1"/>
        </w:rPr>
        <w:t>166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"_Toc22557"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78</w:t>
      </w:r>
      <w:r>
        <w:rPr>
          <w:rFonts w:hint="eastAsia" w:ascii="仿宋" w:hAnsi="仿宋" w:eastAsia="仿宋" w:cs="仿宋"/>
          <w:bCs/>
          <w:color w:val="000000" w:themeColor="text1"/>
          <w:kern w:val="0"/>
          <w:lang w:val="zh-CN"/>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罚款幅度裁定</w:t>
      </w:r>
      <w:r>
        <w:rPr>
          <w:color w:val="000000" w:themeColor="text1"/>
        </w:rPr>
        <w:tab/>
      </w:r>
      <w:r>
        <w:rPr>
          <w:color w:val="000000" w:themeColor="text1"/>
        </w:rPr>
        <w:fldChar w:fldCharType="begin"/>
      </w:r>
      <w:r>
        <w:rPr>
          <w:color w:val="000000" w:themeColor="text1"/>
        </w:rPr>
        <w:instrText xml:space="preserve"> PAGEREF _Toc22557 \h </w:instrText>
      </w:r>
      <w:r>
        <w:rPr>
          <w:color w:val="000000" w:themeColor="text1"/>
        </w:rPr>
        <w:fldChar w:fldCharType="separate"/>
      </w:r>
      <w:r>
        <w:rPr>
          <w:color w:val="000000" w:themeColor="text1"/>
        </w:rPr>
        <w:t>168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"_Toc32081"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79</w:t>
      </w:r>
      <w:r>
        <w:rPr>
          <w:rFonts w:hint="eastAsia" w:ascii="仿宋" w:hAnsi="仿宋" w:eastAsia="仿宋" w:cs="仿宋"/>
          <w:bCs/>
          <w:color w:val="000000" w:themeColor="text1"/>
          <w:kern w:val="0"/>
          <w:lang w:val="zh-CN"/>
        </w:rPr>
        <w:t>(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罚款幅度裁定</w:t>
      </w:r>
      <w:r>
        <w:rPr>
          <w:color w:val="000000" w:themeColor="text1"/>
        </w:rPr>
        <w:tab/>
      </w:r>
      <w:r>
        <w:rPr>
          <w:color w:val="000000" w:themeColor="text1"/>
        </w:rPr>
        <w:fldChar w:fldCharType="begin"/>
      </w:r>
      <w:r>
        <w:rPr>
          <w:color w:val="000000" w:themeColor="text1"/>
        </w:rPr>
        <w:instrText xml:space="preserve"> PAGEREF _Toc32081 \h </w:instrText>
      </w:r>
      <w:r>
        <w:rPr>
          <w:color w:val="000000" w:themeColor="text1"/>
        </w:rPr>
        <w:fldChar w:fldCharType="separate"/>
      </w:r>
      <w:r>
        <w:rPr>
          <w:color w:val="000000" w:themeColor="text1"/>
        </w:rPr>
        <w:t>170</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"_Toc10399" </w:instrText>
      </w:r>
      <w:r>
        <w:rPr>
          <w:color w:val="000000" w:themeColor="text1"/>
        </w:rPr>
        <w:fldChar w:fldCharType="separate"/>
      </w:r>
      <w:r>
        <w:rPr>
          <w:rFonts w:hint="eastAsia" w:ascii="黑体" w:hAnsi="黑体" w:eastAsia="黑体" w:cs="黑体"/>
          <w:bCs/>
          <w:color w:val="000000" w:themeColor="text1"/>
          <w:spacing w:val="1"/>
          <w:szCs w:val="28"/>
        </w:rPr>
        <w:t>五、本溪市生态环境局环境行政处罚裁量规则(固废类)</w:t>
      </w:r>
      <w:r>
        <w:rPr>
          <w:color w:val="000000" w:themeColor="text1"/>
        </w:rPr>
        <w:tab/>
      </w:r>
      <w:r>
        <w:rPr>
          <w:color w:val="000000" w:themeColor="text1"/>
        </w:rPr>
        <w:fldChar w:fldCharType="begin"/>
      </w:r>
      <w:r>
        <w:rPr>
          <w:color w:val="000000" w:themeColor="text1"/>
        </w:rPr>
        <w:instrText xml:space="preserve"> PAGEREF _Toc10399 \h </w:instrText>
      </w:r>
      <w:r>
        <w:rPr>
          <w:color w:val="000000" w:themeColor="text1"/>
        </w:rPr>
        <w:fldChar w:fldCharType="separate"/>
      </w:r>
      <w:r>
        <w:rPr>
          <w:color w:val="000000" w:themeColor="text1"/>
        </w:rPr>
        <w:t>172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"_Toc30247" </w:instrText>
      </w:r>
      <w:r>
        <w:rPr>
          <w:color w:val="000000" w:themeColor="text1"/>
        </w:rPr>
        <w:fldChar w:fldCharType="separate"/>
      </w:r>
      <w:r>
        <w:rPr>
          <w:rFonts w:hint="eastAsia" w:ascii="仿宋" w:hAnsi="仿宋" w:eastAsia="仿宋" w:cs="仿宋"/>
          <w:bCs/>
          <w:color w:val="000000" w:themeColor="text1"/>
          <w:kern w:val="0"/>
        </w:rPr>
        <w:t>表80产生、收集、贮存、运输、利用、处置固体废物的单位未依法及时公开固体废物污染环境防治信息的罚款幅度裁定</w:t>
      </w:r>
      <w:r>
        <w:rPr>
          <w:color w:val="000000" w:themeColor="text1"/>
        </w:rPr>
        <w:tab/>
      </w:r>
      <w:r>
        <w:rPr>
          <w:color w:val="000000" w:themeColor="text1"/>
        </w:rPr>
        <w:fldChar w:fldCharType="begin"/>
      </w:r>
      <w:r>
        <w:rPr>
          <w:color w:val="000000" w:themeColor="text1"/>
        </w:rPr>
        <w:instrText xml:space="preserve"> PAGEREF _Toc30247 \h </w:instrText>
      </w:r>
      <w:r>
        <w:rPr>
          <w:color w:val="000000" w:themeColor="text1"/>
        </w:rPr>
        <w:fldChar w:fldCharType="separate"/>
      </w:r>
      <w:r>
        <w:rPr>
          <w:color w:val="000000" w:themeColor="text1"/>
        </w:rPr>
        <w:t>172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"_Toc32426" </w:instrText>
      </w:r>
      <w:r>
        <w:rPr>
          <w:color w:val="000000" w:themeColor="text1"/>
        </w:rPr>
        <w:fldChar w:fldCharType="separate"/>
      </w:r>
      <w:r>
        <w:rPr>
          <w:rFonts w:hint="eastAsia" w:ascii="仿宋" w:hAnsi="仿宋" w:eastAsia="仿宋" w:cs="仿宋"/>
          <w:bCs/>
          <w:color w:val="000000" w:themeColor="text1"/>
          <w:kern w:val="0"/>
        </w:rPr>
        <w:t>表81生活垃圾处理单位未按照国家有关规定安装使用监测设备、实时监测污染物的排放情况并公开污染排放数据的罚款幅度裁定</w:t>
      </w:r>
      <w:r>
        <w:rPr>
          <w:color w:val="000000" w:themeColor="text1"/>
        </w:rPr>
        <w:tab/>
      </w:r>
      <w:r>
        <w:rPr>
          <w:color w:val="000000" w:themeColor="text1"/>
        </w:rPr>
        <w:fldChar w:fldCharType="begin"/>
      </w:r>
      <w:r>
        <w:rPr>
          <w:color w:val="000000" w:themeColor="text1"/>
        </w:rPr>
        <w:instrText xml:space="preserve"> PAGEREF _Toc32426 \h </w:instrText>
      </w:r>
      <w:r>
        <w:rPr>
          <w:color w:val="000000" w:themeColor="text1"/>
        </w:rPr>
        <w:fldChar w:fldCharType="separate"/>
      </w:r>
      <w:r>
        <w:rPr>
          <w:color w:val="000000" w:themeColor="text1"/>
        </w:rPr>
        <w:t>174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"_Toc13178" </w:instrText>
      </w:r>
      <w:r>
        <w:rPr>
          <w:color w:val="000000" w:themeColor="text1"/>
        </w:rPr>
        <w:fldChar w:fldCharType="separate"/>
      </w:r>
      <w:r>
        <w:rPr>
          <w:rFonts w:hint="eastAsia" w:ascii="仿宋" w:hAnsi="仿宋" w:eastAsia="仿宋" w:cs="仿宋"/>
          <w:bCs/>
          <w:color w:val="000000" w:themeColor="text1"/>
          <w:kern w:val="0"/>
        </w:rPr>
        <w:t>表82将列入限期淘汰名录被淘汰的设备转让给他人使用的罚款</w:t>
      </w:r>
      <w:r>
        <w:rPr>
          <w:color w:val="000000" w:themeColor="text1"/>
        </w:rPr>
        <w:tab/>
      </w:r>
      <w:r>
        <w:rPr>
          <w:color w:val="000000" w:themeColor="text1"/>
        </w:rPr>
        <w:fldChar w:fldCharType="begin"/>
      </w:r>
      <w:r>
        <w:rPr>
          <w:color w:val="000000" w:themeColor="text1"/>
        </w:rPr>
        <w:instrText xml:space="preserve"> PAGEREF _Toc13178 \h </w:instrText>
      </w:r>
      <w:r>
        <w:rPr>
          <w:color w:val="000000" w:themeColor="text1"/>
        </w:rPr>
        <w:fldChar w:fldCharType="separate"/>
      </w:r>
      <w:r>
        <w:rPr>
          <w:color w:val="000000" w:themeColor="text1"/>
        </w:rPr>
        <w:t>176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"_Toc1261" </w:instrText>
      </w:r>
      <w:r>
        <w:rPr>
          <w:color w:val="000000" w:themeColor="text1"/>
        </w:rPr>
        <w:fldChar w:fldCharType="separate"/>
      </w:r>
      <w:r>
        <w:rPr>
          <w:rFonts w:hint="eastAsia" w:ascii="仿宋" w:hAnsi="仿宋" w:eastAsia="仿宋" w:cs="仿宋"/>
          <w:bCs/>
          <w:color w:val="000000" w:themeColor="text1"/>
          <w:kern w:val="0"/>
        </w:rPr>
        <w:t>表83在生态保护红线区域、永久基本农田集中区域和其他需要特别保护的区域内，建设工业固体废物、危险废物集中贮存、利用、处置的设施、场所和生活垃圾填埋场的罚款幅度裁定</w:t>
      </w:r>
      <w:r>
        <w:rPr>
          <w:color w:val="000000" w:themeColor="text1"/>
        </w:rPr>
        <w:tab/>
      </w:r>
      <w:r>
        <w:rPr>
          <w:color w:val="000000" w:themeColor="text1"/>
        </w:rPr>
        <w:fldChar w:fldCharType="begin"/>
      </w:r>
      <w:r>
        <w:rPr>
          <w:color w:val="000000" w:themeColor="text1"/>
        </w:rPr>
        <w:instrText xml:space="preserve"> PAGEREF _Toc1261 \h </w:instrText>
      </w:r>
      <w:r>
        <w:rPr>
          <w:color w:val="000000" w:themeColor="text1"/>
        </w:rPr>
        <w:fldChar w:fldCharType="separate"/>
      </w:r>
      <w:r>
        <w:rPr>
          <w:color w:val="000000" w:themeColor="text1"/>
        </w:rPr>
        <w:t>178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"_Toc28701" </w:instrText>
      </w:r>
      <w:r>
        <w:rPr>
          <w:color w:val="000000" w:themeColor="text1"/>
        </w:rPr>
        <w:fldChar w:fldCharType="separate"/>
      </w:r>
      <w:r>
        <w:rPr>
          <w:rFonts w:hint="eastAsia" w:ascii="仿宋" w:hAnsi="仿宋" w:eastAsia="仿宋" w:cs="仿宋"/>
          <w:bCs/>
          <w:color w:val="000000" w:themeColor="text1"/>
          <w:kern w:val="0"/>
        </w:rPr>
        <w:t>表84转移固体废物出省、自治区、直辖市行政区域贮存、处置未经批准的罚款幅度裁定</w:t>
      </w:r>
      <w:r>
        <w:rPr>
          <w:color w:val="000000" w:themeColor="text1"/>
        </w:rPr>
        <w:tab/>
      </w:r>
      <w:r>
        <w:rPr>
          <w:color w:val="000000" w:themeColor="text1"/>
        </w:rPr>
        <w:fldChar w:fldCharType="begin"/>
      </w:r>
      <w:r>
        <w:rPr>
          <w:color w:val="000000" w:themeColor="text1"/>
        </w:rPr>
        <w:instrText xml:space="preserve"> PAGEREF _Toc28701 \h </w:instrText>
      </w:r>
      <w:r>
        <w:rPr>
          <w:color w:val="000000" w:themeColor="text1"/>
        </w:rPr>
        <w:fldChar w:fldCharType="separate"/>
      </w:r>
      <w:r>
        <w:rPr>
          <w:color w:val="000000" w:themeColor="text1"/>
        </w:rPr>
        <w:t>180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"_Toc16991" </w:instrText>
      </w:r>
      <w:r>
        <w:rPr>
          <w:color w:val="000000" w:themeColor="text1"/>
        </w:rPr>
        <w:fldChar w:fldCharType="separate"/>
      </w:r>
      <w:r>
        <w:rPr>
          <w:rFonts w:hint="eastAsia" w:ascii="仿宋" w:hAnsi="仿宋" w:eastAsia="仿宋" w:cs="仿宋"/>
          <w:bCs/>
          <w:color w:val="000000" w:themeColor="text1"/>
          <w:kern w:val="0"/>
        </w:rPr>
        <w:t>表85转移固体废物出省、自治区、直辖市行政区域利用未报备案的罚款幅度裁定</w:t>
      </w:r>
      <w:r>
        <w:rPr>
          <w:color w:val="000000" w:themeColor="text1"/>
        </w:rPr>
        <w:tab/>
      </w:r>
      <w:r>
        <w:rPr>
          <w:color w:val="000000" w:themeColor="text1"/>
        </w:rPr>
        <w:fldChar w:fldCharType="begin"/>
      </w:r>
      <w:r>
        <w:rPr>
          <w:color w:val="000000" w:themeColor="text1"/>
        </w:rPr>
        <w:instrText xml:space="preserve"> PAGEREF _Toc16991 \h </w:instrText>
      </w:r>
      <w:r>
        <w:rPr>
          <w:color w:val="000000" w:themeColor="text1"/>
        </w:rPr>
        <w:fldChar w:fldCharType="separate"/>
      </w:r>
      <w:r>
        <w:rPr>
          <w:color w:val="000000" w:themeColor="text1"/>
        </w:rPr>
        <w:t>182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"_Toc14546" </w:instrText>
      </w:r>
      <w:r>
        <w:rPr>
          <w:color w:val="000000" w:themeColor="text1"/>
        </w:rPr>
        <w:fldChar w:fldCharType="separate"/>
      </w:r>
      <w:r>
        <w:rPr>
          <w:rFonts w:hint="eastAsia" w:ascii="仿宋" w:hAnsi="仿宋" w:eastAsia="仿宋" w:cs="仿宋"/>
          <w:bCs/>
          <w:color w:val="000000" w:themeColor="text1"/>
          <w:kern w:val="0"/>
        </w:rPr>
        <w:t>表86擅自倾倒、堆放、丢弃、遗撒工业固体废物，或者未采取相应防范措施，造成工业固体废物扬散、流失、渗漏或者其他环境污染的罚款幅度裁定</w:t>
      </w:r>
      <w:r>
        <w:rPr>
          <w:color w:val="000000" w:themeColor="text1"/>
        </w:rPr>
        <w:tab/>
      </w:r>
      <w:r>
        <w:rPr>
          <w:color w:val="000000" w:themeColor="text1"/>
        </w:rPr>
        <w:fldChar w:fldCharType="begin"/>
      </w:r>
      <w:r>
        <w:rPr>
          <w:color w:val="000000" w:themeColor="text1"/>
        </w:rPr>
        <w:instrText xml:space="preserve"> PAGEREF _Toc14546 \h </w:instrText>
      </w:r>
      <w:r>
        <w:rPr>
          <w:color w:val="000000" w:themeColor="text1"/>
        </w:rPr>
        <w:fldChar w:fldCharType="separate"/>
      </w:r>
      <w:r>
        <w:rPr>
          <w:color w:val="000000" w:themeColor="text1"/>
        </w:rPr>
        <w:t>184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"_Toc21441" </w:instrText>
      </w:r>
      <w:r>
        <w:rPr>
          <w:color w:val="000000" w:themeColor="text1"/>
        </w:rPr>
        <w:fldChar w:fldCharType="separate"/>
      </w:r>
      <w:r>
        <w:rPr>
          <w:rFonts w:hint="eastAsia" w:ascii="仿宋" w:hAnsi="仿宋" w:eastAsia="仿宋" w:cs="仿宋"/>
          <w:bCs/>
          <w:color w:val="000000" w:themeColor="text1"/>
          <w:kern w:val="0"/>
        </w:rPr>
        <w:t>表87产生工业固体废物的单位未建立固体废物管理台账并如实记录的罚款幅度裁定</w:t>
      </w:r>
      <w:r>
        <w:rPr>
          <w:color w:val="000000" w:themeColor="text1"/>
        </w:rPr>
        <w:tab/>
      </w:r>
      <w:r>
        <w:rPr>
          <w:color w:val="000000" w:themeColor="text1"/>
        </w:rPr>
        <w:fldChar w:fldCharType="begin"/>
      </w:r>
      <w:r>
        <w:rPr>
          <w:color w:val="000000" w:themeColor="text1"/>
        </w:rPr>
        <w:instrText xml:space="preserve"> PAGEREF _Toc21441 \h </w:instrText>
      </w:r>
      <w:r>
        <w:rPr>
          <w:color w:val="000000" w:themeColor="text1"/>
        </w:rPr>
        <w:fldChar w:fldCharType="separate"/>
      </w:r>
      <w:r>
        <w:rPr>
          <w:color w:val="000000" w:themeColor="text1"/>
        </w:rPr>
        <w:t>186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"_Toc30291" </w:instrText>
      </w:r>
      <w:r>
        <w:rPr>
          <w:color w:val="000000" w:themeColor="text1"/>
        </w:rPr>
        <w:fldChar w:fldCharType="separate"/>
      </w:r>
      <w:r>
        <w:rPr>
          <w:rFonts w:hint="eastAsia" w:ascii="仿宋" w:hAnsi="仿宋" w:eastAsia="仿宋" w:cs="仿宋"/>
          <w:bCs/>
          <w:color w:val="000000" w:themeColor="text1"/>
          <w:kern w:val="0"/>
        </w:rPr>
        <w:t>表88产生工业固体废物的单位违反本法规定委托他人运输、利用、处置工业固体废物的罚款幅度裁定</w:t>
      </w:r>
      <w:r>
        <w:rPr>
          <w:color w:val="000000" w:themeColor="text1"/>
        </w:rPr>
        <w:tab/>
      </w:r>
      <w:r>
        <w:rPr>
          <w:color w:val="000000" w:themeColor="text1"/>
        </w:rPr>
        <w:fldChar w:fldCharType="begin"/>
      </w:r>
      <w:r>
        <w:rPr>
          <w:color w:val="000000" w:themeColor="text1"/>
        </w:rPr>
        <w:instrText xml:space="preserve"> PAGEREF _Toc30291 \h </w:instrText>
      </w:r>
      <w:r>
        <w:rPr>
          <w:color w:val="000000" w:themeColor="text1"/>
        </w:rPr>
        <w:fldChar w:fldCharType="separate"/>
      </w:r>
      <w:r>
        <w:rPr>
          <w:color w:val="000000" w:themeColor="text1"/>
        </w:rPr>
        <w:t>188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"_Toc10736" </w:instrText>
      </w:r>
      <w:r>
        <w:rPr>
          <w:color w:val="000000" w:themeColor="text1"/>
        </w:rPr>
        <w:fldChar w:fldCharType="separate"/>
      </w:r>
      <w:r>
        <w:rPr>
          <w:rFonts w:hint="eastAsia" w:ascii="仿宋" w:hAnsi="仿宋" w:eastAsia="仿宋" w:cs="仿宋"/>
          <w:bCs/>
          <w:color w:val="000000" w:themeColor="text1"/>
          <w:kern w:val="0"/>
        </w:rPr>
        <w:t>表89贮存工业固体废物未采取符合国家环境保护标准的防护措施的罚款幅度裁定</w:t>
      </w:r>
      <w:r>
        <w:rPr>
          <w:color w:val="000000" w:themeColor="text1"/>
        </w:rPr>
        <w:tab/>
      </w:r>
      <w:r>
        <w:rPr>
          <w:color w:val="000000" w:themeColor="text1"/>
        </w:rPr>
        <w:fldChar w:fldCharType="begin"/>
      </w:r>
      <w:r>
        <w:rPr>
          <w:color w:val="000000" w:themeColor="text1"/>
        </w:rPr>
        <w:instrText xml:space="preserve"> PAGEREF _Toc10736 \h </w:instrText>
      </w:r>
      <w:r>
        <w:rPr>
          <w:color w:val="000000" w:themeColor="text1"/>
        </w:rPr>
        <w:fldChar w:fldCharType="separate"/>
      </w:r>
      <w:r>
        <w:rPr>
          <w:color w:val="000000" w:themeColor="text1"/>
        </w:rPr>
        <w:t>190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"_Toc7374" </w:instrText>
      </w:r>
      <w:r>
        <w:rPr>
          <w:color w:val="000000" w:themeColor="text1"/>
        </w:rPr>
        <w:fldChar w:fldCharType="separate"/>
      </w:r>
      <w:r>
        <w:rPr>
          <w:rFonts w:hint="eastAsia" w:ascii="仿宋" w:hAnsi="仿宋" w:eastAsia="仿宋" w:cs="仿宋"/>
          <w:bCs/>
          <w:color w:val="000000" w:themeColor="text1"/>
          <w:kern w:val="0"/>
        </w:rPr>
        <w:t>表90以拖延、围堵、滞留执法人员等方式拒绝、阻挠监督检查，或者在接受监督检查时弄虚作假的罚款幅度裁定</w:t>
      </w:r>
      <w:r>
        <w:rPr>
          <w:color w:val="000000" w:themeColor="text1"/>
        </w:rPr>
        <w:tab/>
      </w:r>
      <w:r>
        <w:rPr>
          <w:color w:val="000000" w:themeColor="text1"/>
        </w:rPr>
        <w:fldChar w:fldCharType="begin"/>
      </w:r>
      <w:r>
        <w:rPr>
          <w:color w:val="000000" w:themeColor="text1"/>
        </w:rPr>
        <w:instrText xml:space="preserve"> PAGEREF _Toc7374 \h </w:instrText>
      </w:r>
      <w:r>
        <w:rPr>
          <w:color w:val="000000" w:themeColor="text1"/>
        </w:rPr>
        <w:fldChar w:fldCharType="separate"/>
      </w:r>
      <w:r>
        <w:rPr>
          <w:color w:val="000000" w:themeColor="text1"/>
        </w:rPr>
        <w:t>192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"_Toc15369" </w:instrText>
      </w:r>
      <w:r>
        <w:rPr>
          <w:color w:val="000000" w:themeColor="text1"/>
        </w:rPr>
        <w:fldChar w:fldCharType="separate"/>
      </w:r>
      <w:r>
        <w:rPr>
          <w:rFonts w:hint="eastAsia" w:ascii="仿宋" w:hAnsi="仿宋" w:eastAsia="仿宋" w:cs="仿宋"/>
          <w:bCs/>
          <w:color w:val="000000" w:themeColor="text1"/>
          <w:kern w:val="0"/>
        </w:rPr>
        <w:t>表91未依法取得排污许可证产生工业固体废物的罚款幅度裁定</w:t>
      </w:r>
      <w:r>
        <w:rPr>
          <w:color w:val="000000" w:themeColor="text1"/>
        </w:rPr>
        <w:tab/>
      </w:r>
      <w:r>
        <w:rPr>
          <w:color w:val="000000" w:themeColor="text1"/>
        </w:rPr>
        <w:fldChar w:fldCharType="begin"/>
      </w:r>
      <w:r>
        <w:rPr>
          <w:color w:val="000000" w:themeColor="text1"/>
        </w:rPr>
        <w:instrText xml:space="preserve"> PAGEREF _Toc15369 \h </w:instrText>
      </w:r>
      <w:r>
        <w:rPr>
          <w:color w:val="000000" w:themeColor="text1"/>
        </w:rPr>
        <w:fldChar w:fldCharType="separate"/>
      </w:r>
      <w:r>
        <w:rPr>
          <w:color w:val="000000" w:themeColor="text1"/>
        </w:rPr>
        <w:t>194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"_Toc21510" </w:instrText>
      </w:r>
      <w:r>
        <w:rPr>
          <w:color w:val="000000" w:themeColor="text1"/>
        </w:rPr>
        <w:fldChar w:fldCharType="separate"/>
      </w:r>
      <w:r>
        <w:rPr>
          <w:rFonts w:hint="eastAsia" w:ascii="仿宋" w:hAnsi="仿宋" w:eastAsia="仿宋" w:cs="仿宋"/>
          <w:bCs/>
          <w:color w:val="000000" w:themeColor="text1"/>
          <w:kern w:val="0"/>
        </w:rPr>
        <w:t>表92从事畜禽规模养殖未及时收集、贮存、利用或者处置养殖过程中产生的畜禽粪污等固体废物的罚款幅度裁定</w:t>
      </w:r>
      <w:r>
        <w:rPr>
          <w:color w:val="000000" w:themeColor="text1"/>
        </w:rPr>
        <w:tab/>
      </w:r>
      <w:r>
        <w:rPr>
          <w:color w:val="000000" w:themeColor="text1"/>
        </w:rPr>
        <w:fldChar w:fldCharType="begin"/>
      </w:r>
      <w:r>
        <w:rPr>
          <w:color w:val="000000" w:themeColor="text1"/>
        </w:rPr>
        <w:instrText xml:space="preserve"> PAGEREF _Toc21510 \h </w:instrText>
      </w:r>
      <w:r>
        <w:rPr>
          <w:color w:val="000000" w:themeColor="text1"/>
        </w:rPr>
        <w:fldChar w:fldCharType="separate"/>
      </w:r>
      <w:r>
        <w:rPr>
          <w:color w:val="000000" w:themeColor="text1"/>
        </w:rPr>
        <w:t>196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"_Toc21362" </w:instrText>
      </w:r>
      <w:r>
        <w:rPr>
          <w:color w:val="000000" w:themeColor="text1"/>
        </w:rPr>
        <w:fldChar w:fldCharType="separate"/>
      </w:r>
      <w:r>
        <w:rPr>
          <w:rFonts w:hint="eastAsia" w:ascii="仿宋" w:hAnsi="仿宋" w:eastAsia="仿宋" w:cs="仿宋"/>
          <w:bCs/>
          <w:color w:val="000000" w:themeColor="text1"/>
          <w:kern w:val="0"/>
        </w:rPr>
        <w:t>表93尾矿、煤矸石、废石等矿业固体废物贮存设施停止使用后，未按照国家有关环境保护规定进行封场的罚款幅度裁定</w:t>
      </w:r>
      <w:r>
        <w:rPr>
          <w:color w:val="000000" w:themeColor="text1"/>
        </w:rPr>
        <w:tab/>
      </w:r>
      <w:r>
        <w:rPr>
          <w:color w:val="000000" w:themeColor="text1"/>
        </w:rPr>
        <w:fldChar w:fldCharType="begin"/>
      </w:r>
      <w:r>
        <w:rPr>
          <w:color w:val="000000" w:themeColor="text1"/>
        </w:rPr>
        <w:instrText xml:space="preserve"> PAGEREF _Toc21362 \h </w:instrText>
      </w:r>
      <w:r>
        <w:rPr>
          <w:color w:val="000000" w:themeColor="text1"/>
        </w:rPr>
        <w:fldChar w:fldCharType="separate"/>
      </w:r>
      <w:r>
        <w:rPr>
          <w:color w:val="000000" w:themeColor="text1"/>
        </w:rPr>
        <w:t>198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"_Toc17849" </w:instrText>
      </w:r>
      <w:r>
        <w:rPr>
          <w:color w:val="000000" w:themeColor="text1"/>
        </w:rPr>
        <w:fldChar w:fldCharType="separate"/>
      </w:r>
      <w:r>
        <w:rPr>
          <w:rFonts w:hint="eastAsia" w:ascii="仿宋" w:hAnsi="仿宋" w:eastAsia="仿宋" w:cs="仿宋"/>
          <w:bCs/>
          <w:color w:val="000000" w:themeColor="text1"/>
          <w:kern w:val="0"/>
        </w:rPr>
        <w:t>表94未按照规定设置危险废物识别标志的罚款幅度裁定</w:t>
      </w:r>
      <w:r>
        <w:rPr>
          <w:color w:val="000000" w:themeColor="text1"/>
        </w:rPr>
        <w:tab/>
      </w:r>
      <w:r>
        <w:rPr>
          <w:color w:val="000000" w:themeColor="text1"/>
        </w:rPr>
        <w:fldChar w:fldCharType="begin"/>
      </w:r>
      <w:r>
        <w:rPr>
          <w:color w:val="000000" w:themeColor="text1"/>
        </w:rPr>
        <w:instrText xml:space="preserve"> PAGEREF _Toc17849 \h </w:instrText>
      </w:r>
      <w:r>
        <w:rPr>
          <w:color w:val="000000" w:themeColor="text1"/>
        </w:rPr>
        <w:fldChar w:fldCharType="separate"/>
      </w:r>
      <w:r>
        <w:rPr>
          <w:color w:val="000000" w:themeColor="text1"/>
        </w:rPr>
        <w:t>200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"_Toc2357" </w:instrText>
      </w:r>
      <w:r>
        <w:rPr>
          <w:color w:val="000000" w:themeColor="text1"/>
        </w:rPr>
        <w:fldChar w:fldCharType="separate"/>
      </w:r>
      <w:r>
        <w:rPr>
          <w:rFonts w:hint="eastAsia" w:ascii="仿宋" w:hAnsi="仿宋" w:eastAsia="仿宋" w:cs="仿宋"/>
          <w:bCs/>
          <w:color w:val="000000" w:themeColor="text1"/>
          <w:kern w:val="0"/>
        </w:rPr>
        <w:t>表95未按照国家有关规定制定危险废物管理计划或者申报危险废物有关资料的罚款幅度裁定</w:t>
      </w:r>
      <w:r>
        <w:rPr>
          <w:color w:val="000000" w:themeColor="text1"/>
        </w:rPr>
        <w:tab/>
      </w:r>
      <w:r>
        <w:rPr>
          <w:color w:val="000000" w:themeColor="text1"/>
        </w:rPr>
        <w:fldChar w:fldCharType="begin"/>
      </w:r>
      <w:r>
        <w:rPr>
          <w:color w:val="000000" w:themeColor="text1"/>
        </w:rPr>
        <w:instrText xml:space="preserve"> PAGEREF _Toc2357 \h </w:instrText>
      </w:r>
      <w:r>
        <w:rPr>
          <w:color w:val="000000" w:themeColor="text1"/>
        </w:rPr>
        <w:fldChar w:fldCharType="separate"/>
      </w:r>
      <w:r>
        <w:rPr>
          <w:color w:val="000000" w:themeColor="text1"/>
        </w:rPr>
        <w:t>202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"_Toc27644" </w:instrText>
      </w:r>
      <w:r>
        <w:rPr>
          <w:color w:val="000000" w:themeColor="text1"/>
        </w:rPr>
        <w:fldChar w:fldCharType="separate"/>
      </w:r>
      <w:r>
        <w:rPr>
          <w:rFonts w:hint="eastAsia" w:ascii="仿宋" w:hAnsi="仿宋" w:eastAsia="仿宋" w:cs="仿宋"/>
          <w:bCs/>
          <w:color w:val="000000" w:themeColor="text1"/>
          <w:kern w:val="0"/>
        </w:rPr>
        <w:t>表96擅自倾倒、堆放危险废物的罚款幅度裁定</w:t>
      </w:r>
      <w:r>
        <w:rPr>
          <w:color w:val="000000" w:themeColor="text1"/>
        </w:rPr>
        <w:tab/>
      </w:r>
      <w:r>
        <w:rPr>
          <w:color w:val="000000" w:themeColor="text1"/>
        </w:rPr>
        <w:fldChar w:fldCharType="begin"/>
      </w:r>
      <w:r>
        <w:rPr>
          <w:color w:val="000000" w:themeColor="text1"/>
        </w:rPr>
        <w:instrText xml:space="preserve"> PAGEREF _Toc27644 \h </w:instrText>
      </w:r>
      <w:r>
        <w:rPr>
          <w:color w:val="000000" w:themeColor="text1"/>
        </w:rPr>
        <w:fldChar w:fldCharType="separate"/>
      </w:r>
      <w:r>
        <w:rPr>
          <w:color w:val="000000" w:themeColor="text1"/>
        </w:rPr>
        <w:t>204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"_Toc1892" </w:instrText>
      </w:r>
      <w:r>
        <w:rPr>
          <w:color w:val="000000" w:themeColor="text1"/>
        </w:rPr>
        <w:fldChar w:fldCharType="separate"/>
      </w:r>
      <w:r>
        <w:rPr>
          <w:rFonts w:hint="eastAsia" w:ascii="仿宋" w:hAnsi="仿宋" w:eastAsia="仿宋" w:cs="仿宋"/>
          <w:bCs/>
          <w:color w:val="000000" w:themeColor="text1"/>
          <w:kern w:val="0"/>
        </w:rPr>
        <w:t>表97将危险废物提供或者委托给无许可证的单位或者其他生产经营者从事经营活动的罚款幅度裁定</w:t>
      </w:r>
      <w:r>
        <w:rPr>
          <w:color w:val="000000" w:themeColor="text1"/>
        </w:rPr>
        <w:tab/>
      </w:r>
      <w:r>
        <w:rPr>
          <w:color w:val="000000" w:themeColor="text1"/>
        </w:rPr>
        <w:fldChar w:fldCharType="begin"/>
      </w:r>
      <w:r>
        <w:rPr>
          <w:color w:val="000000" w:themeColor="text1"/>
        </w:rPr>
        <w:instrText xml:space="preserve"> PAGEREF _Toc1892 \h </w:instrText>
      </w:r>
      <w:r>
        <w:rPr>
          <w:color w:val="000000" w:themeColor="text1"/>
        </w:rPr>
        <w:fldChar w:fldCharType="separate"/>
      </w:r>
      <w:r>
        <w:rPr>
          <w:color w:val="000000" w:themeColor="text1"/>
        </w:rPr>
        <w:t>206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"_Toc18344" </w:instrText>
      </w:r>
      <w:r>
        <w:rPr>
          <w:color w:val="000000" w:themeColor="text1"/>
        </w:rPr>
        <w:fldChar w:fldCharType="separate"/>
      </w:r>
      <w:r>
        <w:rPr>
          <w:rFonts w:hint="eastAsia" w:ascii="仿宋" w:hAnsi="仿宋" w:eastAsia="仿宋" w:cs="仿宋"/>
          <w:bCs/>
          <w:color w:val="000000" w:themeColor="text1"/>
          <w:kern w:val="0"/>
        </w:rPr>
        <w:t>表98未按照国家有关规定填写、运行危险废物转移联单或者未经批准擅自转移危险废物的罚款幅度裁定</w:t>
      </w:r>
      <w:r>
        <w:rPr>
          <w:color w:val="000000" w:themeColor="text1"/>
        </w:rPr>
        <w:tab/>
      </w:r>
      <w:r>
        <w:rPr>
          <w:color w:val="000000" w:themeColor="text1"/>
        </w:rPr>
        <w:fldChar w:fldCharType="begin"/>
      </w:r>
      <w:r>
        <w:rPr>
          <w:color w:val="000000" w:themeColor="text1"/>
        </w:rPr>
        <w:instrText xml:space="preserve"> PAGEREF _Toc18344 \h </w:instrText>
      </w:r>
      <w:r>
        <w:rPr>
          <w:color w:val="000000" w:themeColor="text1"/>
        </w:rPr>
        <w:fldChar w:fldCharType="separate"/>
      </w:r>
      <w:r>
        <w:rPr>
          <w:color w:val="000000" w:themeColor="text1"/>
        </w:rPr>
        <w:t>208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"_Toc30292" </w:instrText>
      </w:r>
      <w:r>
        <w:rPr>
          <w:color w:val="000000" w:themeColor="text1"/>
        </w:rPr>
        <w:fldChar w:fldCharType="separate"/>
      </w:r>
      <w:r>
        <w:rPr>
          <w:rFonts w:hint="eastAsia" w:ascii="仿宋" w:hAnsi="仿宋" w:eastAsia="仿宋" w:cs="仿宋"/>
          <w:bCs/>
          <w:color w:val="000000" w:themeColor="text1"/>
          <w:kern w:val="0"/>
        </w:rPr>
        <w:t>表99未按照国家环境保护标准贮存、利用、处置危险废物或者将危险废物混入非危险废物中贮存的罚款幅度裁定</w:t>
      </w:r>
      <w:r>
        <w:rPr>
          <w:color w:val="000000" w:themeColor="text1"/>
        </w:rPr>
        <w:tab/>
      </w:r>
      <w:r>
        <w:rPr>
          <w:color w:val="000000" w:themeColor="text1"/>
        </w:rPr>
        <w:fldChar w:fldCharType="begin"/>
      </w:r>
      <w:r>
        <w:rPr>
          <w:color w:val="000000" w:themeColor="text1"/>
        </w:rPr>
        <w:instrText xml:space="preserve"> PAGEREF _Toc30292 \h </w:instrText>
      </w:r>
      <w:r>
        <w:rPr>
          <w:color w:val="000000" w:themeColor="text1"/>
        </w:rPr>
        <w:fldChar w:fldCharType="separate"/>
      </w:r>
      <w:r>
        <w:rPr>
          <w:color w:val="000000" w:themeColor="text1"/>
        </w:rPr>
        <w:t>210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"_Toc26391" </w:instrText>
      </w:r>
      <w:r>
        <w:rPr>
          <w:color w:val="000000" w:themeColor="text1"/>
        </w:rPr>
        <w:fldChar w:fldCharType="separate"/>
      </w:r>
      <w:r>
        <w:rPr>
          <w:rFonts w:hint="eastAsia" w:ascii="仿宋" w:hAnsi="仿宋" w:eastAsia="仿宋" w:cs="仿宋"/>
          <w:bCs/>
          <w:color w:val="000000" w:themeColor="text1"/>
          <w:kern w:val="0"/>
        </w:rPr>
        <w:t>表100未经安全性处置，混合收集、贮存、运输、处置具有不相容性质的危险废物的罚款幅度裁定</w:t>
      </w:r>
      <w:r>
        <w:rPr>
          <w:color w:val="000000" w:themeColor="text1"/>
        </w:rPr>
        <w:tab/>
      </w:r>
      <w:r>
        <w:rPr>
          <w:color w:val="000000" w:themeColor="text1"/>
        </w:rPr>
        <w:fldChar w:fldCharType="begin"/>
      </w:r>
      <w:r>
        <w:rPr>
          <w:color w:val="000000" w:themeColor="text1"/>
        </w:rPr>
        <w:instrText xml:space="preserve"> PAGEREF _Toc26391 \h </w:instrText>
      </w:r>
      <w:r>
        <w:rPr>
          <w:color w:val="000000" w:themeColor="text1"/>
        </w:rPr>
        <w:fldChar w:fldCharType="separate"/>
      </w:r>
      <w:r>
        <w:rPr>
          <w:color w:val="000000" w:themeColor="text1"/>
        </w:rPr>
        <w:t>212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"_Toc31983" </w:instrText>
      </w:r>
      <w:r>
        <w:rPr>
          <w:color w:val="000000" w:themeColor="text1"/>
        </w:rPr>
        <w:fldChar w:fldCharType="separate"/>
      </w:r>
      <w:r>
        <w:rPr>
          <w:rFonts w:hint="eastAsia" w:ascii="仿宋" w:hAnsi="仿宋" w:eastAsia="仿宋" w:cs="仿宋"/>
          <w:bCs/>
          <w:color w:val="000000" w:themeColor="text1"/>
          <w:kern w:val="0"/>
        </w:rPr>
        <w:t>表101将危险废物与旅客在同一运输工具上载运的罚款幅度裁定</w:t>
      </w:r>
      <w:r>
        <w:rPr>
          <w:color w:val="000000" w:themeColor="text1"/>
        </w:rPr>
        <w:tab/>
      </w:r>
      <w:r>
        <w:rPr>
          <w:color w:val="000000" w:themeColor="text1"/>
        </w:rPr>
        <w:fldChar w:fldCharType="begin"/>
      </w:r>
      <w:r>
        <w:rPr>
          <w:color w:val="000000" w:themeColor="text1"/>
        </w:rPr>
        <w:instrText xml:space="preserve"> PAGEREF _Toc31983 \h </w:instrText>
      </w:r>
      <w:r>
        <w:rPr>
          <w:color w:val="000000" w:themeColor="text1"/>
        </w:rPr>
        <w:fldChar w:fldCharType="separate"/>
      </w:r>
      <w:r>
        <w:rPr>
          <w:color w:val="000000" w:themeColor="text1"/>
        </w:rPr>
        <w:t>214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"_Toc10161" </w:instrText>
      </w:r>
      <w:r>
        <w:rPr>
          <w:color w:val="000000" w:themeColor="text1"/>
        </w:rPr>
        <w:fldChar w:fldCharType="separate"/>
      </w:r>
      <w:r>
        <w:rPr>
          <w:rFonts w:hint="eastAsia" w:ascii="仿宋" w:hAnsi="仿宋" w:eastAsia="仿宋" w:cs="仿宋"/>
          <w:bCs/>
          <w:color w:val="000000" w:themeColor="text1"/>
          <w:kern w:val="0"/>
        </w:rPr>
        <w:t>表102未经消除污染处理，将收集、贮存、运输、处置危险废物的场所、设施、设备和容器、包装物及其他物品转作他用的罚款幅度裁定</w:t>
      </w:r>
      <w:r>
        <w:rPr>
          <w:color w:val="000000" w:themeColor="text1"/>
        </w:rPr>
        <w:tab/>
      </w:r>
      <w:r>
        <w:rPr>
          <w:color w:val="000000" w:themeColor="text1"/>
        </w:rPr>
        <w:fldChar w:fldCharType="begin"/>
      </w:r>
      <w:r>
        <w:rPr>
          <w:color w:val="000000" w:themeColor="text1"/>
        </w:rPr>
        <w:instrText xml:space="preserve"> PAGEREF _Toc10161 \h </w:instrText>
      </w:r>
      <w:r>
        <w:rPr>
          <w:color w:val="000000" w:themeColor="text1"/>
        </w:rPr>
        <w:fldChar w:fldCharType="separate"/>
      </w:r>
      <w:r>
        <w:rPr>
          <w:color w:val="000000" w:themeColor="text1"/>
        </w:rPr>
        <w:t>216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"_Toc13433" </w:instrText>
      </w:r>
      <w:r>
        <w:rPr>
          <w:color w:val="000000" w:themeColor="text1"/>
        </w:rPr>
        <w:fldChar w:fldCharType="separate"/>
      </w:r>
      <w:r>
        <w:rPr>
          <w:rFonts w:hint="eastAsia" w:ascii="仿宋" w:hAnsi="仿宋" w:eastAsia="仿宋" w:cs="仿宋"/>
          <w:bCs/>
          <w:color w:val="000000" w:themeColor="text1"/>
          <w:kern w:val="0"/>
        </w:rPr>
        <w:t>表103未采取相应防范措施，造成危险废物扬散、流失、渗漏或者</w:t>
      </w:r>
      <w:r>
        <w:rPr>
          <w:color w:val="000000" w:themeColor="text1"/>
        </w:rPr>
        <w:tab/>
      </w:r>
      <w:r>
        <w:rPr>
          <w:color w:val="000000" w:themeColor="text1"/>
        </w:rPr>
        <w:fldChar w:fldCharType="begin"/>
      </w:r>
      <w:r>
        <w:rPr>
          <w:color w:val="000000" w:themeColor="text1"/>
        </w:rPr>
        <w:instrText xml:space="preserve"> PAGEREF _Toc13433 \h </w:instrText>
      </w:r>
      <w:r>
        <w:rPr>
          <w:color w:val="000000" w:themeColor="text1"/>
        </w:rPr>
        <w:fldChar w:fldCharType="separate"/>
      </w:r>
      <w:r>
        <w:rPr>
          <w:color w:val="000000" w:themeColor="text1"/>
        </w:rPr>
        <w:t>218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"_Toc12585" </w:instrText>
      </w:r>
      <w:r>
        <w:rPr>
          <w:color w:val="000000" w:themeColor="text1"/>
        </w:rPr>
        <w:fldChar w:fldCharType="separate"/>
      </w:r>
      <w:r>
        <w:rPr>
          <w:rFonts w:hint="eastAsia" w:ascii="仿宋" w:hAnsi="仿宋" w:eastAsia="仿宋" w:cs="仿宋"/>
          <w:bCs/>
          <w:color w:val="000000" w:themeColor="text1"/>
          <w:kern w:val="0"/>
        </w:rPr>
        <w:t>表104在运输过程中沿途丢弃、遗撒危险废物的罚款幅度裁定</w:t>
      </w:r>
      <w:r>
        <w:rPr>
          <w:color w:val="000000" w:themeColor="text1"/>
        </w:rPr>
        <w:tab/>
      </w:r>
      <w:r>
        <w:rPr>
          <w:color w:val="000000" w:themeColor="text1"/>
        </w:rPr>
        <w:fldChar w:fldCharType="begin"/>
      </w:r>
      <w:r>
        <w:rPr>
          <w:color w:val="000000" w:themeColor="text1"/>
        </w:rPr>
        <w:instrText xml:space="preserve"> PAGEREF _Toc12585 \h </w:instrText>
      </w:r>
      <w:r>
        <w:rPr>
          <w:color w:val="000000" w:themeColor="text1"/>
        </w:rPr>
        <w:fldChar w:fldCharType="separate"/>
      </w:r>
      <w:r>
        <w:rPr>
          <w:color w:val="000000" w:themeColor="text1"/>
        </w:rPr>
        <w:t>220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"_Toc24408" </w:instrText>
      </w:r>
      <w:r>
        <w:rPr>
          <w:color w:val="000000" w:themeColor="text1"/>
        </w:rPr>
        <w:fldChar w:fldCharType="separate"/>
      </w:r>
      <w:r>
        <w:rPr>
          <w:rFonts w:hint="eastAsia" w:ascii="仿宋" w:hAnsi="仿宋" w:eastAsia="仿宋" w:cs="仿宋"/>
          <w:bCs/>
          <w:color w:val="000000" w:themeColor="text1"/>
          <w:kern w:val="0"/>
        </w:rPr>
        <w:t>表105未制定危险废物意外事故防范措施或应急预案的罚款幅度裁定</w:t>
      </w:r>
      <w:r>
        <w:rPr>
          <w:color w:val="000000" w:themeColor="text1"/>
        </w:rPr>
        <w:tab/>
      </w:r>
      <w:r>
        <w:rPr>
          <w:color w:val="000000" w:themeColor="text1"/>
        </w:rPr>
        <w:fldChar w:fldCharType="begin"/>
      </w:r>
      <w:r>
        <w:rPr>
          <w:color w:val="000000" w:themeColor="text1"/>
        </w:rPr>
        <w:instrText xml:space="preserve"> PAGEREF _Toc24408 \h </w:instrText>
      </w:r>
      <w:r>
        <w:rPr>
          <w:color w:val="000000" w:themeColor="text1"/>
        </w:rPr>
        <w:fldChar w:fldCharType="separate"/>
      </w:r>
      <w:r>
        <w:rPr>
          <w:color w:val="000000" w:themeColor="text1"/>
        </w:rPr>
        <w:t>222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"_Toc12388" </w:instrText>
      </w:r>
      <w:r>
        <w:rPr>
          <w:color w:val="000000" w:themeColor="text1"/>
        </w:rPr>
        <w:fldChar w:fldCharType="separate"/>
      </w:r>
      <w:r>
        <w:rPr>
          <w:rFonts w:hint="eastAsia" w:ascii="仿宋" w:hAnsi="仿宋" w:eastAsia="仿宋" w:cs="仿宋"/>
          <w:bCs/>
          <w:color w:val="000000" w:themeColor="text1"/>
          <w:kern w:val="0"/>
        </w:rPr>
        <w:t>表106未按照国家有关规定建立危险废物管理台账并如实记录的罚款幅度裁定</w:t>
      </w:r>
      <w:r>
        <w:rPr>
          <w:color w:val="000000" w:themeColor="text1"/>
        </w:rPr>
        <w:tab/>
      </w:r>
      <w:r>
        <w:rPr>
          <w:color w:val="000000" w:themeColor="text1"/>
        </w:rPr>
        <w:fldChar w:fldCharType="begin"/>
      </w:r>
      <w:r>
        <w:rPr>
          <w:color w:val="000000" w:themeColor="text1"/>
        </w:rPr>
        <w:instrText xml:space="preserve"> PAGEREF _Toc12388 \h </w:instrText>
      </w:r>
      <w:r>
        <w:rPr>
          <w:color w:val="000000" w:themeColor="text1"/>
        </w:rPr>
        <w:fldChar w:fldCharType="separate"/>
      </w:r>
      <w:r>
        <w:rPr>
          <w:color w:val="000000" w:themeColor="text1"/>
        </w:rPr>
        <w:t>224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"_Toc14346" </w:instrText>
      </w:r>
      <w:r>
        <w:rPr>
          <w:color w:val="000000" w:themeColor="text1"/>
        </w:rPr>
        <w:fldChar w:fldCharType="separate"/>
      </w:r>
      <w:r>
        <w:rPr>
          <w:rFonts w:hint="eastAsia" w:ascii="仿宋" w:hAnsi="仿宋" w:eastAsia="仿宋" w:cs="仿宋"/>
          <w:bCs/>
          <w:color w:val="000000" w:themeColor="text1"/>
          <w:kern w:val="0"/>
        </w:rPr>
        <w:t>表107危险废物产生者未按照规定处置其产生的危险废物被责令改正后拒不改正的罚款幅度裁定</w:t>
      </w:r>
      <w:r>
        <w:rPr>
          <w:color w:val="000000" w:themeColor="text1"/>
        </w:rPr>
        <w:tab/>
      </w:r>
      <w:r>
        <w:rPr>
          <w:color w:val="000000" w:themeColor="text1"/>
        </w:rPr>
        <w:fldChar w:fldCharType="begin"/>
      </w:r>
      <w:r>
        <w:rPr>
          <w:color w:val="000000" w:themeColor="text1"/>
        </w:rPr>
        <w:instrText xml:space="preserve"> PAGEREF _Toc14346 \h </w:instrText>
      </w:r>
      <w:r>
        <w:rPr>
          <w:color w:val="000000" w:themeColor="text1"/>
        </w:rPr>
        <w:fldChar w:fldCharType="separate"/>
      </w:r>
      <w:r>
        <w:rPr>
          <w:color w:val="000000" w:themeColor="text1"/>
        </w:rPr>
        <w:t>226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"_Toc1321" </w:instrText>
      </w:r>
      <w:r>
        <w:rPr>
          <w:color w:val="000000" w:themeColor="text1"/>
        </w:rPr>
        <w:fldChar w:fldCharType="separate"/>
      </w:r>
      <w:r>
        <w:rPr>
          <w:rFonts w:hint="eastAsia" w:ascii="仿宋" w:hAnsi="仿宋" w:eastAsia="仿宋" w:cs="仿宋"/>
          <w:bCs/>
          <w:color w:val="000000" w:themeColor="text1"/>
          <w:kern w:val="0"/>
        </w:rPr>
        <w:t>表108无许可证从事收集、贮存、利用、处置危险废物经营活动的罚款幅度裁定</w:t>
      </w:r>
      <w:r>
        <w:rPr>
          <w:color w:val="000000" w:themeColor="text1"/>
        </w:rPr>
        <w:tab/>
      </w:r>
      <w:r>
        <w:rPr>
          <w:color w:val="000000" w:themeColor="text1"/>
        </w:rPr>
        <w:fldChar w:fldCharType="begin"/>
      </w:r>
      <w:r>
        <w:rPr>
          <w:color w:val="000000" w:themeColor="text1"/>
        </w:rPr>
        <w:instrText xml:space="preserve"> PAGEREF _Toc1321 \h </w:instrText>
      </w:r>
      <w:r>
        <w:rPr>
          <w:color w:val="000000" w:themeColor="text1"/>
        </w:rPr>
        <w:fldChar w:fldCharType="separate"/>
      </w:r>
      <w:r>
        <w:rPr>
          <w:color w:val="000000" w:themeColor="text1"/>
        </w:rPr>
        <w:t>228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"_Toc13386" </w:instrText>
      </w:r>
      <w:r>
        <w:rPr>
          <w:color w:val="000000" w:themeColor="text1"/>
        </w:rPr>
        <w:fldChar w:fldCharType="separate"/>
      </w:r>
      <w:r>
        <w:rPr>
          <w:rFonts w:hint="eastAsia" w:ascii="仿宋" w:hAnsi="仿宋" w:eastAsia="仿宋" w:cs="仿宋"/>
          <w:bCs/>
          <w:color w:val="000000" w:themeColor="text1"/>
          <w:kern w:val="0"/>
        </w:rPr>
        <w:t>表109未按照许可证规定从事收集、贮存、利用、处置危险废物经营活动的罚款幅度裁定</w:t>
      </w:r>
      <w:r>
        <w:rPr>
          <w:color w:val="000000" w:themeColor="text1"/>
        </w:rPr>
        <w:tab/>
      </w:r>
      <w:r>
        <w:rPr>
          <w:color w:val="000000" w:themeColor="text1"/>
        </w:rPr>
        <w:fldChar w:fldCharType="begin"/>
      </w:r>
      <w:r>
        <w:rPr>
          <w:color w:val="000000" w:themeColor="text1"/>
        </w:rPr>
        <w:instrText xml:space="preserve"> PAGEREF _Toc13386 \h </w:instrText>
      </w:r>
      <w:r>
        <w:rPr>
          <w:color w:val="000000" w:themeColor="text1"/>
        </w:rPr>
        <w:fldChar w:fldCharType="separate"/>
      </w:r>
      <w:r>
        <w:rPr>
          <w:color w:val="000000" w:themeColor="text1"/>
        </w:rPr>
        <w:t>230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"_Toc23390" </w:instrText>
      </w:r>
      <w:r>
        <w:rPr>
          <w:color w:val="000000" w:themeColor="text1"/>
        </w:rPr>
        <w:fldChar w:fldCharType="separate"/>
      </w:r>
      <w:r>
        <w:rPr>
          <w:rFonts w:hint="eastAsia" w:ascii="仿宋" w:hAnsi="仿宋" w:eastAsia="仿宋" w:cs="仿宋"/>
          <w:bCs/>
          <w:color w:val="000000" w:themeColor="text1"/>
          <w:kern w:val="0"/>
        </w:rPr>
        <w:t>表110造成固体废物污染环境事故的罚款幅度裁定</w:t>
      </w:r>
      <w:r>
        <w:rPr>
          <w:color w:val="000000" w:themeColor="text1"/>
        </w:rPr>
        <w:tab/>
      </w:r>
      <w:r>
        <w:rPr>
          <w:color w:val="000000" w:themeColor="text1"/>
        </w:rPr>
        <w:fldChar w:fldCharType="begin"/>
      </w:r>
      <w:r>
        <w:rPr>
          <w:color w:val="000000" w:themeColor="text1"/>
        </w:rPr>
        <w:instrText xml:space="preserve"> PAGEREF _Toc23390 \h </w:instrText>
      </w:r>
      <w:r>
        <w:rPr>
          <w:color w:val="000000" w:themeColor="text1"/>
        </w:rPr>
        <w:fldChar w:fldCharType="separate"/>
      </w:r>
      <w:r>
        <w:rPr>
          <w:color w:val="000000" w:themeColor="text1"/>
        </w:rPr>
        <w:t>232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"_Toc8424" </w:instrText>
      </w:r>
      <w:r>
        <w:rPr>
          <w:color w:val="000000" w:themeColor="text1"/>
        </w:rPr>
        <w:fldChar w:fldCharType="separate"/>
      </w:r>
      <w:r>
        <w:rPr>
          <w:rFonts w:hint="eastAsia" w:ascii="仿宋" w:hAnsi="仿宋" w:eastAsia="仿宋" w:cs="仿宋"/>
          <w:bCs/>
          <w:color w:val="000000" w:themeColor="text1"/>
          <w:kern w:val="0"/>
        </w:rPr>
        <w:t>表111转让、买卖医疗废物，邮寄或者通过铁路、航空运输医疗废物，或者违反本条例规定通过水路运输医疗废物的罚款幅度裁定</w:t>
      </w:r>
      <w:r>
        <w:rPr>
          <w:color w:val="000000" w:themeColor="text1"/>
        </w:rPr>
        <w:tab/>
      </w:r>
      <w:r>
        <w:rPr>
          <w:color w:val="000000" w:themeColor="text1"/>
        </w:rPr>
        <w:fldChar w:fldCharType="begin"/>
      </w:r>
      <w:r>
        <w:rPr>
          <w:color w:val="000000" w:themeColor="text1"/>
        </w:rPr>
        <w:instrText xml:space="preserve"> PAGEREF _Toc8424 \h </w:instrText>
      </w:r>
      <w:r>
        <w:rPr>
          <w:color w:val="000000" w:themeColor="text1"/>
        </w:rPr>
        <w:fldChar w:fldCharType="separate"/>
      </w:r>
      <w:r>
        <w:rPr>
          <w:color w:val="000000" w:themeColor="text1"/>
        </w:rPr>
        <w:t>234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"_Toc22373" </w:instrText>
      </w:r>
      <w:r>
        <w:rPr>
          <w:color w:val="000000" w:themeColor="text1"/>
        </w:rPr>
        <w:fldChar w:fldCharType="separate"/>
      </w:r>
      <w:r>
        <w:rPr>
          <w:rFonts w:hint="eastAsia" w:ascii="仿宋" w:hAnsi="仿宋" w:eastAsia="仿宋" w:cs="仿宋"/>
          <w:bCs/>
          <w:color w:val="000000" w:themeColor="text1"/>
          <w:kern w:val="0"/>
        </w:rPr>
        <w:t>表112承运人明知托运人违反规定运输医疗废物，仍予以运输的，或者承运人将医疗废物与旅客在同一工具上载运的罚款幅度裁定</w:t>
      </w:r>
      <w:r>
        <w:rPr>
          <w:color w:val="000000" w:themeColor="text1"/>
        </w:rPr>
        <w:tab/>
      </w:r>
      <w:r>
        <w:rPr>
          <w:color w:val="000000" w:themeColor="text1"/>
        </w:rPr>
        <w:fldChar w:fldCharType="begin"/>
      </w:r>
      <w:r>
        <w:rPr>
          <w:color w:val="000000" w:themeColor="text1"/>
        </w:rPr>
        <w:instrText xml:space="preserve"> PAGEREF _Toc22373 \h </w:instrText>
      </w:r>
      <w:r>
        <w:rPr>
          <w:color w:val="000000" w:themeColor="text1"/>
        </w:rPr>
        <w:fldChar w:fldCharType="separate"/>
      </w:r>
      <w:r>
        <w:rPr>
          <w:color w:val="000000" w:themeColor="text1"/>
        </w:rPr>
        <w:t>236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"_Toc14414" </w:instrText>
      </w:r>
      <w:r>
        <w:rPr>
          <w:color w:val="000000" w:themeColor="text1"/>
        </w:rPr>
        <w:fldChar w:fldCharType="separate"/>
      </w:r>
      <w:r>
        <w:rPr>
          <w:rFonts w:hint="eastAsia" w:ascii="仿宋" w:hAnsi="仿宋" w:eastAsia="仿宋" w:cs="仿宋"/>
          <w:bCs/>
          <w:color w:val="000000" w:themeColor="text1"/>
          <w:kern w:val="0"/>
        </w:rPr>
        <w:t>表113(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罚款幅度裁定</w:t>
      </w:r>
      <w:r>
        <w:rPr>
          <w:color w:val="000000" w:themeColor="text1"/>
        </w:rPr>
        <w:tab/>
      </w:r>
      <w:r>
        <w:rPr>
          <w:color w:val="000000" w:themeColor="text1"/>
        </w:rPr>
        <w:fldChar w:fldCharType="begin"/>
      </w:r>
      <w:r>
        <w:rPr>
          <w:color w:val="000000" w:themeColor="text1"/>
        </w:rPr>
        <w:instrText xml:space="preserve"> PAGEREF _Toc14414 \h </w:instrText>
      </w:r>
      <w:r>
        <w:rPr>
          <w:color w:val="000000" w:themeColor="text1"/>
        </w:rPr>
        <w:fldChar w:fldCharType="separate"/>
      </w:r>
      <w:r>
        <w:rPr>
          <w:color w:val="000000" w:themeColor="text1"/>
        </w:rPr>
        <w:t>238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"_Toc31589" </w:instrText>
      </w:r>
      <w:r>
        <w:rPr>
          <w:color w:val="000000" w:themeColor="text1"/>
        </w:rPr>
        <w:fldChar w:fldCharType="separate"/>
      </w:r>
      <w:r>
        <w:rPr>
          <w:rFonts w:hint="eastAsia" w:ascii="仿宋" w:hAnsi="仿宋" w:eastAsia="仿宋" w:cs="仿宋"/>
          <w:bCs/>
          <w:color w:val="000000" w:themeColor="text1"/>
          <w:kern w:val="0"/>
        </w:rPr>
        <w:t>表114在运送过程中丢弃医疗废物，在非贮存地点倾倒、堆放医疗废物或者将医疗废物混入其他废物和生活垃圾的罚款幅度裁定</w:t>
      </w:r>
      <w:r>
        <w:rPr>
          <w:color w:val="000000" w:themeColor="text1"/>
        </w:rPr>
        <w:tab/>
      </w:r>
      <w:r>
        <w:rPr>
          <w:color w:val="000000" w:themeColor="text1"/>
        </w:rPr>
        <w:fldChar w:fldCharType="begin"/>
      </w:r>
      <w:r>
        <w:rPr>
          <w:color w:val="000000" w:themeColor="text1"/>
        </w:rPr>
        <w:instrText xml:space="preserve"> PAGEREF _Toc31589 \h </w:instrText>
      </w:r>
      <w:r>
        <w:rPr>
          <w:color w:val="000000" w:themeColor="text1"/>
        </w:rPr>
        <w:fldChar w:fldCharType="separate"/>
      </w:r>
      <w:r>
        <w:rPr>
          <w:color w:val="000000" w:themeColor="text1"/>
        </w:rPr>
        <w:t>240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"_Toc26591" </w:instrText>
      </w:r>
      <w:r>
        <w:rPr>
          <w:color w:val="000000" w:themeColor="text1"/>
        </w:rPr>
        <w:fldChar w:fldCharType="separate"/>
      </w:r>
      <w:r>
        <w:rPr>
          <w:rFonts w:hint="eastAsia" w:ascii="仿宋" w:hAnsi="仿宋" w:eastAsia="仿宋" w:cs="仿宋"/>
          <w:bCs/>
          <w:color w:val="000000" w:themeColor="text1"/>
          <w:kern w:val="0"/>
        </w:rPr>
        <w:t>表115(一)未执行危险废物转移联单管理制度的；(二)将医疗废物交给或委托给未取得经营许可证的单位或者个人收集、运送、贮存、处置的罚款幅度裁定</w:t>
      </w:r>
      <w:r>
        <w:rPr>
          <w:color w:val="000000" w:themeColor="text1"/>
        </w:rPr>
        <w:tab/>
      </w:r>
      <w:r>
        <w:rPr>
          <w:color w:val="000000" w:themeColor="text1"/>
        </w:rPr>
        <w:fldChar w:fldCharType="begin"/>
      </w:r>
      <w:r>
        <w:rPr>
          <w:color w:val="000000" w:themeColor="text1"/>
        </w:rPr>
        <w:instrText xml:space="preserve"> PAGEREF _Toc26591 \h </w:instrText>
      </w:r>
      <w:r>
        <w:rPr>
          <w:color w:val="000000" w:themeColor="text1"/>
        </w:rPr>
        <w:fldChar w:fldCharType="separate"/>
      </w:r>
      <w:r>
        <w:rPr>
          <w:color w:val="000000" w:themeColor="text1"/>
        </w:rPr>
        <w:t>242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"_Toc2978" </w:instrText>
      </w:r>
      <w:r>
        <w:rPr>
          <w:color w:val="000000" w:themeColor="text1"/>
        </w:rPr>
        <w:fldChar w:fldCharType="separate"/>
      </w:r>
      <w:r>
        <w:rPr>
          <w:rFonts w:hint="eastAsia" w:ascii="仿宋" w:hAnsi="仿宋" w:eastAsia="仿宋" w:cs="仿宋"/>
          <w:bCs/>
          <w:color w:val="000000" w:themeColor="text1"/>
          <w:kern w:val="0"/>
        </w:rPr>
        <w:t>表116对医疗废物的处置不符合国家规定的环境保护、卫生标准、规范的罚款幅度裁定</w:t>
      </w:r>
      <w:r>
        <w:rPr>
          <w:color w:val="000000" w:themeColor="text1"/>
        </w:rPr>
        <w:tab/>
      </w:r>
      <w:r>
        <w:rPr>
          <w:color w:val="000000" w:themeColor="text1"/>
        </w:rPr>
        <w:fldChar w:fldCharType="begin"/>
      </w:r>
      <w:r>
        <w:rPr>
          <w:color w:val="000000" w:themeColor="text1"/>
        </w:rPr>
        <w:instrText xml:space="preserve"> PAGEREF _Toc2978 \h </w:instrText>
      </w:r>
      <w:r>
        <w:rPr>
          <w:color w:val="000000" w:themeColor="text1"/>
        </w:rPr>
        <w:fldChar w:fldCharType="separate"/>
      </w:r>
      <w:r>
        <w:rPr>
          <w:color w:val="000000" w:themeColor="text1"/>
        </w:rPr>
        <w:t>244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"_Toc1400" </w:instrText>
      </w:r>
      <w:r>
        <w:rPr>
          <w:color w:val="000000" w:themeColor="text1"/>
        </w:rPr>
        <w:fldChar w:fldCharType="separate"/>
      </w:r>
      <w:r>
        <w:rPr>
          <w:rFonts w:hint="eastAsia" w:ascii="仿宋" w:hAnsi="仿宋" w:eastAsia="仿宋" w:cs="仿宋"/>
          <w:bCs/>
          <w:color w:val="000000" w:themeColor="text1"/>
          <w:kern w:val="0"/>
        </w:rPr>
        <w:t>表117医疗卫生机构、医疗废物集中处置单位发生医疗废物流失、泄漏、扩散时，未采取紧急处理措施，或者未及时向卫生行政主管部门和环境保护行政主管部门报告的罚款幅度裁定</w:t>
      </w:r>
      <w:r>
        <w:rPr>
          <w:color w:val="000000" w:themeColor="text1"/>
        </w:rPr>
        <w:tab/>
      </w:r>
      <w:r>
        <w:rPr>
          <w:color w:val="000000" w:themeColor="text1"/>
        </w:rPr>
        <w:fldChar w:fldCharType="begin"/>
      </w:r>
      <w:r>
        <w:rPr>
          <w:color w:val="000000" w:themeColor="text1"/>
        </w:rPr>
        <w:instrText xml:space="preserve"> PAGEREF _Toc1400 \h </w:instrText>
      </w:r>
      <w:r>
        <w:rPr>
          <w:color w:val="000000" w:themeColor="text1"/>
        </w:rPr>
        <w:fldChar w:fldCharType="separate"/>
      </w:r>
      <w:r>
        <w:rPr>
          <w:color w:val="000000" w:themeColor="text1"/>
        </w:rPr>
        <w:t>246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"_Toc18057" </w:instrText>
      </w:r>
      <w:r>
        <w:rPr>
          <w:color w:val="000000" w:themeColor="text1"/>
        </w:rPr>
        <w:fldChar w:fldCharType="separate"/>
      </w:r>
      <w:r>
        <w:rPr>
          <w:rFonts w:hint="eastAsia" w:ascii="仿宋" w:hAnsi="仿宋" w:eastAsia="仿宋" w:cs="仿宋"/>
          <w:bCs/>
          <w:color w:val="000000" w:themeColor="text1"/>
          <w:kern w:val="0"/>
          <w:szCs w:val="21"/>
        </w:rPr>
        <w:t>表118医疗卫生机构、医疗废物集中处置单位阻碍环境保护行政主管部门 执法人员执行职务，拒绝执法人员进入现场，或者不配合执法部门的检查、监测、调查取证的罚款幅度裁</w:t>
      </w:r>
      <w:r>
        <w:rPr>
          <w:color w:val="000000" w:themeColor="text1"/>
        </w:rPr>
        <w:tab/>
      </w:r>
      <w:r>
        <w:rPr>
          <w:color w:val="000000" w:themeColor="text1"/>
        </w:rPr>
        <w:fldChar w:fldCharType="begin"/>
      </w:r>
      <w:r>
        <w:rPr>
          <w:color w:val="000000" w:themeColor="text1"/>
        </w:rPr>
        <w:instrText xml:space="preserve"> PAGEREF _Toc18057 \h </w:instrText>
      </w:r>
      <w:r>
        <w:rPr>
          <w:color w:val="000000" w:themeColor="text1"/>
        </w:rPr>
        <w:fldChar w:fldCharType="separate"/>
      </w:r>
      <w:r>
        <w:rPr>
          <w:color w:val="000000" w:themeColor="text1"/>
        </w:rPr>
        <w:t>248</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"_Toc7625" </w:instrText>
      </w:r>
      <w:r>
        <w:rPr>
          <w:color w:val="000000" w:themeColor="text1"/>
        </w:rPr>
        <w:fldChar w:fldCharType="separate"/>
      </w:r>
      <w:r>
        <w:rPr>
          <w:rFonts w:hint="eastAsia" w:ascii="黑体" w:hAnsi="黑体" w:eastAsia="黑体" w:cs="黑体"/>
          <w:bCs/>
          <w:color w:val="000000" w:themeColor="text1"/>
          <w:spacing w:val="1"/>
          <w:szCs w:val="28"/>
        </w:rPr>
        <w:t>六、本溪市生态环境局环境行政处罚裁量规则(辐射类)</w:t>
      </w:r>
      <w:r>
        <w:rPr>
          <w:color w:val="000000" w:themeColor="text1"/>
        </w:rPr>
        <w:tab/>
      </w:r>
      <w:r>
        <w:rPr>
          <w:color w:val="000000" w:themeColor="text1"/>
        </w:rPr>
        <w:fldChar w:fldCharType="begin"/>
      </w:r>
      <w:r>
        <w:rPr>
          <w:color w:val="000000" w:themeColor="text1"/>
        </w:rPr>
        <w:instrText xml:space="preserve"> PAGEREF _Toc7625 \h </w:instrText>
      </w:r>
      <w:r>
        <w:rPr>
          <w:color w:val="000000" w:themeColor="text1"/>
        </w:rPr>
        <w:fldChar w:fldCharType="separate"/>
      </w:r>
      <w:r>
        <w:rPr>
          <w:color w:val="000000" w:themeColor="text1"/>
        </w:rPr>
        <w:t>250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"_Toc5659"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119</w:t>
      </w:r>
      <w:r>
        <w:rPr>
          <w:rFonts w:hint="eastAsia" w:ascii="仿宋" w:hAnsi="仿宋" w:eastAsia="仿宋" w:cs="仿宋"/>
          <w:bCs/>
          <w:color w:val="000000" w:themeColor="text1"/>
          <w:kern w:val="0"/>
          <w:lang w:val="zh-CN"/>
        </w:rPr>
        <w:t>不按照规定报告有关环境监测结果的罚款幅度裁定</w:t>
      </w:r>
      <w:r>
        <w:rPr>
          <w:color w:val="000000" w:themeColor="text1"/>
        </w:rPr>
        <w:tab/>
      </w:r>
      <w:r>
        <w:rPr>
          <w:color w:val="000000" w:themeColor="text1"/>
        </w:rPr>
        <w:fldChar w:fldCharType="begin"/>
      </w:r>
      <w:r>
        <w:rPr>
          <w:color w:val="000000" w:themeColor="text1"/>
        </w:rPr>
        <w:instrText xml:space="preserve"> PAGEREF _Toc5659 \h </w:instrText>
      </w:r>
      <w:r>
        <w:rPr>
          <w:color w:val="000000" w:themeColor="text1"/>
        </w:rPr>
        <w:fldChar w:fldCharType="separate"/>
      </w:r>
      <w:r>
        <w:rPr>
          <w:color w:val="000000" w:themeColor="text1"/>
        </w:rPr>
        <w:t>250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"_Toc2719" </w:instrText>
      </w:r>
      <w:r>
        <w:rPr>
          <w:color w:val="000000" w:themeColor="text1"/>
        </w:rPr>
        <w:fldChar w:fldCharType="separate"/>
      </w:r>
      <w:r>
        <w:rPr>
          <w:rFonts w:hint="eastAsia" w:ascii="仿宋" w:hAnsi="仿宋" w:eastAsia="仿宋" w:cs="仿宋"/>
          <w:bCs/>
          <w:color w:val="000000" w:themeColor="text1"/>
          <w:kern w:val="0"/>
          <w:szCs w:val="21"/>
          <w:lang w:val="zh-CN"/>
        </w:rPr>
        <w:t>表</w:t>
      </w:r>
      <w:r>
        <w:rPr>
          <w:rFonts w:hint="eastAsia" w:ascii="仿宋" w:hAnsi="仿宋" w:eastAsia="仿宋" w:cs="仿宋"/>
          <w:bCs/>
          <w:color w:val="000000" w:themeColor="text1"/>
          <w:kern w:val="0"/>
          <w:szCs w:val="21"/>
        </w:rPr>
        <w:t>120</w:t>
      </w:r>
      <w:r>
        <w:rPr>
          <w:rFonts w:hint="eastAsia" w:ascii="仿宋" w:hAnsi="仿宋" w:eastAsia="仿宋" w:cs="仿宋"/>
          <w:bCs/>
          <w:color w:val="000000" w:themeColor="text1"/>
          <w:kern w:val="0"/>
          <w:szCs w:val="21"/>
          <w:lang w:val="zh-CN"/>
        </w:rPr>
        <w:t>拒绝环境保护行政主管部门和其他有关部门进行现场检查，或者被检查时不如实反映情况和提供必要资料的罚款幅度裁定</w:t>
      </w:r>
      <w:r>
        <w:rPr>
          <w:color w:val="000000" w:themeColor="text1"/>
        </w:rPr>
        <w:tab/>
      </w:r>
      <w:r>
        <w:rPr>
          <w:color w:val="000000" w:themeColor="text1"/>
        </w:rPr>
        <w:fldChar w:fldCharType="begin"/>
      </w:r>
      <w:r>
        <w:rPr>
          <w:color w:val="000000" w:themeColor="text1"/>
        </w:rPr>
        <w:instrText xml:space="preserve"> PAGEREF _Toc2719 \h </w:instrText>
      </w:r>
      <w:r>
        <w:rPr>
          <w:color w:val="000000" w:themeColor="text1"/>
        </w:rPr>
        <w:fldChar w:fldCharType="separate"/>
      </w:r>
      <w:r>
        <w:rPr>
          <w:color w:val="000000" w:themeColor="text1"/>
        </w:rPr>
        <w:t>252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"_Toc19862"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121</w:t>
      </w:r>
      <w:r>
        <w:rPr>
          <w:rFonts w:hint="eastAsia" w:ascii="仿宋" w:hAnsi="仿宋" w:eastAsia="仿宋" w:cs="仿宋"/>
          <w:bCs/>
          <w:color w:val="000000" w:themeColor="text1"/>
          <w:kern w:val="0"/>
          <w:lang w:val="zh-CN"/>
        </w:rPr>
        <w:t>未编制环境影响评价文件，或者环境影响评价文件未经环境保护行 政主管部门批准，擅自进行建造、运行、生产和使用等活动的罚款幅度裁定</w:t>
      </w:r>
      <w:r>
        <w:rPr>
          <w:color w:val="000000" w:themeColor="text1"/>
        </w:rPr>
        <w:tab/>
      </w:r>
      <w:r>
        <w:rPr>
          <w:color w:val="000000" w:themeColor="text1"/>
        </w:rPr>
        <w:fldChar w:fldCharType="begin"/>
      </w:r>
      <w:r>
        <w:rPr>
          <w:color w:val="000000" w:themeColor="text1"/>
        </w:rPr>
        <w:instrText xml:space="preserve"> PAGEREF _Toc19862 \h </w:instrText>
      </w:r>
      <w:r>
        <w:rPr>
          <w:color w:val="000000" w:themeColor="text1"/>
        </w:rPr>
        <w:fldChar w:fldCharType="separate"/>
      </w:r>
      <w:r>
        <w:rPr>
          <w:color w:val="000000" w:themeColor="text1"/>
        </w:rPr>
        <w:t>254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"_Toc14424"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122</w:t>
      </w:r>
      <w:r>
        <w:rPr>
          <w:rFonts w:hint="eastAsia" w:ascii="仿宋" w:hAnsi="仿宋" w:eastAsia="仿宋" w:cs="仿宋"/>
          <w:bCs/>
          <w:color w:val="000000" w:themeColor="text1"/>
          <w:kern w:val="0"/>
          <w:lang w:val="zh-CN"/>
        </w:rPr>
        <w:t>未建造放射性污染防治设施、放射防护设施，或者防治防护设施未经验收合格，主体工程即投入生产或者使用的罚款幅度裁定</w:t>
      </w:r>
      <w:r>
        <w:rPr>
          <w:color w:val="000000" w:themeColor="text1"/>
        </w:rPr>
        <w:tab/>
      </w:r>
      <w:r>
        <w:rPr>
          <w:color w:val="000000" w:themeColor="text1"/>
        </w:rPr>
        <w:fldChar w:fldCharType="begin"/>
      </w:r>
      <w:r>
        <w:rPr>
          <w:color w:val="000000" w:themeColor="text1"/>
        </w:rPr>
        <w:instrText xml:space="preserve"> PAGEREF _Toc14424 \h </w:instrText>
      </w:r>
      <w:r>
        <w:rPr>
          <w:color w:val="000000" w:themeColor="text1"/>
        </w:rPr>
        <w:fldChar w:fldCharType="separate"/>
      </w:r>
      <w:r>
        <w:rPr>
          <w:color w:val="000000" w:themeColor="text1"/>
        </w:rPr>
        <w:t>256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"_Toc23955"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123</w:t>
      </w:r>
      <w:r>
        <w:rPr>
          <w:rFonts w:hint="eastAsia" w:ascii="仿宋" w:hAnsi="仿宋" w:eastAsia="仿宋" w:cs="仿宋"/>
          <w:bCs/>
          <w:color w:val="000000" w:themeColor="text1"/>
          <w:kern w:val="0"/>
          <w:lang w:val="zh-CN"/>
        </w:rPr>
        <w:t>生产、销售、使用、转让、进 口、贮存放射性同位素和射线装置以 及装备有放射性同位素的仪表的罚款幅度裁定</w:t>
      </w:r>
      <w:r>
        <w:rPr>
          <w:color w:val="000000" w:themeColor="text1"/>
        </w:rPr>
        <w:tab/>
      </w:r>
      <w:r>
        <w:rPr>
          <w:color w:val="000000" w:themeColor="text1"/>
        </w:rPr>
        <w:fldChar w:fldCharType="begin"/>
      </w:r>
      <w:r>
        <w:rPr>
          <w:color w:val="000000" w:themeColor="text1"/>
        </w:rPr>
        <w:instrText xml:space="preserve"> PAGEREF _Toc23955 \h </w:instrText>
      </w:r>
      <w:r>
        <w:rPr>
          <w:color w:val="000000" w:themeColor="text1"/>
        </w:rPr>
        <w:fldChar w:fldCharType="separate"/>
      </w:r>
      <w:r>
        <w:rPr>
          <w:color w:val="000000" w:themeColor="text1"/>
        </w:rPr>
        <w:t>258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"_Toc31762"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124</w:t>
      </w:r>
      <w:r>
        <w:rPr>
          <w:rFonts w:hint="eastAsia" w:ascii="仿宋" w:hAnsi="仿宋" w:eastAsia="仿宋" w:cs="仿宋"/>
          <w:bCs/>
          <w:color w:val="000000" w:themeColor="text1"/>
          <w:kern w:val="0"/>
          <w:lang w:val="zh-CN"/>
        </w:rPr>
        <w:t>未建造尾矿库或者不按照放射性污染防治的要求建造尾矿库，贮存、 处置铀(钍)矿和伴生放射性矿的尾矿的罚款幅度裁定</w:t>
      </w:r>
      <w:r>
        <w:rPr>
          <w:color w:val="000000" w:themeColor="text1"/>
        </w:rPr>
        <w:tab/>
      </w:r>
      <w:r>
        <w:rPr>
          <w:color w:val="000000" w:themeColor="text1"/>
        </w:rPr>
        <w:fldChar w:fldCharType="begin"/>
      </w:r>
      <w:r>
        <w:rPr>
          <w:color w:val="000000" w:themeColor="text1"/>
        </w:rPr>
        <w:instrText xml:space="preserve"> PAGEREF _Toc31762 \h </w:instrText>
      </w:r>
      <w:r>
        <w:rPr>
          <w:color w:val="000000" w:themeColor="text1"/>
        </w:rPr>
        <w:fldChar w:fldCharType="separate"/>
      </w:r>
      <w:r>
        <w:rPr>
          <w:color w:val="000000" w:themeColor="text1"/>
        </w:rPr>
        <w:t>260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"_Toc31219"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125</w:t>
      </w:r>
      <w:r>
        <w:rPr>
          <w:rFonts w:hint="eastAsia" w:ascii="仿宋" w:hAnsi="仿宋" w:eastAsia="仿宋" w:cs="仿宋"/>
          <w:bCs/>
          <w:color w:val="000000" w:themeColor="text1"/>
          <w:kern w:val="0"/>
          <w:lang w:val="zh-CN"/>
        </w:rPr>
        <w:t>向环境排放不得排放的放射性废气、废液的罚款幅度裁定</w:t>
      </w:r>
      <w:r>
        <w:rPr>
          <w:color w:val="000000" w:themeColor="text1"/>
        </w:rPr>
        <w:tab/>
      </w:r>
      <w:r>
        <w:rPr>
          <w:color w:val="000000" w:themeColor="text1"/>
        </w:rPr>
        <w:fldChar w:fldCharType="begin"/>
      </w:r>
      <w:r>
        <w:rPr>
          <w:color w:val="000000" w:themeColor="text1"/>
        </w:rPr>
        <w:instrText xml:space="preserve"> PAGEREF _Toc31219 \h </w:instrText>
      </w:r>
      <w:r>
        <w:rPr>
          <w:color w:val="000000" w:themeColor="text1"/>
        </w:rPr>
        <w:fldChar w:fldCharType="separate"/>
      </w:r>
      <w:r>
        <w:rPr>
          <w:color w:val="000000" w:themeColor="text1"/>
        </w:rPr>
        <w:t>262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"_Toc10338"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126</w:t>
      </w:r>
      <w:r>
        <w:rPr>
          <w:rFonts w:hint="eastAsia" w:ascii="仿宋" w:hAnsi="仿宋" w:eastAsia="仿宋" w:cs="仿宋"/>
          <w:bCs/>
          <w:color w:val="000000" w:themeColor="text1"/>
          <w:kern w:val="0"/>
          <w:lang w:val="zh-CN"/>
        </w:rPr>
        <w:t>不按照规定的方式排放放射性废液，利用渗井、渗坑、天然裂隙、溶洞或者国家禁止的其他方式排放放射性废液的罚款幅度裁定</w:t>
      </w:r>
      <w:r>
        <w:rPr>
          <w:color w:val="000000" w:themeColor="text1"/>
        </w:rPr>
        <w:tab/>
      </w:r>
      <w:r>
        <w:rPr>
          <w:color w:val="000000" w:themeColor="text1"/>
        </w:rPr>
        <w:fldChar w:fldCharType="begin"/>
      </w:r>
      <w:r>
        <w:rPr>
          <w:color w:val="000000" w:themeColor="text1"/>
        </w:rPr>
        <w:instrText xml:space="preserve"> PAGEREF _Toc10338 \h </w:instrText>
      </w:r>
      <w:r>
        <w:rPr>
          <w:color w:val="000000" w:themeColor="text1"/>
        </w:rPr>
        <w:fldChar w:fldCharType="separate"/>
      </w:r>
      <w:r>
        <w:rPr>
          <w:color w:val="000000" w:themeColor="text1"/>
        </w:rPr>
        <w:t>264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"_Toc18512"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127</w:t>
      </w:r>
      <w:r>
        <w:rPr>
          <w:rFonts w:hint="eastAsia" w:ascii="仿宋" w:hAnsi="仿宋" w:eastAsia="仿宋" w:cs="仿宋"/>
          <w:bCs/>
          <w:color w:val="000000" w:themeColor="text1"/>
          <w:kern w:val="0"/>
          <w:lang w:val="zh-CN"/>
        </w:rPr>
        <w:t>不按照规定处理或者贮存不得向环境排放的放射性废液的罚款幅度裁定</w:t>
      </w:r>
      <w:r>
        <w:rPr>
          <w:color w:val="000000" w:themeColor="text1"/>
        </w:rPr>
        <w:tab/>
      </w:r>
      <w:r>
        <w:rPr>
          <w:color w:val="000000" w:themeColor="text1"/>
        </w:rPr>
        <w:fldChar w:fldCharType="begin"/>
      </w:r>
      <w:r>
        <w:rPr>
          <w:color w:val="000000" w:themeColor="text1"/>
        </w:rPr>
        <w:instrText xml:space="preserve"> PAGEREF _Toc18512 \h </w:instrText>
      </w:r>
      <w:r>
        <w:rPr>
          <w:color w:val="000000" w:themeColor="text1"/>
        </w:rPr>
        <w:fldChar w:fldCharType="separate"/>
      </w:r>
      <w:r>
        <w:rPr>
          <w:color w:val="000000" w:themeColor="text1"/>
        </w:rPr>
        <w:t>266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"_Toc15495"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128</w:t>
      </w:r>
      <w:r>
        <w:rPr>
          <w:rFonts w:hint="eastAsia" w:ascii="仿宋" w:hAnsi="仿宋" w:eastAsia="仿宋" w:cs="仿宋"/>
          <w:bCs/>
          <w:color w:val="000000" w:themeColor="text1"/>
          <w:kern w:val="0"/>
          <w:lang w:val="zh-CN"/>
        </w:rPr>
        <w:t>将放射性固体废物提供或者委托给无许可证的单位贮存和处置的罚款幅度裁定</w:t>
      </w:r>
      <w:r>
        <w:rPr>
          <w:color w:val="000000" w:themeColor="text1"/>
        </w:rPr>
        <w:tab/>
      </w:r>
      <w:r>
        <w:rPr>
          <w:color w:val="000000" w:themeColor="text1"/>
        </w:rPr>
        <w:fldChar w:fldCharType="begin"/>
      </w:r>
      <w:r>
        <w:rPr>
          <w:color w:val="000000" w:themeColor="text1"/>
        </w:rPr>
        <w:instrText xml:space="preserve"> PAGEREF _Toc15495 \h </w:instrText>
      </w:r>
      <w:r>
        <w:rPr>
          <w:color w:val="000000" w:themeColor="text1"/>
        </w:rPr>
        <w:fldChar w:fldCharType="separate"/>
      </w:r>
      <w:r>
        <w:rPr>
          <w:color w:val="000000" w:themeColor="text1"/>
        </w:rPr>
        <w:t>268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"_Toc8906"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129</w:t>
      </w:r>
      <w:r>
        <w:rPr>
          <w:rFonts w:hint="eastAsia" w:ascii="仿宋" w:hAnsi="仿宋" w:eastAsia="仿宋" w:cs="仿宋"/>
          <w:bCs/>
          <w:color w:val="000000" w:themeColor="text1"/>
          <w:kern w:val="0"/>
          <w:lang w:val="zh-CN"/>
        </w:rPr>
        <w:t>不按照规定设置放射性标识、标志、中文警示说明的罚款幅度裁定</w:t>
      </w:r>
      <w:r>
        <w:rPr>
          <w:color w:val="000000" w:themeColor="text1"/>
        </w:rPr>
        <w:tab/>
      </w:r>
      <w:r>
        <w:rPr>
          <w:color w:val="000000" w:themeColor="text1"/>
        </w:rPr>
        <w:fldChar w:fldCharType="begin"/>
      </w:r>
      <w:r>
        <w:rPr>
          <w:color w:val="000000" w:themeColor="text1"/>
        </w:rPr>
        <w:instrText xml:space="preserve"> PAGEREF _Toc8906 \h </w:instrText>
      </w:r>
      <w:r>
        <w:rPr>
          <w:color w:val="000000" w:themeColor="text1"/>
        </w:rPr>
        <w:fldChar w:fldCharType="separate"/>
      </w:r>
      <w:r>
        <w:rPr>
          <w:color w:val="000000" w:themeColor="text1"/>
        </w:rPr>
        <w:t>270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"_Toc10875"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130</w:t>
      </w:r>
      <w:r>
        <w:rPr>
          <w:rFonts w:hint="eastAsia" w:ascii="仿宋" w:hAnsi="仿宋" w:eastAsia="仿宋" w:cs="仿宋"/>
          <w:bCs/>
          <w:color w:val="000000" w:themeColor="text1"/>
          <w:kern w:val="0"/>
          <w:lang w:val="zh-CN"/>
        </w:rPr>
        <w:t>不按照规定建立健全安全保卫制度和制定事故应急计划或者应急措施的；不按照规定报告放射源丢失、被盗情况或者放射性污染事故的罚款幅度裁定</w:t>
      </w:r>
      <w:r>
        <w:rPr>
          <w:color w:val="000000" w:themeColor="text1"/>
        </w:rPr>
        <w:tab/>
      </w:r>
      <w:r>
        <w:rPr>
          <w:color w:val="000000" w:themeColor="text1"/>
        </w:rPr>
        <w:fldChar w:fldCharType="begin"/>
      </w:r>
      <w:r>
        <w:rPr>
          <w:color w:val="000000" w:themeColor="text1"/>
        </w:rPr>
        <w:instrText xml:space="preserve"> PAGEREF _Toc10875 \h </w:instrText>
      </w:r>
      <w:r>
        <w:rPr>
          <w:color w:val="000000" w:themeColor="text1"/>
        </w:rPr>
        <w:fldChar w:fldCharType="separate"/>
      </w:r>
      <w:r>
        <w:rPr>
          <w:color w:val="000000" w:themeColor="text1"/>
        </w:rPr>
        <w:t>271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"_Toc6760"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131</w:t>
      </w:r>
      <w:r>
        <w:rPr>
          <w:rFonts w:hint="eastAsia" w:ascii="仿宋" w:hAnsi="仿宋" w:eastAsia="仿宋" w:cs="仿宋"/>
          <w:bCs/>
          <w:color w:val="000000" w:themeColor="text1"/>
          <w:kern w:val="0"/>
          <w:lang w:val="zh-CN"/>
        </w:rPr>
        <w:t>产生放射性固体废物的单位不按照规定对其产生的放射性固体废物进行处理后，送交放射性固体废物处置单位处置的罚款幅度裁定</w:t>
      </w:r>
      <w:r>
        <w:rPr>
          <w:color w:val="000000" w:themeColor="text1"/>
        </w:rPr>
        <w:tab/>
      </w:r>
      <w:r>
        <w:rPr>
          <w:color w:val="000000" w:themeColor="text1"/>
        </w:rPr>
        <w:fldChar w:fldCharType="begin"/>
      </w:r>
      <w:r>
        <w:rPr>
          <w:color w:val="000000" w:themeColor="text1"/>
        </w:rPr>
        <w:instrText xml:space="preserve"> PAGEREF _Toc6760 \h </w:instrText>
      </w:r>
      <w:r>
        <w:rPr>
          <w:color w:val="000000" w:themeColor="text1"/>
        </w:rPr>
        <w:fldChar w:fldCharType="separate"/>
      </w:r>
      <w:r>
        <w:rPr>
          <w:color w:val="000000" w:themeColor="text1"/>
        </w:rPr>
        <w:t>274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"_Toc21076"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132</w:t>
      </w:r>
      <w:r>
        <w:rPr>
          <w:rFonts w:hint="eastAsia" w:ascii="仿宋" w:hAnsi="仿宋" w:eastAsia="仿宋" w:cs="仿宋"/>
          <w:bCs/>
          <w:color w:val="000000" w:themeColor="text1"/>
          <w:kern w:val="0"/>
          <w:lang w:val="zh-CN"/>
        </w:rPr>
        <w:t>未经许可，擅自从事贮存和处置放射性固体废物活动的；不按照许可的有关规定从事贮存和处置放射性固体废物活动的罚款幅度裁定</w:t>
      </w:r>
      <w:r>
        <w:rPr>
          <w:color w:val="000000" w:themeColor="text1"/>
        </w:rPr>
        <w:tab/>
      </w:r>
      <w:r>
        <w:rPr>
          <w:color w:val="000000" w:themeColor="text1"/>
        </w:rPr>
        <w:fldChar w:fldCharType="begin"/>
      </w:r>
      <w:r>
        <w:rPr>
          <w:color w:val="000000" w:themeColor="text1"/>
        </w:rPr>
        <w:instrText xml:space="preserve"> PAGEREF _Toc21076 \h </w:instrText>
      </w:r>
      <w:r>
        <w:rPr>
          <w:color w:val="000000" w:themeColor="text1"/>
        </w:rPr>
        <w:fldChar w:fldCharType="separate"/>
      </w:r>
      <w:r>
        <w:rPr>
          <w:color w:val="000000" w:themeColor="text1"/>
        </w:rPr>
        <w:t>276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"_Toc32105"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133</w:t>
      </w:r>
      <w:r>
        <w:rPr>
          <w:rFonts w:hint="eastAsia" w:ascii="仿宋" w:hAnsi="仿宋" w:eastAsia="仿宋" w:cs="仿宋"/>
          <w:bCs/>
          <w:color w:val="000000" w:themeColor="text1"/>
          <w:kern w:val="0"/>
          <w:lang w:val="zh-CN"/>
        </w:rPr>
        <w:t>在室外、野外使用放射性同位素和射线装置，未按照国家有关安全和防护标准的要求划出安全防护区域和设置明显的放射性标志的罚款幅度裁定</w:t>
      </w:r>
      <w:r>
        <w:rPr>
          <w:color w:val="000000" w:themeColor="text1"/>
        </w:rPr>
        <w:tab/>
      </w:r>
      <w:r>
        <w:rPr>
          <w:color w:val="000000" w:themeColor="text1"/>
        </w:rPr>
        <w:fldChar w:fldCharType="begin"/>
      </w:r>
      <w:r>
        <w:rPr>
          <w:color w:val="000000" w:themeColor="text1"/>
        </w:rPr>
        <w:instrText xml:space="preserve"> PAGEREF _Toc32105 \h </w:instrText>
      </w:r>
      <w:r>
        <w:rPr>
          <w:color w:val="000000" w:themeColor="text1"/>
        </w:rPr>
        <w:fldChar w:fldCharType="separate"/>
      </w:r>
      <w:r>
        <w:rPr>
          <w:color w:val="000000" w:themeColor="text1"/>
        </w:rPr>
        <w:t>278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"_Toc1481"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134</w:t>
      </w:r>
      <w:r>
        <w:rPr>
          <w:rFonts w:hint="eastAsia" w:ascii="仿宋" w:hAnsi="仿宋" w:eastAsia="仿宋" w:cs="仿宋"/>
          <w:bCs/>
          <w:color w:val="000000" w:themeColor="text1"/>
          <w:kern w:val="0"/>
          <w:lang w:val="zh-CN"/>
        </w:rPr>
        <w:t>未经批准擅自在野外进行放射性同位素示踪试验的罚款幅度裁定</w:t>
      </w:r>
      <w:r>
        <w:rPr>
          <w:color w:val="000000" w:themeColor="text1"/>
        </w:rPr>
        <w:tab/>
      </w:r>
      <w:r>
        <w:rPr>
          <w:color w:val="000000" w:themeColor="text1"/>
        </w:rPr>
        <w:fldChar w:fldCharType="begin"/>
      </w:r>
      <w:r>
        <w:rPr>
          <w:color w:val="000000" w:themeColor="text1"/>
        </w:rPr>
        <w:instrText xml:space="preserve"> PAGEREF _Toc1481 \h </w:instrText>
      </w:r>
      <w:r>
        <w:rPr>
          <w:color w:val="000000" w:themeColor="text1"/>
        </w:rPr>
        <w:fldChar w:fldCharType="separate"/>
      </w:r>
      <w:r>
        <w:rPr>
          <w:color w:val="000000" w:themeColor="text1"/>
        </w:rPr>
        <w:t>280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"_Toc2363"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135</w:t>
      </w:r>
      <w:r>
        <w:rPr>
          <w:rFonts w:hint="eastAsia" w:ascii="仿宋" w:hAnsi="仿宋" w:eastAsia="仿宋" w:cs="仿宋"/>
          <w:bCs/>
          <w:color w:val="000000" w:themeColor="text1"/>
          <w:kern w:val="0"/>
          <w:lang w:val="zh-CN"/>
        </w:rPr>
        <w:t>(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罚款幅度裁定</w:t>
      </w:r>
      <w:r>
        <w:rPr>
          <w:color w:val="000000" w:themeColor="text1"/>
        </w:rPr>
        <w:tab/>
      </w:r>
      <w:r>
        <w:rPr>
          <w:color w:val="000000" w:themeColor="text1"/>
        </w:rPr>
        <w:fldChar w:fldCharType="begin"/>
      </w:r>
      <w:r>
        <w:rPr>
          <w:color w:val="000000" w:themeColor="text1"/>
        </w:rPr>
        <w:instrText xml:space="preserve"> PAGEREF _Toc2363 \h </w:instrText>
      </w:r>
      <w:r>
        <w:rPr>
          <w:color w:val="000000" w:themeColor="text1"/>
        </w:rPr>
        <w:fldChar w:fldCharType="separate"/>
      </w:r>
      <w:r>
        <w:rPr>
          <w:color w:val="000000" w:themeColor="text1"/>
        </w:rPr>
        <w:t>282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"_Toc15586"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136</w:t>
      </w:r>
      <w:r>
        <w:rPr>
          <w:rFonts w:hint="eastAsia" w:ascii="仿宋" w:hAnsi="仿宋" w:eastAsia="仿宋" w:cs="仿宋"/>
          <w:bCs/>
          <w:color w:val="000000" w:themeColor="text1"/>
          <w:kern w:val="0"/>
          <w:lang w:val="zh-CN"/>
        </w:rPr>
        <w:t>未按照规定对废旧放射源进行处理的罚款幅度裁定</w:t>
      </w:r>
      <w:r>
        <w:rPr>
          <w:color w:val="000000" w:themeColor="text1"/>
        </w:rPr>
        <w:tab/>
      </w:r>
      <w:r>
        <w:rPr>
          <w:color w:val="000000" w:themeColor="text1"/>
        </w:rPr>
        <w:fldChar w:fldCharType="begin"/>
      </w:r>
      <w:r>
        <w:rPr>
          <w:color w:val="000000" w:themeColor="text1"/>
        </w:rPr>
        <w:instrText xml:space="preserve"> PAGEREF _Toc15586 \h </w:instrText>
      </w:r>
      <w:r>
        <w:rPr>
          <w:color w:val="000000" w:themeColor="text1"/>
        </w:rPr>
        <w:fldChar w:fldCharType="separate"/>
      </w:r>
      <w:r>
        <w:rPr>
          <w:color w:val="000000" w:themeColor="text1"/>
        </w:rPr>
        <w:t>284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"_Toc27881"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137</w:t>
      </w:r>
      <w:r>
        <w:rPr>
          <w:rFonts w:hint="eastAsia" w:ascii="仿宋" w:hAnsi="仿宋" w:eastAsia="仿宋" w:cs="仿宋"/>
          <w:bCs/>
          <w:color w:val="000000" w:themeColor="text1"/>
          <w:kern w:val="0"/>
          <w:lang w:val="zh-CN"/>
        </w:rPr>
        <w:t>未按照规定对使用Ⅰ类、Ⅱ类、Ⅲ类放射源的场所和生产放射性同位素的场所，以及终结运行后产生放射性污染的射线装置实施退役的罚款幅度裁定</w:t>
      </w:r>
      <w:r>
        <w:rPr>
          <w:color w:val="000000" w:themeColor="text1"/>
        </w:rPr>
        <w:tab/>
      </w:r>
      <w:r>
        <w:rPr>
          <w:color w:val="000000" w:themeColor="text1"/>
        </w:rPr>
        <w:fldChar w:fldCharType="begin"/>
      </w:r>
      <w:r>
        <w:rPr>
          <w:color w:val="000000" w:themeColor="text1"/>
        </w:rPr>
        <w:instrText xml:space="preserve"> PAGEREF _Toc27881 \h </w:instrText>
      </w:r>
      <w:r>
        <w:rPr>
          <w:color w:val="000000" w:themeColor="text1"/>
        </w:rPr>
        <w:fldChar w:fldCharType="separate"/>
      </w:r>
      <w:r>
        <w:rPr>
          <w:color w:val="000000" w:themeColor="text1"/>
        </w:rPr>
        <w:t>286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"_Toc11540"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138</w:t>
      </w:r>
      <w:r>
        <w:rPr>
          <w:rFonts w:hint="eastAsia" w:ascii="仿宋" w:hAnsi="仿宋" w:eastAsia="仿宋" w:cs="仿宋"/>
          <w:bCs/>
          <w:color w:val="000000" w:themeColor="text1"/>
          <w:kern w:val="0"/>
          <w:lang w:val="zh-CN"/>
        </w:rPr>
        <w:t>未按照规定对本单位的放射性同位素、射线装置安全和防护状况进行评估或者发现安全隐患不及时整改的罚款幅度裁定</w:t>
      </w:r>
      <w:r>
        <w:rPr>
          <w:color w:val="000000" w:themeColor="text1"/>
        </w:rPr>
        <w:tab/>
      </w:r>
      <w:r>
        <w:rPr>
          <w:color w:val="000000" w:themeColor="text1"/>
        </w:rPr>
        <w:fldChar w:fldCharType="begin"/>
      </w:r>
      <w:r>
        <w:rPr>
          <w:color w:val="000000" w:themeColor="text1"/>
        </w:rPr>
        <w:instrText xml:space="preserve"> PAGEREF _Toc11540 \h </w:instrText>
      </w:r>
      <w:r>
        <w:rPr>
          <w:color w:val="000000" w:themeColor="text1"/>
        </w:rPr>
        <w:fldChar w:fldCharType="separate"/>
      </w:r>
      <w:r>
        <w:rPr>
          <w:color w:val="000000" w:themeColor="text1"/>
        </w:rPr>
        <w:t>288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"_Toc10305"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139</w:t>
      </w:r>
      <w:r>
        <w:rPr>
          <w:rFonts w:hint="eastAsia" w:ascii="仿宋" w:hAnsi="仿宋" w:eastAsia="仿宋" w:cs="仿宋"/>
          <w:bCs/>
          <w:color w:val="000000" w:themeColor="text1"/>
          <w:kern w:val="0"/>
          <w:lang w:val="zh-CN"/>
        </w:rPr>
        <w:t>生产、销售、使用、贮存放射性同位素和射线装置的场所未按照规定设置安全和防护设施以及放射性标志的罚款幅度裁定</w:t>
      </w:r>
      <w:r>
        <w:rPr>
          <w:color w:val="000000" w:themeColor="text1"/>
        </w:rPr>
        <w:tab/>
      </w:r>
      <w:r>
        <w:rPr>
          <w:color w:val="000000" w:themeColor="text1"/>
        </w:rPr>
        <w:fldChar w:fldCharType="begin"/>
      </w:r>
      <w:r>
        <w:rPr>
          <w:color w:val="000000" w:themeColor="text1"/>
        </w:rPr>
        <w:instrText xml:space="preserve"> PAGEREF _Toc10305 \h </w:instrText>
      </w:r>
      <w:r>
        <w:rPr>
          <w:color w:val="000000" w:themeColor="text1"/>
        </w:rPr>
        <w:fldChar w:fldCharType="separate"/>
      </w:r>
      <w:r>
        <w:rPr>
          <w:color w:val="000000" w:themeColor="text1"/>
        </w:rPr>
        <w:t>290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"_Toc29965"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140</w:t>
      </w:r>
      <w:r>
        <w:rPr>
          <w:rFonts w:hint="eastAsia" w:ascii="仿宋" w:hAnsi="仿宋" w:eastAsia="仿宋" w:cs="仿宋"/>
          <w:bCs/>
          <w:color w:val="000000" w:themeColor="text1"/>
          <w:kern w:val="0"/>
          <w:lang w:val="zh-CN"/>
        </w:rPr>
        <w:t>造成电磁辐射污染环境事故的罚款幅度裁定</w:t>
      </w:r>
      <w:r>
        <w:rPr>
          <w:color w:val="000000" w:themeColor="text1"/>
        </w:rPr>
        <w:tab/>
      </w:r>
      <w:r>
        <w:rPr>
          <w:color w:val="000000" w:themeColor="text1"/>
        </w:rPr>
        <w:fldChar w:fldCharType="begin"/>
      </w:r>
      <w:r>
        <w:rPr>
          <w:color w:val="000000" w:themeColor="text1"/>
        </w:rPr>
        <w:instrText xml:space="preserve"> PAGEREF _Toc29965 \h </w:instrText>
      </w:r>
      <w:r>
        <w:rPr>
          <w:color w:val="000000" w:themeColor="text1"/>
        </w:rPr>
        <w:fldChar w:fldCharType="separate"/>
      </w:r>
      <w:r>
        <w:rPr>
          <w:color w:val="000000" w:themeColor="text1"/>
        </w:rPr>
        <w:t>292</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"_Toc30237" </w:instrText>
      </w:r>
      <w:r>
        <w:rPr>
          <w:color w:val="000000" w:themeColor="text1"/>
        </w:rPr>
        <w:fldChar w:fldCharType="separate"/>
      </w:r>
      <w:r>
        <w:rPr>
          <w:rFonts w:hint="eastAsia" w:ascii="黑体" w:hAnsi="黑体" w:eastAsia="黑体" w:cs="黑体"/>
          <w:bCs/>
          <w:color w:val="000000" w:themeColor="text1"/>
          <w:spacing w:val="1"/>
          <w:szCs w:val="28"/>
        </w:rPr>
        <w:t>七、本溪市生态环境局环境行政处罚裁量规则(排污许可类)</w:t>
      </w:r>
      <w:r>
        <w:rPr>
          <w:color w:val="000000" w:themeColor="text1"/>
        </w:rPr>
        <w:tab/>
      </w:r>
      <w:r>
        <w:rPr>
          <w:color w:val="000000" w:themeColor="text1"/>
        </w:rPr>
        <w:fldChar w:fldCharType="begin"/>
      </w:r>
      <w:r>
        <w:rPr>
          <w:color w:val="000000" w:themeColor="text1"/>
        </w:rPr>
        <w:instrText xml:space="preserve"> PAGEREF _Toc30237 \h </w:instrText>
      </w:r>
      <w:r>
        <w:rPr>
          <w:color w:val="000000" w:themeColor="text1"/>
        </w:rPr>
        <w:fldChar w:fldCharType="separate"/>
      </w:r>
      <w:r>
        <w:rPr>
          <w:color w:val="000000" w:themeColor="text1"/>
        </w:rPr>
        <w:t>294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"_Toc4870"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141</w:t>
      </w:r>
      <w:r>
        <w:rPr>
          <w:rFonts w:hint="eastAsia" w:ascii="仿宋" w:hAnsi="仿宋" w:eastAsia="仿宋" w:cs="仿宋"/>
          <w:bCs/>
          <w:color w:val="000000" w:themeColor="text1"/>
          <w:kern w:val="0"/>
          <w:lang w:val="zh-CN"/>
        </w:rPr>
        <w:t>违反排污许可管理制度罚款幅度裁定</w:t>
      </w:r>
      <w:r>
        <w:rPr>
          <w:color w:val="000000" w:themeColor="text1"/>
        </w:rPr>
        <w:tab/>
      </w:r>
      <w:r>
        <w:rPr>
          <w:color w:val="000000" w:themeColor="text1"/>
        </w:rPr>
        <w:fldChar w:fldCharType="begin"/>
      </w:r>
      <w:r>
        <w:rPr>
          <w:color w:val="000000" w:themeColor="text1"/>
        </w:rPr>
        <w:instrText xml:space="preserve"> PAGEREF _Toc4870 \h </w:instrText>
      </w:r>
      <w:r>
        <w:rPr>
          <w:color w:val="000000" w:themeColor="text1"/>
        </w:rPr>
        <w:fldChar w:fldCharType="separate"/>
      </w:r>
      <w:r>
        <w:rPr>
          <w:color w:val="000000" w:themeColor="text1"/>
        </w:rPr>
        <w:t>294</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"_Toc28081" </w:instrText>
      </w:r>
      <w:r>
        <w:rPr>
          <w:color w:val="000000" w:themeColor="text1"/>
        </w:rPr>
        <w:fldChar w:fldCharType="separate"/>
      </w:r>
      <w:r>
        <w:rPr>
          <w:rFonts w:hint="eastAsia" w:ascii="黑体" w:hAnsi="黑体" w:eastAsia="黑体" w:cs="黑体"/>
          <w:bCs/>
          <w:color w:val="000000" w:themeColor="text1"/>
          <w:spacing w:val="1"/>
          <w:szCs w:val="28"/>
        </w:rPr>
        <w:t>八、辽宁省生态环境行政处罚裁量规则(其他类)</w:t>
      </w:r>
      <w:r>
        <w:rPr>
          <w:color w:val="000000" w:themeColor="text1"/>
        </w:rPr>
        <w:tab/>
      </w:r>
      <w:r>
        <w:rPr>
          <w:color w:val="000000" w:themeColor="text1"/>
        </w:rPr>
        <w:fldChar w:fldCharType="begin"/>
      </w:r>
      <w:r>
        <w:rPr>
          <w:color w:val="000000" w:themeColor="text1"/>
        </w:rPr>
        <w:instrText xml:space="preserve"> PAGEREF _Toc28081 \h </w:instrText>
      </w:r>
      <w:r>
        <w:rPr>
          <w:color w:val="000000" w:themeColor="text1"/>
        </w:rPr>
        <w:fldChar w:fldCharType="separate"/>
      </w:r>
      <w:r>
        <w:rPr>
          <w:color w:val="000000" w:themeColor="text1"/>
        </w:rPr>
        <w:t>297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"_Toc21612" </w:instrText>
      </w:r>
      <w:r>
        <w:rPr>
          <w:color w:val="000000" w:themeColor="text1"/>
        </w:rPr>
        <w:fldChar w:fldCharType="separate"/>
      </w:r>
      <w:r>
        <w:rPr>
          <w:rFonts w:hint="eastAsia" w:ascii="仿宋" w:hAnsi="仿宋" w:eastAsia="仿宋" w:cs="仿宋"/>
          <w:bCs/>
          <w:color w:val="000000" w:themeColor="text1"/>
        </w:rPr>
        <w:t>表142在禁止养殖区域内建设畜禽养殖场、养殖小区的罚款幅度裁定</w:t>
      </w:r>
      <w:r>
        <w:rPr>
          <w:color w:val="000000" w:themeColor="text1"/>
        </w:rPr>
        <w:tab/>
      </w:r>
      <w:r>
        <w:rPr>
          <w:color w:val="000000" w:themeColor="text1"/>
        </w:rPr>
        <w:fldChar w:fldCharType="begin"/>
      </w:r>
      <w:r>
        <w:rPr>
          <w:color w:val="000000" w:themeColor="text1"/>
        </w:rPr>
        <w:instrText xml:space="preserve"> PAGEREF _Toc21612 \h </w:instrText>
      </w:r>
      <w:r>
        <w:rPr>
          <w:color w:val="000000" w:themeColor="text1"/>
        </w:rPr>
        <w:fldChar w:fldCharType="separate"/>
      </w:r>
      <w:r>
        <w:rPr>
          <w:color w:val="000000" w:themeColor="text1"/>
        </w:rPr>
        <w:t>297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"_Toc23345" </w:instrText>
      </w:r>
      <w:r>
        <w:rPr>
          <w:color w:val="000000" w:themeColor="text1"/>
        </w:rPr>
        <w:fldChar w:fldCharType="separate"/>
      </w:r>
      <w:r>
        <w:rPr>
          <w:rFonts w:hint="eastAsia" w:ascii="仿宋" w:hAnsi="仿宋" w:eastAsia="仿宋" w:cs="仿宋"/>
          <w:bCs/>
          <w:color w:val="000000" w:themeColor="text1"/>
        </w:rPr>
        <w:t>表143在饮用水水源保护区建设畜禽养殖场、养殖小区的罚款幅度裁定</w:t>
      </w:r>
      <w:r>
        <w:rPr>
          <w:color w:val="000000" w:themeColor="text1"/>
        </w:rPr>
        <w:tab/>
      </w:r>
      <w:r>
        <w:rPr>
          <w:color w:val="000000" w:themeColor="text1"/>
        </w:rPr>
        <w:fldChar w:fldCharType="begin"/>
      </w:r>
      <w:r>
        <w:rPr>
          <w:color w:val="000000" w:themeColor="text1"/>
        </w:rPr>
        <w:instrText xml:space="preserve"> PAGEREF _Toc23345 \h </w:instrText>
      </w:r>
      <w:r>
        <w:rPr>
          <w:color w:val="000000" w:themeColor="text1"/>
        </w:rPr>
        <w:fldChar w:fldCharType="separate"/>
      </w:r>
      <w:r>
        <w:rPr>
          <w:color w:val="000000" w:themeColor="text1"/>
        </w:rPr>
        <w:t>299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"_Toc30834" </w:instrText>
      </w:r>
      <w:r>
        <w:rPr>
          <w:color w:val="000000" w:themeColor="text1"/>
        </w:rPr>
        <w:fldChar w:fldCharType="separate"/>
      </w:r>
      <w:r>
        <w:rPr>
          <w:rFonts w:hint="eastAsia" w:ascii="仿宋" w:hAnsi="仿宋" w:eastAsia="仿宋" w:cs="仿宋"/>
          <w:bCs/>
          <w:color w:val="000000" w:themeColor="text1"/>
        </w:rPr>
        <w:t>表144畜禽养殖场、养殖小区依法应当进行环境影响评价而未进行的罚款幅度裁定</w:t>
      </w:r>
      <w:r>
        <w:rPr>
          <w:color w:val="000000" w:themeColor="text1"/>
        </w:rPr>
        <w:tab/>
      </w:r>
      <w:r>
        <w:rPr>
          <w:color w:val="000000" w:themeColor="text1"/>
        </w:rPr>
        <w:fldChar w:fldCharType="begin"/>
      </w:r>
      <w:r>
        <w:rPr>
          <w:color w:val="000000" w:themeColor="text1"/>
        </w:rPr>
        <w:instrText xml:space="preserve"> PAGEREF _Toc30834 \h </w:instrText>
      </w:r>
      <w:r>
        <w:rPr>
          <w:color w:val="000000" w:themeColor="text1"/>
        </w:rPr>
        <w:fldChar w:fldCharType="separate"/>
      </w:r>
      <w:r>
        <w:rPr>
          <w:color w:val="000000" w:themeColor="text1"/>
        </w:rPr>
        <w:t>301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"_Toc9395" </w:instrText>
      </w:r>
      <w:r>
        <w:rPr>
          <w:color w:val="000000" w:themeColor="text1"/>
        </w:rPr>
        <w:fldChar w:fldCharType="separate"/>
      </w:r>
      <w:r>
        <w:rPr>
          <w:rFonts w:hint="eastAsia" w:ascii="仿宋" w:hAnsi="仿宋" w:eastAsia="仿宋" w:cs="仿宋"/>
          <w:bCs/>
          <w:color w:val="000000" w:themeColor="text1"/>
        </w:rPr>
        <w:t>表145未建设污染防治配套设施或者自行建设的配套设施不合格，也未委托他人对畜禽养殖废弃物进行综合利用和无害化处理，畜禽养殖场、养殖小区即投入生产、使用，或者建设的污染防治配套设施未正常运行的罚款幅度裁定</w:t>
      </w:r>
      <w:r>
        <w:rPr>
          <w:color w:val="000000" w:themeColor="text1"/>
        </w:rPr>
        <w:tab/>
      </w:r>
      <w:r>
        <w:rPr>
          <w:color w:val="000000" w:themeColor="text1"/>
        </w:rPr>
        <w:fldChar w:fldCharType="begin"/>
      </w:r>
      <w:r>
        <w:rPr>
          <w:color w:val="000000" w:themeColor="text1"/>
        </w:rPr>
        <w:instrText xml:space="preserve"> PAGEREF _Toc9395 \h </w:instrText>
      </w:r>
      <w:r>
        <w:rPr>
          <w:color w:val="000000" w:themeColor="text1"/>
        </w:rPr>
        <w:fldChar w:fldCharType="separate"/>
      </w:r>
      <w:r>
        <w:rPr>
          <w:color w:val="000000" w:themeColor="text1"/>
        </w:rPr>
        <w:t>303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"_Toc2515" </w:instrText>
      </w:r>
      <w:r>
        <w:rPr>
          <w:color w:val="000000" w:themeColor="text1"/>
        </w:rPr>
        <w:fldChar w:fldCharType="separate"/>
      </w:r>
      <w:r>
        <w:rPr>
          <w:rFonts w:hint="eastAsia" w:ascii="仿宋" w:hAnsi="仿宋" w:eastAsia="仿宋" w:cs="仿宋"/>
          <w:bCs/>
          <w:color w:val="000000" w:themeColor="text1"/>
        </w:rPr>
        <w:t>表146排放畜禽养殖废弃物不符合国家或者地方规定的污染物排放标准或者总量控制指标，或者未经无害化处理直接向环境排放畜禽养殖废弃物</w:t>
      </w:r>
      <w:r>
        <w:rPr>
          <w:color w:val="000000" w:themeColor="text1"/>
        </w:rPr>
        <w:tab/>
      </w:r>
      <w:r>
        <w:rPr>
          <w:color w:val="000000" w:themeColor="text1"/>
        </w:rPr>
        <w:fldChar w:fldCharType="begin"/>
      </w:r>
      <w:r>
        <w:rPr>
          <w:color w:val="000000" w:themeColor="text1"/>
        </w:rPr>
        <w:instrText xml:space="preserve"> PAGEREF _Toc2515 \h </w:instrText>
      </w:r>
      <w:r>
        <w:rPr>
          <w:color w:val="000000" w:themeColor="text1"/>
        </w:rPr>
        <w:fldChar w:fldCharType="separate"/>
      </w:r>
      <w:r>
        <w:rPr>
          <w:color w:val="000000" w:themeColor="text1"/>
        </w:rPr>
        <w:t>305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"_Toc31485" </w:instrText>
      </w:r>
      <w:r>
        <w:rPr>
          <w:color w:val="000000" w:themeColor="text1"/>
        </w:rPr>
        <w:fldChar w:fldCharType="separate"/>
      </w:r>
      <w:r>
        <w:rPr>
          <w:rFonts w:hint="eastAsia" w:ascii="仿宋" w:hAnsi="仿宋" w:eastAsia="仿宋" w:cs="仿宋"/>
          <w:bCs/>
          <w:color w:val="000000" w:themeColor="text1"/>
        </w:rPr>
        <w:t>表147不实施强制性清洁生产审核或者在清洁生产审核中弄虚作假的，或者实施强制性清洁生产审核的企业不报告或者不如实报告审核结果的罚款幅度裁定</w:t>
      </w:r>
      <w:r>
        <w:rPr>
          <w:color w:val="000000" w:themeColor="text1"/>
        </w:rPr>
        <w:tab/>
      </w:r>
      <w:r>
        <w:rPr>
          <w:color w:val="000000" w:themeColor="text1"/>
        </w:rPr>
        <w:fldChar w:fldCharType="begin"/>
      </w:r>
      <w:r>
        <w:rPr>
          <w:color w:val="000000" w:themeColor="text1"/>
        </w:rPr>
        <w:instrText xml:space="preserve"> PAGEREF _Toc31485 \h </w:instrText>
      </w:r>
      <w:r>
        <w:rPr>
          <w:color w:val="000000" w:themeColor="text1"/>
        </w:rPr>
        <w:fldChar w:fldCharType="separate"/>
      </w:r>
      <w:r>
        <w:rPr>
          <w:color w:val="000000" w:themeColor="text1"/>
        </w:rPr>
        <w:t>307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"_Toc27470"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148</w:t>
      </w:r>
      <w:r>
        <w:rPr>
          <w:rFonts w:hint="eastAsia" w:ascii="仿宋" w:hAnsi="仿宋" w:eastAsia="仿宋" w:cs="仿宋"/>
          <w:bCs/>
          <w:color w:val="000000" w:themeColor="text1"/>
          <w:kern w:val="0"/>
          <w:lang w:val="zh-CN"/>
        </w:rPr>
        <w:t>噪声超标的罚款幅度裁定通用表</w:t>
      </w:r>
      <w:r>
        <w:rPr>
          <w:color w:val="000000" w:themeColor="text1"/>
        </w:rPr>
        <w:tab/>
      </w:r>
      <w:r>
        <w:rPr>
          <w:color w:val="000000" w:themeColor="text1"/>
        </w:rPr>
        <w:fldChar w:fldCharType="begin"/>
      </w:r>
      <w:r>
        <w:rPr>
          <w:color w:val="000000" w:themeColor="text1"/>
        </w:rPr>
        <w:instrText xml:space="preserve"> PAGEREF _Toc27470 \h </w:instrText>
      </w:r>
      <w:r>
        <w:rPr>
          <w:color w:val="000000" w:themeColor="text1"/>
        </w:rPr>
        <w:fldChar w:fldCharType="separate"/>
      </w:r>
      <w:r>
        <w:rPr>
          <w:color w:val="000000" w:themeColor="text1"/>
        </w:rPr>
        <w:t>309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"_Toc7835"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149-1</w:t>
      </w:r>
      <w:r>
        <w:rPr>
          <w:rFonts w:hint="eastAsia" w:ascii="仿宋" w:hAnsi="仿宋" w:eastAsia="仿宋" w:cs="仿宋"/>
          <w:bCs/>
          <w:color w:val="000000" w:themeColor="text1"/>
          <w:kern w:val="0"/>
          <w:lang w:val="zh-CN"/>
        </w:rPr>
        <w:t>噪声的罚款幅度裁定通用表</w:t>
      </w:r>
      <w:r>
        <w:rPr>
          <w:color w:val="000000" w:themeColor="text1"/>
        </w:rPr>
        <w:tab/>
      </w:r>
      <w:r>
        <w:rPr>
          <w:color w:val="000000" w:themeColor="text1"/>
        </w:rPr>
        <w:fldChar w:fldCharType="begin"/>
      </w:r>
      <w:r>
        <w:rPr>
          <w:color w:val="000000" w:themeColor="text1"/>
        </w:rPr>
        <w:instrText xml:space="preserve"> PAGEREF _Toc7835 \h </w:instrText>
      </w:r>
      <w:r>
        <w:rPr>
          <w:color w:val="000000" w:themeColor="text1"/>
        </w:rPr>
        <w:fldChar w:fldCharType="separate"/>
      </w:r>
      <w:r>
        <w:rPr>
          <w:color w:val="000000" w:themeColor="text1"/>
        </w:rPr>
        <w:t>310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"_Toc18661"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149-2</w:t>
      </w:r>
      <w:r>
        <w:rPr>
          <w:rFonts w:hint="eastAsia" w:ascii="仿宋" w:hAnsi="仿宋" w:eastAsia="仿宋" w:cs="仿宋"/>
          <w:bCs/>
          <w:color w:val="000000" w:themeColor="text1"/>
          <w:kern w:val="0"/>
          <w:lang w:val="zh-CN"/>
        </w:rPr>
        <w:t>噪声的罚款幅度裁定通用表</w:t>
      </w:r>
      <w:r>
        <w:rPr>
          <w:color w:val="000000" w:themeColor="text1"/>
        </w:rPr>
        <w:tab/>
      </w:r>
      <w:r>
        <w:rPr>
          <w:color w:val="000000" w:themeColor="text1"/>
        </w:rPr>
        <w:fldChar w:fldCharType="begin"/>
      </w:r>
      <w:r>
        <w:rPr>
          <w:color w:val="000000" w:themeColor="text1"/>
        </w:rPr>
        <w:instrText xml:space="preserve"> PAGEREF _Toc18661 \h </w:instrText>
      </w:r>
      <w:r>
        <w:rPr>
          <w:color w:val="000000" w:themeColor="text1"/>
        </w:rPr>
        <w:fldChar w:fldCharType="separate"/>
      </w:r>
      <w:r>
        <w:rPr>
          <w:color w:val="000000" w:themeColor="text1"/>
        </w:rPr>
        <w:t>311</w:t>
      </w:r>
      <w:r>
        <w:rPr>
          <w:color w:val="000000" w:themeColor="text1"/>
        </w:rPr>
        <w:fldChar w:fldCharType="end"/>
      </w:r>
      <w:r>
        <w:rPr>
          <w:color w:val="000000" w:themeColor="text1"/>
        </w:rPr>
        <w:fldChar w:fldCharType="end"/>
      </w:r>
    </w:p>
    <w:p>
      <w:pPr>
        <w:spacing w:line="600" w:lineRule="exact"/>
        <w:jc w:val="center"/>
        <w:rPr>
          <w:rFonts w:ascii="黑体" w:hAnsi="黑体" w:eastAsia="黑体" w:cs="黑体"/>
          <w:color w:val="000000" w:themeColor="text1"/>
          <w:sz w:val="28"/>
          <w:szCs w:val="28"/>
        </w:rPr>
      </w:pPr>
      <w:r>
        <w:rPr>
          <w:rFonts w:hint="eastAsia" w:ascii="黑体" w:hAnsi="黑体" w:eastAsia="黑体" w:cs="黑体"/>
          <w:color w:val="000000" w:themeColor="text1"/>
          <w:szCs w:val="28"/>
        </w:rPr>
        <w:fldChar w:fldCharType="end"/>
      </w: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outlineLvl w:val="2"/>
        <w:rPr>
          <w:rFonts w:ascii="黑体" w:hAnsi="黑体" w:eastAsia="黑体" w:cs="黑体"/>
          <w:color w:val="000000" w:themeColor="text1"/>
          <w:sz w:val="28"/>
          <w:szCs w:val="28"/>
        </w:rPr>
      </w:pPr>
      <w:bookmarkStart w:id="70" w:name="_Toc21316"/>
      <w:r>
        <w:rPr>
          <w:rFonts w:hint="eastAsia" w:ascii="黑体" w:hAnsi="黑体" w:eastAsia="黑体" w:cs="黑体"/>
          <w:color w:val="000000" w:themeColor="text1"/>
          <w:sz w:val="28"/>
          <w:szCs w:val="28"/>
        </w:rPr>
        <w:t>一、本溪市生态环境局环境行政处罚裁量规则（环评类）</w:t>
      </w:r>
      <w:bookmarkEnd w:id="68"/>
      <w:bookmarkEnd w:id="69"/>
      <w:bookmarkEnd w:id="70"/>
    </w:p>
    <w:p>
      <w:pPr>
        <w:ind w:right="901"/>
        <w:jc w:val="center"/>
        <w:outlineLvl w:val="3"/>
        <w:rPr>
          <w:rFonts w:ascii="仿宋" w:hAnsi="仿宋" w:eastAsia="仿宋" w:cs="仿宋"/>
          <w:b/>
          <w:bCs/>
          <w:color w:val="000000" w:themeColor="text1"/>
          <w:kern w:val="0"/>
          <w:sz w:val="24"/>
          <w:lang w:val="zh-CN"/>
        </w:rPr>
      </w:pPr>
      <w:bookmarkStart w:id="71" w:name="_Toc3236"/>
      <w:bookmarkStart w:id="72" w:name="_Toc27957"/>
      <w:bookmarkStart w:id="73" w:name="_Toc28957"/>
      <w:bookmarkStart w:id="74" w:name="_Toc30606"/>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zh-CN"/>
        </w:rPr>
        <w:t xml:space="preserve"> 未依法报批或未重新报批或报请重新审核环境影响报告书、报告表的罚款幅度裁定</w:t>
      </w:r>
      <w:bookmarkEnd w:id="71"/>
      <w:bookmarkEnd w:id="72"/>
      <w:bookmarkEnd w:id="73"/>
      <w:bookmarkEnd w:id="74"/>
    </w:p>
    <w:tbl>
      <w:tblPr>
        <w:tblStyle w:val="15"/>
        <w:tblpPr w:leftFromText="180" w:rightFromText="180" w:vertAnchor="text" w:horzAnchor="page" w:tblpX="1616" w:tblpY="264"/>
        <w:tblOverlap w:val="never"/>
        <w:tblW w:w="89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841"/>
        <w:gridCol w:w="1180"/>
        <w:gridCol w:w="1357"/>
        <w:gridCol w:w="1661"/>
        <w:gridCol w:w="1640"/>
        <w:gridCol w:w="790"/>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69" w:hRule="atLeast"/>
        </w:trPr>
        <w:tc>
          <w:tcPr>
            <w:tcW w:w="29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bookmarkStart w:id="75" w:name="_Toc20447"/>
            <w:r>
              <w:rPr>
                <w:rFonts w:hint="eastAsia" w:ascii="仿宋_GB2312" w:hAnsi="仿宋_GB2312" w:eastAsia="仿宋_GB2312" w:cs="仿宋_GB2312"/>
                <w:color w:val="000000" w:themeColor="text1"/>
                <w:spacing w:val="-4"/>
                <w:sz w:val="18"/>
                <w:szCs w:val="18"/>
              </w:rPr>
              <w:t>裁量要素</w:t>
            </w:r>
          </w:p>
        </w:tc>
        <w:tc>
          <w:tcPr>
            <w:tcW w:w="601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6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要素</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具体条件</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构成比例</w:t>
            </w: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程度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69"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95"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15%</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6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6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30%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建设生产情况</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已开工建设但主体工程未建成的</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2"/>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主体工程已投入生产或者使用的</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30%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20"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pacing w:val="-4"/>
                <w:sz w:val="18"/>
                <w:szCs w:val="18"/>
              </w:rPr>
              <w:t>检查</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20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15"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15"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是否及时整改</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及时停止建设的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52"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357"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拒不停止</w:t>
            </w:r>
          </w:p>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建设的</w:t>
            </w:r>
          </w:p>
        </w:tc>
        <w:tc>
          <w:tcPr>
            <w:tcW w:w="330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40"/>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未停止建设，已编制环境影响文件的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5%</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357"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30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未停止建设，且未编制环境影响文件的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15"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是否造成社会影响</w:t>
            </w:r>
            <w:r>
              <w:rPr>
                <w:rFonts w:hint="eastAsia" w:ascii="仿宋_GB2312" w:hAnsi="仿宋_GB2312" w:eastAsia="仿宋_GB2312" w:cs="仿宋_GB2312"/>
                <w:color w:val="000000" w:themeColor="text1"/>
                <w:spacing w:val="-3"/>
                <w:sz w:val="18"/>
                <w:szCs w:val="18"/>
              </w:rPr>
              <w:t>或生态破坏</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20"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20"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15"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15%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20"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20%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780" w:hRule="atLeast"/>
        </w:trPr>
        <w:tc>
          <w:tcPr>
            <w:tcW w:w="8959" w:type="dxa"/>
            <w:gridSpan w:val="8"/>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计算公式：罚款金额＝建设项目总投资额×1%～5%（由总百分值确定），但罚款金额不能低于建设项目总投资额的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853" w:hRule="atLeast"/>
        </w:trPr>
        <w:tc>
          <w:tcPr>
            <w:tcW w:w="8959" w:type="dxa"/>
            <w:gridSpan w:val="8"/>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bookmarkEnd w:id="75"/>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1.《中华人民共和国环境影响评价法》第二十二条第一款：建设项目的环境影响报告书、报告表，由建设单位按照国务院的规定报有审批权的生态环境主管部门审批。</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二十四条：建设项目的环境影响评价文件经批准后，建设项目的性质、规模、地点、采用的生产工艺或者防治污染、防止生态破坏的措施发生重大变动的，建设单位应当重新报批建设项目的环境影响评价文件。</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pacing w:before="73"/>
        <w:ind w:left="113" w:right="108" w:firstLine="420" w:firstLineChars="200"/>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                        总百分值表</w:t>
      </w:r>
    </w:p>
    <w:tbl>
      <w:tblPr>
        <w:tblStyle w:val="12"/>
        <w:tblpPr w:leftFromText="180" w:rightFromText="180" w:vertAnchor="text" w:horzAnchor="page" w:tblpX="2832" w:tblpY="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9"/>
        <w:gridCol w:w="3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939" w:type="dxa"/>
          </w:tcPr>
          <w:p>
            <w:pPr>
              <w:pStyle w:val="16"/>
              <w:spacing w:before="38"/>
              <w:ind w:left="582"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总百分值</w:t>
            </w:r>
          </w:p>
        </w:tc>
        <w:tc>
          <w:tcPr>
            <w:tcW w:w="3066" w:type="dxa"/>
          </w:tcPr>
          <w:p>
            <w:pPr>
              <w:pStyle w:val="16"/>
              <w:spacing w:before="38"/>
              <w:ind w:left="403"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939" w:type="dxa"/>
          </w:tcPr>
          <w:p>
            <w:pPr>
              <w:pStyle w:val="16"/>
              <w:spacing w:before="38"/>
              <w:ind w:left="581"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百分值≤20%</w:t>
            </w:r>
          </w:p>
        </w:tc>
        <w:tc>
          <w:tcPr>
            <w:tcW w:w="3066"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 w:hRule="atLeast"/>
        </w:trPr>
        <w:tc>
          <w:tcPr>
            <w:tcW w:w="2939" w:type="dxa"/>
            <w:tcBorders>
              <w:bottom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20%＜百分值≤</w:t>
            </w:r>
            <w:r>
              <w:rPr>
                <w:rFonts w:hint="eastAsia" w:ascii="仿宋_GB2312" w:hAnsi="仿宋_GB2312" w:eastAsia="仿宋_GB2312" w:cs="仿宋_GB2312"/>
                <w:color w:val="000000" w:themeColor="text1"/>
                <w:sz w:val="18"/>
                <w:lang w:val="en-US"/>
              </w:rPr>
              <w:t>3</w:t>
            </w:r>
            <w:r>
              <w:rPr>
                <w:rFonts w:hint="eastAsia" w:ascii="仿宋_GB2312" w:hAnsi="仿宋_GB2312" w:eastAsia="仿宋_GB2312" w:cs="仿宋_GB2312"/>
                <w:color w:val="000000" w:themeColor="text1"/>
                <w:sz w:val="18"/>
              </w:rPr>
              <w:t>0%</w:t>
            </w:r>
          </w:p>
        </w:tc>
        <w:tc>
          <w:tcPr>
            <w:tcW w:w="3066" w:type="dxa"/>
            <w:tcBorders>
              <w:bottom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1.5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hRule="atLeast"/>
        </w:trPr>
        <w:tc>
          <w:tcPr>
            <w:tcW w:w="2939" w:type="dxa"/>
            <w:tcBorders>
              <w:top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3</w:t>
            </w:r>
            <w:r>
              <w:rPr>
                <w:rFonts w:hint="eastAsia" w:ascii="仿宋_GB2312" w:hAnsi="仿宋_GB2312" w:eastAsia="仿宋_GB2312" w:cs="仿宋_GB2312"/>
                <w:color w:val="000000" w:themeColor="text1"/>
                <w:sz w:val="18"/>
              </w:rPr>
              <w:t>0%＜百分值≤40%</w:t>
            </w:r>
          </w:p>
        </w:tc>
        <w:tc>
          <w:tcPr>
            <w:tcW w:w="3066" w:type="dxa"/>
            <w:tcBorders>
              <w:top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2939" w:type="dxa"/>
            <w:tcBorders>
              <w:bottom w:val="single" w:color="auto" w:sz="4" w:space="0"/>
            </w:tcBorders>
          </w:tcPr>
          <w:p>
            <w:pPr>
              <w:pStyle w:val="16"/>
              <w:spacing w:before="40"/>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40%＜百分值≤</w:t>
            </w: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0%</w:t>
            </w:r>
          </w:p>
        </w:tc>
        <w:tc>
          <w:tcPr>
            <w:tcW w:w="3066" w:type="dxa"/>
            <w:tcBorders>
              <w:bottom w:val="single" w:color="auto" w:sz="4" w:space="0"/>
            </w:tcBorders>
          </w:tcPr>
          <w:p>
            <w:pPr>
              <w:pStyle w:val="16"/>
              <w:spacing w:before="40"/>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2.5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hRule="atLeast"/>
        </w:trPr>
        <w:tc>
          <w:tcPr>
            <w:tcW w:w="2939" w:type="dxa"/>
            <w:tcBorders>
              <w:top w:val="single" w:color="auto" w:sz="4" w:space="0"/>
            </w:tcBorders>
          </w:tcPr>
          <w:p>
            <w:pPr>
              <w:pStyle w:val="16"/>
              <w:spacing w:before="40"/>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0%＜百分值≤60%</w:t>
            </w:r>
          </w:p>
        </w:tc>
        <w:tc>
          <w:tcPr>
            <w:tcW w:w="3066" w:type="dxa"/>
            <w:tcBorders>
              <w:top w:val="single" w:color="auto" w:sz="4" w:space="0"/>
            </w:tcBorders>
          </w:tcPr>
          <w:p>
            <w:pPr>
              <w:pStyle w:val="16"/>
              <w:spacing w:before="40"/>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 w:hRule="atLeast"/>
        </w:trPr>
        <w:tc>
          <w:tcPr>
            <w:tcW w:w="2939" w:type="dxa"/>
            <w:tcBorders>
              <w:bottom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60%＜百分值≤</w:t>
            </w:r>
            <w:r>
              <w:rPr>
                <w:rFonts w:hint="eastAsia" w:ascii="仿宋_GB2312" w:hAnsi="仿宋_GB2312" w:eastAsia="仿宋_GB2312" w:cs="仿宋_GB2312"/>
                <w:color w:val="000000" w:themeColor="text1"/>
                <w:sz w:val="18"/>
                <w:lang w:val="en-US"/>
              </w:rPr>
              <w:t>7</w:t>
            </w:r>
            <w:r>
              <w:rPr>
                <w:rFonts w:hint="eastAsia" w:ascii="仿宋_GB2312" w:hAnsi="仿宋_GB2312" w:eastAsia="仿宋_GB2312" w:cs="仿宋_GB2312"/>
                <w:color w:val="000000" w:themeColor="text1"/>
                <w:sz w:val="18"/>
              </w:rPr>
              <w:t>0%</w:t>
            </w:r>
          </w:p>
        </w:tc>
        <w:tc>
          <w:tcPr>
            <w:tcW w:w="3066" w:type="dxa"/>
            <w:tcBorders>
              <w:bottom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3.5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 w:hRule="atLeast"/>
        </w:trPr>
        <w:tc>
          <w:tcPr>
            <w:tcW w:w="2939" w:type="dxa"/>
            <w:tcBorders>
              <w:top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7</w:t>
            </w:r>
            <w:r>
              <w:rPr>
                <w:rFonts w:hint="eastAsia" w:ascii="仿宋_GB2312" w:hAnsi="仿宋_GB2312" w:eastAsia="仿宋_GB2312" w:cs="仿宋_GB2312"/>
                <w:color w:val="000000" w:themeColor="text1"/>
                <w:sz w:val="18"/>
              </w:rPr>
              <w:t>0%＜百分值≤</w:t>
            </w:r>
            <w:r>
              <w:rPr>
                <w:rFonts w:hint="eastAsia" w:ascii="仿宋_GB2312" w:hAnsi="仿宋_GB2312" w:eastAsia="仿宋_GB2312" w:cs="仿宋_GB2312"/>
                <w:color w:val="000000" w:themeColor="text1"/>
                <w:sz w:val="18"/>
                <w:lang w:val="en-US"/>
              </w:rPr>
              <w:t>8</w:t>
            </w:r>
            <w:r>
              <w:rPr>
                <w:rFonts w:hint="eastAsia" w:ascii="仿宋_GB2312" w:hAnsi="仿宋_GB2312" w:eastAsia="仿宋_GB2312" w:cs="仿宋_GB2312"/>
                <w:color w:val="000000" w:themeColor="text1"/>
                <w:sz w:val="18"/>
              </w:rPr>
              <w:t>0%</w:t>
            </w:r>
          </w:p>
        </w:tc>
        <w:tc>
          <w:tcPr>
            <w:tcW w:w="3066" w:type="dxa"/>
            <w:tcBorders>
              <w:top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939" w:type="dxa"/>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8</w:t>
            </w:r>
            <w:r>
              <w:rPr>
                <w:rFonts w:hint="eastAsia" w:ascii="仿宋_GB2312" w:hAnsi="仿宋_GB2312" w:eastAsia="仿宋_GB2312" w:cs="仿宋_GB2312"/>
                <w:color w:val="000000" w:themeColor="text1"/>
                <w:sz w:val="18"/>
              </w:rPr>
              <w:t>0%＜百分值≤</w:t>
            </w:r>
            <w:r>
              <w:rPr>
                <w:rFonts w:hint="eastAsia" w:ascii="仿宋_GB2312" w:hAnsi="仿宋_GB2312" w:eastAsia="仿宋_GB2312" w:cs="仿宋_GB2312"/>
                <w:color w:val="000000" w:themeColor="text1"/>
                <w:sz w:val="18"/>
                <w:lang w:val="en-US"/>
              </w:rPr>
              <w:t>9</w:t>
            </w:r>
            <w:r>
              <w:rPr>
                <w:rFonts w:hint="eastAsia" w:ascii="仿宋_GB2312" w:hAnsi="仿宋_GB2312" w:eastAsia="仿宋_GB2312" w:cs="仿宋_GB2312"/>
                <w:color w:val="000000" w:themeColor="text1"/>
                <w:sz w:val="18"/>
              </w:rPr>
              <w:t>0%</w:t>
            </w:r>
          </w:p>
        </w:tc>
        <w:tc>
          <w:tcPr>
            <w:tcW w:w="3066"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4.5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939" w:type="dxa"/>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9</w:t>
            </w:r>
            <w:r>
              <w:rPr>
                <w:rFonts w:hint="eastAsia" w:ascii="仿宋_GB2312" w:hAnsi="仿宋_GB2312" w:eastAsia="仿宋_GB2312" w:cs="仿宋_GB2312"/>
                <w:color w:val="000000" w:themeColor="text1"/>
                <w:sz w:val="18"/>
              </w:rPr>
              <w:t>0%＜百分值≤100%</w:t>
            </w:r>
          </w:p>
        </w:tc>
        <w:tc>
          <w:tcPr>
            <w:tcW w:w="3066"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建设项目总投资额×5%</w:t>
            </w:r>
          </w:p>
        </w:tc>
      </w:tr>
    </w:tbl>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本表同时适用于《建设项目环境保护管理条例》第二十一条第一项：建设单位有下列行为之一的，依照《中华人民共和国环境影响评价法》的规定处罚：（一）建设项目环境影响报告书、环境影响报告表未依法报批或者报请重新审核，擅自开工建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5.《辽宁省环境保护条例》第七十条第二款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建设单位未依法提交建设项目环境影响评价文件或者环境影响评价文件未经批准，擅自开工建设并生产，违法排放污染物。</w:t>
      </w:r>
    </w:p>
    <w:p>
      <w:pPr>
        <w:spacing w:line="600" w:lineRule="exact"/>
        <w:ind w:firstLine="562" w:firstLineChars="200"/>
        <w:rPr>
          <w:rFonts w:ascii="楷体" w:hAnsi="楷体" w:eastAsia="楷体" w:cs="楷体"/>
          <w:b/>
          <w:bCs/>
          <w:color w:val="000000" w:themeColor="text1"/>
          <w:sz w:val="28"/>
          <w:szCs w:val="28"/>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tbl>
      <w:tblPr>
        <w:tblStyle w:val="15"/>
        <w:tblpPr w:leftFromText="180" w:rightFromText="180" w:vertAnchor="text" w:horzAnchor="page" w:tblpX="1439" w:tblpY="1306"/>
        <w:tblOverlap w:val="never"/>
        <w:tblW w:w="93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709"/>
        <w:gridCol w:w="859"/>
        <w:gridCol w:w="2523"/>
        <w:gridCol w:w="2441"/>
        <w:gridCol w:w="1213"/>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43" w:hRule="atLeast"/>
        </w:trPr>
        <w:tc>
          <w:tcPr>
            <w:tcW w:w="22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裁量要素</w:t>
            </w:r>
          </w:p>
        </w:tc>
        <w:tc>
          <w:tcPr>
            <w:tcW w:w="704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43"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要素</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具体条件</w:t>
            </w:r>
          </w:p>
        </w:tc>
        <w:tc>
          <w:tcPr>
            <w:tcW w:w="8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构成比例</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程度</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24"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40%</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违法行为持续1个月以下的</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7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6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违法行为持续1个月以上3个月以下的</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15%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7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7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违法行为持续3个月以上的</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25%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7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30%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54"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一年内</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违法次</w:t>
            </w:r>
            <w:r>
              <w:rPr>
                <w:rFonts w:hint="eastAsia" w:ascii="仿宋_GB2312" w:hAnsi="仿宋_GB2312" w:eastAsia="仿宋_GB2312" w:cs="仿宋_GB2312"/>
                <w:color w:val="000000" w:themeColor="text1"/>
                <w:sz w:val="18"/>
                <w:szCs w:val="18"/>
              </w:rPr>
              <w:t>数</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首次实施违法行为的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1"/>
                <w:sz w:val="18"/>
                <w:szCs w:val="18"/>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54"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再次实施违法行为的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9"/>
                <w:sz w:val="18"/>
                <w:szCs w:val="18"/>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54"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15%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54"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7"/>
                <w:sz w:val="18"/>
                <w:szCs w:val="18"/>
              </w:rPr>
              <w:t>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94"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pacing w:val="-4"/>
                <w:sz w:val="18"/>
                <w:szCs w:val="18"/>
              </w:rPr>
              <w:t>检查</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spacing w:before="20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lang w:val="en-US"/>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95"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是否及时整改</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及时停止建设的</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lang w:val="en-US"/>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09"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拒不停止</w:t>
            </w:r>
          </w:p>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建设的</w:t>
            </w: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07"/>
              <w:jc w:val="center"/>
              <w:rPr>
                <w:rStyle w:val="17"/>
                <w:rFonts w:hAnsi="仿宋_GB2312"/>
                <w:color w:val="000000" w:themeColor="text1"/>
                <w:lang w:val="en-US"/>
              </w:rPr>
            </w:pPr>
            <w:r>
              <w:rPr>
                <w:rFonts w:hint="eastAsia" w:ascii="仿宋_GB2312" w:hAnsi="仿宋_GB2312" w:eastAsia="仿宋_GB2312" w:cs="仿宋_GB2312"/>
                <w:color w:val="000000" w:themeColor="text1"/>
                <w:sz w:val="18"/>
                <w:szCs w:val="18"/>
              </w:rPr>
              <w:t>未停止建设，已编制环境影响文件的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0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Style w:val="17"/>
                <w:rFonts w:hAnsi="仿宋_GB2312"/>
                <w:color w:val="000000" w:themeColor="text1"/>
              </w:rPr>
            </w:pP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7"/>
              <w:jc w:val="center"/>
              <w:rPr>
                <w:rStyle w:val="17"/>
                <w:rFonts w:hAnsi="仿宋_GB2312"/>
                <w:color w:val="000000" w:themeColor="text1"/>
                <w:lang w:val="en-US"/>
              </w:rPr>
            </w:pPr>
            <w:r>
              <w:rPr>
                <w:rFonts w:hint="eastAsia" w:ascii="仿宋_GB2312" w:hAnsi="仿宋_GB2312" w:eastAsia="仿宋_GB2312" w:cs="仿宋_GB2312"/>
                <w:color w:val="000000" w:themeColor="text1"/>
                <w:sz w:val="18"/>
                <w:szCs w:val="18"/>
              </w:rPr>
              <w:t>未停止建设，且未编制环境影响文件的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95"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是否造成社会影响</w:t>
            </w:r>
            <w:r>
              <w:rPr>
                <w:rFonts w:hint="eastAsia" w:ascii="仿宋_GB2312" w:hAnsi="仿宋_GB2312" w:eastAsia="仿宋_GB2312" w:cs="仿宋_GB2312"/>
                <w:color w:val="000000" w:themeColor="text1"/>
                <w:spacing w:val="-3"/>
                <w:sz w:val="18"/>
                <w:szCs w:val="18"/>
              </w:rPr>
              <w:t>或生态破坏</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0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0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9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32"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32" w:hRule="atLeast"/>
        </w:trPr>
        <w:tc>
          <w:tcPr>
            <w:tcW w:w="9319" w:type="dxa"/>
            <w:gridSpan w:val="7"/>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罚款金额=建设项目总投资额×1%～5%（由总百分值确定），但罚款金额不能低于建设项目总投资额的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32" w:hRule="atLeast"/>
        </w:trPr>
        <w:tc>
          <w:tcPr>
            <w:tcW w:w="9319" w:type="dxa"/>
            <w:gridSpan w:val="7"/>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11"/>
                <w:w w:val="98"/>
                <w:sz w:val="18"/>
                <w:szCs w:val="18"/>
              </w:rPr>
              <w:t>建议处罚额：</w:t>
            </w:r>
          </w:p>
        </w:tc>
      </w:tr>
    </w:tbl>
    <w:p>
      <w:pPr>
        <w:spacing w:line="600" w:lineRule="exact"/>
        <w:jc w:val="center"/>
        <w:outlineLvl w:val="1"/>
        <w:rPr>
          <w:rFonts w:ascii="仿宋" w:hAnsi="仿宋" w:eastAsia="仿宋" w:cs="仿宋"/>
          <w:b/>
          <w:bCs/>
          <w:color w:val="000000" w:themeColor="text1"/>
          <w:kern w:val="0"/>
          <w:sz w:val="24"/>
          <w:lang w:val="zh-CN"/>
        </w:rPr>
      </w:pPr>
      <w:bookmarkStart w:id="76" w:name="_Toc6421"/>
      <w:bookmarkStart w:id="77" w:name="_Toc11616"/>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2</w:t>
      </w:r>
      <w:r>
        <w:rPr>
          <w:rFonts w:hint="eastAsia" w:ascii="仿宋" w:hAnsi="仿宋" w:eastAsia="仿宋" w:cs="仿宋"/>
          <w:b/>
          <w:bCs/>
          <w:color w:val="000000" w:themeColor="text1"/>
          <w:kern w:val="0"/>
          <w:sz w:val="24"/>
          <w:lang w:val="zh-CN"/>
        </w:rPr>
        <w:t xml:space="preserve"> 建设项目环境影响报告书、报告表未经批准或者未经原审批部门重新审核同意，建设单位擅自开工建设的的罚款幅度裁定</w:t>
      </w:r>
      <w:bookmarkEnd w:id="76"/>
      <w:bookmarkEnd w:id="77"/>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1.《中华人民共和国环境影响评价法》第二十五条：建设项目的环境影响评价文件未依法经审批部门审查或者审查后未予批准的，建设单位不得开工建设。</w:t>
      </w:r>
    </w:p>
    <w:p>
      <w:pPr>
        <w:spacing w:before="73"/>
        <w:ind w:right="108" w:firstLine="42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2.《中华人民共和国环境影响评价法》第三十一条第二款建设项目环境影响报告书、报告表未经批准或者未经原审批部门重新审核同意，建设单位擅自开工建设的，依照前款的规定处罚、处分。</w:t>
      </w:r>
    </w:p>
    <w:p>
      <w:pPr>
        <w:spacing w:before="73"/>
        <w:ind w:left="113" w:right="108" w:firstLine="42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Cs w:val="21"/>
        </w:rPr>
        <w:t>.                         总百分值表</w:t>
      </w:r>
    </w:p>
    <w:tbl>
      <w:tblPr>
        <w:tblStyle w:val="12"/>
        <w:tblpPr w:leftFromText="180" w:rightFromText="180" w:vertAnchor="text" w:horzAnchor="page" w:tblpX="2832" w:tblpY="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9"/>
        <w:gridCol w:w="3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3339" w:type="dxa"/>
          </w:tcPr>
          <w:p>
            <w:pPr>
              <w:pStyle w:val="16"/>
              <w:spacing w:before="38"/>
              <w:ind w:left="582"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总百分值</w:t>
            </w:r>
          </w:p>
        </w:tc>
        <w:tc>
          <w:tcPr>
            <w:tcW w:w="3100" w:type="dxa"/>
          </w:tcPr>
          <w:p>
            <w:pPr>
              <w:pStyle w:val="16"/>
              <w:spacing w:before="38"/>
              <w:ind w:left="403"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3339" w:type="dxa"/>
          </w:tcPr>
          <w:p>
            <w:pPr>
              <w:pStyle w:val="16"/>
              <w:spacing w:before="38"/>
              <w:ind w:left="581"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百分值≤20%</w:t>
            </w:r>
          </w:p>
        </w:tc>
        <w:tc>
          <w:tcPr>
            <w:tcW w:w="3100"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 w:hRule="atLeast"/>
        </w:trPr>
        <w:tc>
          <w:tcPr>
            <w:tcW w:w="3339" w:type="dxa"/>
            <w:tcBorders>
              <w:bottom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20%＜百分值≤</w:t>
            </w:r>
            <w:r>
              <w:rPr>
                <w:rFonts w:hint="eastAsia" w:ascii="仿宋_GB2312" w:hAnsi="仿宋_GB2312" w:eastAsia="仿宋_GB2312" w:cs="仿宋_GB2312"/>
                <w:color w:val="000000" w:themeColor="text1"/>
                <w:sz w:val="18"/>
                <w:lang w:val="en-US"/>
              </w:rPr>
              <w:t>3</w:t>
            </w:r>
            <w:r>
              <w:rPr>
                <w:rFonts w:hint="eastAsia" w:ascii="仿宋_GB2312" w:hAnsi="仿宋_GB2312" w:eastAsia="仿宋_GB2312" w:cs="仿宋_GB2312"/>
                <w:color w:val="000000" w:themeColor="text1"/>
                <w:sz w:val="18"/>
              </w:rPr>
              <w:t>0%</w:t>
            </w:r>
          </w:p>
        </w:tc>
        <w:tc>
          <w:tcPr>
            <w:tcW w:w="3100" w:type="dxa"/>
            <w:tcBorders>
              <w:bottom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1.5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hRule="atLeast"/>
        </w:trPr>
        <w:tc>
          <w:tcPr>
            <w:tcW w:w="3339" w:type="dxa"/>
            <w:tcBorders>
              <w:top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3</w:t>
            </w:r>
            <w:r>
              <w:rPr>
                <w:rFonts w:hint="eastAsia" w:ascii="仿宋_GB2312" w:hAnsi="仿宋_GB2312" w:eastAsia="仿宋_GB2312" w:cs="仿宋_GB2312"/>
                <w:color w:val="000000" w:themeColor="text1"/>
                <w:sz w:val="18"/>
              </w:rPr>
              <w:t>0%＜百分值≤40%</w:t>
            </w:r>
          </w:p>
        </w:tc>
        <w:tc>
          <w:tcPr>
            <w:tcW w:w="3100" w:type="dxa"/>
            <w:tcBorders>
              <w:top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3339" w:type="dxa"/>
            <w:tcBorders>
              <w:bottom w:val="single" w:color="auto" w:sz="4" w:space="0"/>
            </w:tcBorders>
          </w:tcPr>
          <w:p>
            <w:pPr>
              <w:pStyle w:val="16"/>
              <w:spacing w:before="40"/>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40%＜百分值≤</w:t>
            </w: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0%</w:t>
            </w:r>
          </w:p>
        </w:tc>
        <w:tc>
          <w:tcPr>
            <w:tcW w:w="3100" w:type="dxa"/>
            <w:tcBorders>
              <w:bottom w:val="single" w:color="auto" w:sz="4" w:space="0"/>
            </w:tcBorders>
          </w:tcPr>
          <w:p>
            <w:pPr>
              <w:pStyle w:val="16"/>
              <w:spacing w:before="40"/>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2.5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hRule="atLeast"/>
        </w:trPr>
        <w:tc>
          <w:tcPr>
            <w:tcW w:w="3339" w:type="dxa"/>
            <w:tcBorders>
              <w:top w:val="single" w:color="auto" w:sz="4" w:space="0"/>
            </w:tcBorders>
          </w:tcPr>
          <w:p>
            <w:pPr>
              <w:pStyle w:val="16"/>
              <w:spacing w:before="40"/>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0%＜百分值≤60%</w:t>
            </w:r>
          </w:p>
        </w:tc>
        <w:tc>
          <w:tcPr>
            <w:tcW w:w="3100" w:type="dxa"/>
            <w:tcBorders>
              <w:top w:val="single" w:color="auto" w:sz="4" w:space="0"/>
            </w:tcBorders>
          </w:tcPr>
          <w:p>
            <w:pPr>
              <w:pStyle w:val="16"/>
              <w:spacing w:before="40"/>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 w:hRule="atLeast"/>
        </w:trPr>
        <w:tc>
          <w:tcPr>
            <w:tcW w:w="3339" w:type="dxa"/>
            <w:tcBorders>
              <w:bottom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60%＜百分值≤</w:t>
            </w:r>
            <w:r>
              <w:rPr>
                <w:rFonts w:hint="eastAsia" w:ascii="仿宋_GB2312" w:hAnsi="仿宋_GB2312" w:eastAsia="仿宋_GB2312" w:cs="仿宋_GB2312"/>
                <w:color w:val="000000" w:themeColor="text1"/>
                <w:sz w:val="18"/>
                <w:lang w:val="en-US"/>
              </w:rPr>
              <w:t>7</w:t>
            </w:r>
            <w:r>
              <w:rPr>
                <w:rFonts w:hint="eastAsia" w:ascii="仿宋_GB2312" w:hAnsi="仿宋_GB2312" w:eastAsia="仿宋_GB2312" w:cs="仿宋_GB2312"/>
                <w:color w:val="000000" w:themeColor="text1"/>
                <w:sz w:val="18"/>
              </w:rPr>
              <w:t>0%</w:t>
            </w:r>
          </w:p>
        </w:tc>
        <w:tc>
          <w:tcPr>
            <w:tcW w:w="3100" w:type="dxa"/>
            <w:tcBorders>
              <w:bottom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3.5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 w:hRule="atLeast"/>
        </w:trPr>
        <w:tc>
          <w:tcPr>
            <w:tcW w:w="3339" w:type="dxa"/>
            <w:tcBorders>
              <w:top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7</w:t>
            </w:r>
            <w:r>
              <w:rPr>
                <w:rFonts w:hint="eastAsia" w:ascii="仿宋_GB2312" w:hAnsi="仿宋_GB2312" w:eastAsia="仿宋_GB2312" w:cs="仿宋_GB2312"/>
                <w:color w:val="000000" w:themeColor="text1"/>
                <w:sz w:val="18"/>
              </w:rPr>
              <w:t>0%＜百分值≤</w:t>
            </w:r>
            <w:r>
              <w:rPr>
                <w:rFonts w:hint="eastAsia" w:ascii="仿宋_GB2312" w:hAnsi="仿宋_GB2312" w:eastAsia="仿宋_GB2312" w:cs="仿宋_GB2312"/>
                <w:color w:val="000000" w:themeColor="text1"/>
                <w:sz w:val="18"/>
                <w:lang w:val="en-US"/>
              </w:rPr>
              <w:t>8</w:t>
            </w:r>
            <w:r>
              <w:rPr>
                <w:rFonts w:hint="eastAsia" w:ascii="仿宋_GB2312" w:hAnsi="仿宋_GB2312" w:eastAsia="仿宋_GB2312" w:cs="仿宋_GB2312"/>
                <w:color w:val="000000" w:themeColor="text1"/>
                <w:sz w:val="18"/>
              </w:rPr>
              <w:t>0%</w:t>
            </w:r>
          </w:p>
        </w:tc>
        <w:tc>
          <w:tcPr>
            <w:tcW w:w="3100" w:type="dxa"/>
            <w:tcBorders>
              <w:top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3339" w:type="dxa"/>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8</w:t>
            </w:r>
            <w:r>
              <w:rPr>
                <w:rFonts w:hint="eastAsia" w:ascii="仿宋_GB2312" w:hAnsi="仿宋_GB2312" w:eastAsia="仿宋_GB2312" w:cs="仿宋_GB2312"/>
                <w:color w:val="000000" w:themeColor="text1"/>
                <w:sz w:val="18"/>
              </w:rPr>
              <w:t>0%＜百分值≤</w:t>
            </w:r>
            <w:r>
              <w:rPr>
                <w:rFonts w:hint="eastAsia" w:ascii="仿宋_GB2312" w:hAnsi="仿宋_GB2312" w:eastAsia="仿宋_GB2312" w:cs="仿宋_GB2312"/>
                <w:color w:val="000000" w:themeColor="text1"/>
                <w:sz w:val="18"/>
                <w:lang w:val="en-US"/>
              </w:rPr>
              <w:t>9</w:t>
            </w:r>
            <w:r>
              <w:rPr>
                <w:rFonts w:hint="eastAsia" w:ascii="仿宋_GB2312" w:hAnsi="仿宋_GB2312" w:eastAsia="仿宋_GB2312" w:cs="仿宋_GB2312"/>
                <w:color w:val="000000" w:themeColor="text1"/>
                <w:sz w:val="18"/>
              </w:rPr>
              <w:t>0%</w:t>
            </w:r>
          </w:p>
        </w:tc>
        <w:tc>
          <w:tcPr>
            <w:tcW w:w="3100"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4.5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3339" w:type="dxa"/>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9</w:t>
            </w:r>
            <w:r>
              <w:rPr>
                <w:rFonts w:hint="eastAsia" w:ascii="仿宋_GB2312" w:hAnsi="仿宋_GB2312" w:eastAsia="仿宋_GB2312" w:cs="仿宋_GB2312"/>
                <w:color w:val="000000" w:themeColor="text1"/>
                <w:sz w:val="18"/>
              </w:rPr>
              <w:t>0%＜百分值≤100%</w:t>
            </w:r>
          </w:p>
        </w:tc>
        <w:tc>
          <w:tcPr>
            <w:tcW w:w="3100"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建设项目总投资额×5%</w:t>
            </w:r>
          </w:p>
        </w:tc>
      </w:tr>
    </w:tbl>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spacing w:before="73"/>
        <w:ind w:right="108" w:firstLine="420"/>
        <w:rPr>
          <w:rFonts w:ascii="仿宋_GB2312" w:hAnsi="仿宋_GB2312" w:eastAsia="仿宋_GB2312" w:cs="仿宋_GB2312"/>
          <w:color w:val="000000" w:themeColor="text1"/>
          <w:szCs w:val="21"/>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本表同时适用于《建设项目环境保护管理条例》第二十一条第二项：建设单位有下列行为之一的，依照《中华人民共和国环境影响评价法》的规定处罚：（二）建设项目环境影响报告书、环境影响报告表未经批准或者重新审核同意，擅自开工建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辽宁省环境保护条例》第七十条第二款：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建设单位未依法提交建设项目环境影响评价文件或者环境影响评价文件未经批准，擅自开工建设并生产，违法排放污染物。</w:t>
      </w:r>
    </w:p>
    <w:p>
      <w:pPr>
        <w:spacing w:line="600" w:lineRule="exact"/>
        <w:ind w:firstLine="562" w:firstLineChars="200"/>
        <w:rPr>
          <w:rFonts w:ascii="楷体" w:hAnsi="楷体" w:eastAsia="楷体" w:cs="楷体"/>
          <w:b/>
          <w:bCs/>
          <w:color w:val="000000" w:themeColor="text1"/>
          <w:sz w:val="28"/>
          <w:szCs w:val="28"/>
        </w:rPr>
      </w:pPr>
    </w:p>
    <w:p>
      <w:pPr>
        <w:spacing w:line="600" w:lineRule="exact"/>
        <w:ind w:firstLine="562" w:firstLineChars="200"/>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pStyle w:val="5"/>
        <w:ind w:right="901"/>
        <w:jc w:val="center"/>
        <w:rPr>
          <w:color w:val="000000" w:themeColor="text1"/>
          <w:kern w:val="0"/>
          <w:sz w:val="28"/>
          <w:szCs w:val="28"/>
          <w:lang w:val="en-US" w:bidi="ar-SA"/>
        </w:rPr>
      </w:pPr>
      <w:bookmarkStart w:id="78" w:name="_Toc21592"/>
    </w:p>
    <w:p>
      <w:pPr>
        <w:pStyle w:val="5"/>
        <w:ind w:right="901"/>
        <w:jc w:val="center"/>
        <w:rPr>
          <w:color w:val="000000" w:themeColor="text1"/>
          <w:kern w:val="0"/>
          <w:sz w:val="28"/>
          <w:szCs w:val="28"/>
          <w:lang w:val="en-US" w:bidi="ar-SA"/>
        </w:rPr>
      </w:pPr>
    </w:p>
    <w:p>
      <w:pPr>
        <w:pStyle w:val="5"/>
        <w:ind w:right="901"/>
        <w:jc w:val="center"/>
        <w:rPr>
          <w:color w:val="000000" w:themeColor="text1"/>
          <w:kern w:val="0"/>
          <w:sz w:val="24"/>
          <w:szCs w:val="24"/>
          <w:lang w:val="en-US" w:bidi="ar-SA"/>
        </w:rPr>
      </w:pPr>
      <w:bookmarkStart w:id="79" w:name="_Toc22432"/>
      <w:bookmarkStart w:id="80" w:name="_Toc19068"/>
      <w:bookmarkStart w:id="81" w:name="_Toc15847"/>
      <w:r>
        <w:rPr>
          <w:rFonts w:hint="eastAsia"/>
          <w:color w:val="000000" w:themeColor="text1"/>
          <w:kern w:val="0"/>
          <w:sz w:val="24"/>
          <w:szCs w:val="24"/>
          <w:lang w:val="en-US" w:bidi="ar-SA"/>
        </w:rPr>
        <w:t>表 3 未依法备案建设项目环境影响登记表的罚款幅度裁定</w:t>
      </w:r>
      <w:bookmarkEnd w:id="78"/>
      <w:bookmarkEnd w:id="79"/>
      <w:bookmarkEnd w:id="80"/>
      <w:bookmarkEnd w:id="81"/>
    </w:p>
    <w:tbl>
      <w:tblPr>
        <w:tblStyle w:val="15"/>
        <w:tblpPr w:leftFromText="180" w:rightFromText="180" w:vertAnchor="text" w:horzAnchor="page" w:tblpX="1812" w:tblpY="307"/>
        <w:tblOverlap w:val="never"/>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713"/>
        <w:gridCol w:w="747"/>
        <w:gridCol w:w="1162"/>
        <w:gridCol w:w="2319"/>
        <w:gridCol w:w="1524"/>
        <w:gridCol w:w="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0" w:hRule="atLeast"/>
        </w:trPr>
        <w:tc>
          <w:tcPr>
            <w:tcW w:w="246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9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违法行为危害</w:t>
            </w:r>
          </w:p>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的具体对象</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违法行为持续时间</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违法行为持续1个月以下的</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18"/>
                <w:rFonts w:hint="eastAsia" w:hAnsi="仿宋_GB2312"/>
                <w:color w:val="000000" w:themeColor="text1"/>
              </w:rPr>
              <w:t>不在保护区内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pacing w:val="-2"/>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违法行为持续1个月以上3个月以下的</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18"/>
                <w:rFonts w:hint="eastAsia" w:hAnsi="仿宋_GB2312"/>
                <w:color w:val="000000" w:themeColor="text1"/>
              </w:rPr>
              <w:t>不在保护区内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违法行为持续3个月以上的</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18"/>
                <w:rFonts w:hint="eastAsia" w:hAnsi="仿宋_GB2312"/>
                <w:color w:val="000000" w:themeColor="text1"/>
              </w:rPr>
              <w:t>不在保护区内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30%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40%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一年内</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违法次数</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46" w:line="212" w:lineRule="auto"/>
              <w:ind w:left="268" w:right="256"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是否配合执法检查</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查处后及时备案的（在规定时间内）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仍未及时备案的</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未在规定时限内备案</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拒不备案的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是否造成社会影响</w:t>
            </w:r>
            <w:r>
              <w:rPr>
                <w:rFonts w:hint="eastAsia" w:ascii="仿宋_GB2312" w:hAnsi="仿宋_GB2312" w:eastAsia="仿宋_GB2312" w:cs="仿宋_GB2312"/>
                <w:color w:val="000000" w:themeColor="text1"/>
                <w:spacing w:val="-3"/>
                <w:sz w:val="18"/>
                <w:szCs w:val="18"/>
              </w:rPr>
              <w:t>或生态破坏</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15%</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20%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439" w:type="dxa"/>
            <w:gridSpan w:val="7"/>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8439" w:type="dxa"/>
            <w:gridSpan w:val="7"/>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1.《中华人民共和国环境影响评价法》第二十二条第四款国家对环境影响登记表实行备案管理。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2.《中华人民共和国环境影响评价法》第三十一条第三款建设单位未依法备案建设项目环境影响登记表的，由县级以上生态环境主管部门责令备案，处5万元以下的罚款。</w:t>
      </w:r>
    </w:p>
    <w:p>
      <w:pPr>
        <w:pStyle w:val="4"/>
        <w:spacing w:before="62"/>
        <w:ind w:left="0" w:firstLine="562" w:firstLineChars="200"/>
        <w:rPr>
          <w:rFonts w:ascii="楷体" w:hAnsi="楷体" w:eastAsia="楷体" w:cs="楷体"/>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5"/>
        <w:ind w:left="0" w:right="901"/>
        <w:rPr>
          <w:color w:val="000000" w:themeColor="text1"/>
          <w:kern w:val="0"/>
          <w:sz w:val="28"/>
          <w:szCs w:val="28"/>
          <w:lang w:val="en-US" w:bidi="ar-SA"/>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tbl>
      <w:tblPr>
        <w:tblStyle w:val="12"/>
        <w:tblpPr w:leftFromText="180" w:rightFromText="180" w:vertAnchor="text" w:horzAnchor="page" w:tblpX="1623" w:tblpY="1072"/>
        <w:tblOverlap w:val="never"/>
        <w:tblW w:w="8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091"/>
        <w:gridCol w:w="1133"/>
        <w:gridCol w:w="2520"/>
        <w:gridCol w:w="1135"/>
        <w:gridCol w:w="1161"/>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2956" w:type="dxa"/>
            <w:gridSpan w:val="3"/>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裁量要素</w:t>
            </w:r>
          </w:p>
        </w:tc>
        <w:tc>
          <w:tcPr>
            <w:tcW w:w="5703" w:type="dxa"/>
            <w:gridSpan w:val="4"/>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732"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091"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1133"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构成比例</w:t>
            </w:r>
          </w:p>
        </w:tc>
        <w:tc>
          <w:tcPr>
            <w:tcW w:w="3655" w:type="dxa"/>
            <w:gridSpan w:val="2"/>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1161"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887"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091"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1133" w:type="dxa"/>
            <w:vMerge w:val="restart"/>
            <w:tcBorders>
              <w:tl2br w:val="nil"/>
              <w:tr2bl w:val="nil"/>
            </w:tcBorders>
            <w:vAlign w:val="center"/>
          </w:tcPr>
          <w:p>
            <w:pPr>
              <w:ind w:firstLine="320"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20%</w:t>
            </w: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建设项目环境影响报告基础资料内容不全</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133" w:type="dxa"/>
            <w:vMerge w:val="continue"/>
            <w:tcBorders>
              <w:tl2br w:val="nil"/>
              <w:tr2bl w:val="nil"/>
            </w:tcBorders>
            <w:vAlign w:val="center"/>
          </w:tcPr>
          <w:p>
            <w:pPr>
              <w:pStyle w:val="16"/>
              <w:spacing w:before="129"/>
              <w:ind w:right="327" w:firstLine="360" w:firstLineChars="200"/>
              <w:jc w:val="center"/>
              <w:rPr>
                <w:rFonts w:ascii="仿宋_GB2312" w:hAnsi="仿宋_GB2312" w:eastAsia="仿宋_GB2312" w:cs="仿宋_GB2312"/>
                <w:color w:val="000000" w:themeColor="text1"/>
                <w:sz w:val="18"/>
                <w:szCs w:val="18"/>
                <w:lang w:val="en-US"/>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建设项目环境影响报告资料内容弄虚作假</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环境影响评价结论不正确、不合理</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程度</w:t>
            </w:r>
          </w:p>
        </w:tc>
        <w:tc>
          <w:tcPr>
            <w:tcW w:w="1133" w:type="dxa"/>
            <w:vMerge w:val="restart"/>
            <w:tcBorders>
              <w:tl2br w:val="nil"/>
              <w:tr2bl w:val="nil"/>
            </w:tcBorders>
            <w:vAlign w:val="center"/>
          </w:tcPr>
          <w:p>
            <w:pPr>
              <w:pStyle w:val="16"/>
              <w:spacing w:before="131"/>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 xml:space="preserve">  30</w:t>
            </w:r>
            <w:r>
              <w:rPr>
                <w:rFonts w:hint="eastAsia" w:ascii="仿宋_GB2312" w:hAnsi="仿宋_GB2312" w:eastAsia="仿宋_GB2312" w:cs="仿宋_GB2312"/>
                <w:color w:val="000000" w:themeColor="text1"/>
                <w:sz w:val="18"/>
                <w:szCs w:val="18"/>
              </w:rPr>
              <w:t>%</w:t>
            </w: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已开工建设但主体工程未建成的</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pacing w:val="-5"/>
                <w:sz w:val="18"/>
                <w:szCs w:val="18"/>
                <w:lang w:val="en-US"/>
              </w:rPr>
            </w:pPr>
            <w:r>
              <w:rPr>
                <w:rFonts w:hint="eastAsia" w:ascii="仿宋_GB2312" w:hAnsi="仿宋_GB2312" w:eastAsia="仿宋_GB2312" w:cs="仿宋_GB2312"/>
                <w:color w:val="000000" w:themeColor="text1"/>
                <w:sz w:val="18"/>
                <w:szCs w:val="18"/>
                <w:lang w:val="en-US"/>
              </w:rPr>
              <w:t>10%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pacing w:val="-4"/>
                <w:sz w:val="18"/>
                <w:szCs w:val="18"/>
                <w:lang w:val="en-US"/>
              </w:rPr>
            </w:pPr>
            <w:r>
              <w:rPr>
                <w:rFonts w:hint="eastAsia" w:ascii="仿宋_GB2312" w:hAnsi="仿宋_GB2312" w:eastAsia="仿宋_GB2312" w:cs="仿宋_GB2312"/>
                <w:color w:val="000000" w:themeColor="text1"/>
                <w:sz w:val="18"/>
                <w:szCs w:val="18"/>
                <w:lang w:val="en-US"/>
              </w:rPr>
              <w:t>20%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主体工程已投入生产或者使用的</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887"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887"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情况</w:t>
            </w:r>
          </w:p>
        </w:tc>
        <w:tc>
          <w:tcPr>
            <w:tcW w:w="1091" w:type="dxa"/>
            <w:vMerge w:val="restart"/>
            <w:tcBorders>
              <w:tl2br w:val="nil"/>
              <w:tr2bl w:val="nil"/>
            </w:tcBorders>
            <w:vAlign w:val="center"/>
          </w:tcPr>
          <w:p>
            <w:pPr>
              <w:pStyle w:val="16"/>
              <w:spacing w:line="324" w:lineRule="auto"/>
              <w:ind w:right="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是否停止违法并进行改正</w:t>
            </w:r>
          </w:p>
        </w:tc>
        <w:tc>
          <w:tcPr>
            <w:tcW w:w="1133" w:type="dxa"/>
            <w:vMerge w:val="restart"/>
            <w:tcBorders>
              <w:tl2br w:val="nil"/>
              <w:tr2bl w:val="nil"/>
            </w:tcBorders>
            <w:vAlign w:val="center"/>
          </w:tcPr>
          <w:p>
            <w:pPr>
              <w:pStyle w:val="16"/>
              <w:spacing w:before="131"/>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10%</w:t>
            </w:r>
          </w:p>
        </w:tc>
        <w:tc>
          <w:tcPr>
            <w:tcW w:w="3655"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116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887"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116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5%</w:t>
            </w:r>
          </w:p>
        </w:tc>
        <w:tc>
          <w:tcPr>
            <w:tcW w:w="88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116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10%</w:t>
            </w:r>
          </w:p>
        </w:tc>
        <w:tc>
          <w:tcPr>
            <w:tcW w:w="88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配合调查</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取证情况</w:t>
            </w:r>
          </w:p>
        </w:tc>
        <w:tc>
          <w:tcPr>
            <w:tcW w:w="1091" w:type="dxa"/>
            <w:vMerge w:val="restart"/>
            <w:tcBorders>
              <w:tl2br w:val="nil"/>
              <w:tr2bl w:val="nil"/>
            </w:tcBorders>
            <w:vAlign w:val="center"/>
          </w:tcPr>
          <w:p>
            <w:pPr>
              <w:pStyle w:val="16"/>
              <w:spacing w:before="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是否配合执法检查</w:t>
            </w:r>
          </w:p>
        </w:tc>
        <w:tc>
          <w:tcPr>
            <w:tcW w:w="1133" w:type="dxa"/>
            <w:vMerge w:val="restart"/>
            <w:tcBorders>
              <w:tl2br w:val="nil"/>
              <w:tr2bl w:val="nil"/>
            </w:tcBorders>
            <w:vAlign w:val="center"/>
          </w:tcPr>
          <w:p>
            <w:pPr>
              <w:pStyle w:val="16"/>
              <w:spacing w:before="1"/>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10%</w:t>
            </w:r>
          </w:p>
        </w:tc>
        <w:tc>
          <w:tcPr>
            <w:tcW w:w="3655"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配合调查</w:t>
            </w:r>
          </w:p>
        </w:tc>
        <w:tc>
          <w:tcPr>
            <w:tcW w:w="116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0%</w:t>
            </w:r>
          </w:p>
        </w:tc>
        <w:tc>
          <w:tcPr>
            <w:tcW w:w="88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38"/>
              <w:ind w:left="107"/>
              <w:jc w:val="center"/>
              <w:rPr>
                <w:rFonts w:ascii="仿宋_GB2312" w:hAnsi="仿宋_GB2312" w:eastAsia="仿宋_GB2312" w:cs="仿宋_GB2312"/>
                <w:b/>
                <w:bCs/>
                <w:color w:val="000000" w:themeColor="text1"/>
                <w:sz w:val="18"/>
                <w:szCs w:val="18"/>
              </w:rPr>
            </w:pPr>
            <w:r>
              <w:rPr>
                <w:rFonts w:hint="eastAsia" w:ascii="仿宋_GB2312" w:hAnsi="仿宋_GB2312" w:eastAsia="仿宋_GB2312" w:cs="仿宋_GB2312"/>
                <w:color w:val="000000" w:themeColor="text1"/>
                <w:sz w:val="18"/>
                <w:szCs w:val="18"/>
              </w:rPr>
              <w:t>不配合调查</w:t>
            </w:r>
          </w:p>
        </w:tc>
        <w:tc>
          <w:tcPr>
            <w:tcW w:w="1161"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887"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对社会影响与生态破坏程度</w:t>
            </w:r>
          </w:p>
        </w:tc>
        <w:tc>
          <w:tcPr>
            <w:tcW w:w="1091" w:type="dxa"/>
            <w:vMerge w:val="restart"/>
            <w:tcBorders>
              <w:tl2br w:val="nil"/>
              <w:tr2bl w:val="nil"/>
            </w:tcBorders>
            <w:vAlign w:val="center"/>
          </w:tcPr>
          <w:p>
            <w:pPr>
              <w:pStyle w:val="16"/>
              <w:spacing w:before="119" w:line="324" w:lineRule="auto"/>
              <w:ind w:right="18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是否造成社会影响与生态破坏</w:t>
            </w:r>
          </w:p>
        </w:tc>
        <w:tc>
          <w:tcPr>
            <w:tcW w:w="1133" w:type="dxa"/>
            <w:vMerge w:val="restart"/>
            <w:tcBorders>
              <w:tl2br w:val="nil"/>
              <w:tr2bl w:val="nil"/>
            </w:tcBorders>
            <w:vAlign w:val="center"/>
          </w:tcPr>
          <w:p>
            <w:pPr>
              <w:pStyle w:val="16"/>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 xml:space="preserve">  3</w:t>
            </w:r>
            <w:r>
              <w:rPr>
                <w:rFonts w:hint="eastAsia" w:ascii="仿宋_GB2312" w:hAnsi="仿宋_GB2312" w:eastAsia="仿宋_GB2312" w:cs="仿宋_GB2312"/>
                <w:color w:val="000000" w:themeColor="text1"/>
                <w:sz w:val="18"/>
                <w:szCs w:val="18"/>
              </w:rPr>
              <w:t>0%</w:t>
            </w:r>
          </w:p>
        </w:tc>
        <w:tc>
          <w:tcPr>
            <w:tcW w:w="3655"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16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88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16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88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16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88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161"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887"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16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30%</w:t>
            </w:r>
          </w:p>
        </w:tc>
        <w:tc>
          <w:tcPr>
            <w:tcW w:w="88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865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11"/>
                <w:w w:val="98"/>
                <w:sz w:val="18"/>
                <w:szCs w:val="18"/>
                <w:lang w:val="en-US"/>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1.对单位罚款金额＝百分值之和×最高法定罚款上限。</w:t>
            </w:r>
          </w:p>
          <w:p>
            <w:pPr>
              <w:pStyle w:val="16"/>
              <w:spacing w:before="38"/>
              <w:ind w:right="116" w:firstLine="924" w:firstLineChars="600"/>
              <w:rPr>
                <w:rFonts w:ascii="仿宋_GB2312" w:hAnsi="仿宋_GB2312" w:eastAsia="仿宋_GB2312" w:cs="仿宋_GB2312"/>
                <w:color w:val="000000" w:themeColor="text1"/>
                <w:spacing w:val="-11"/>
                <w:w w:val="98"/>
                <w:sz w:val="18"/>
                <w:szCs w:val="18"/>
                <w:lang w:val="en-US"/>
              </w:rPr>
            </w:pPr>
            <w:r>
              <w:rPr>
                <w:rFonts w:hint="eastAsia" w:ascii="仿宋_GB2312" w:hAnsi="仿宋_GB2312" w:eastAsia="仿宋_GB2312" w:cs="仿宋_GB2312"/>
                <w:color w:val="000000" w:themeColor="text1"/>
                <w:spacing w:val="-11"/>
                <w:w w:val="98"/>
                <w:sz w:val="18"/>
                <w:szCs w:val="18"/>
                <w:lang w:val="en-US"/>
              </w:rPr>
              <w:t>2.对个人罚款金额＝百分值之和×最高法定罚款上限。</w:t>
            </w:r>
          </w:p>
          <w:p>
            <w:pPr>
              <w:pStyle w:val="16"/>
              <w:spacing w:before="38"/>
              <w:ind w:right="116" w:firstLine="924" w:firstLineChars="600"/>
              <w:rPr>
                <w:rFonts w:ascii="仿宋_GB2312" w:hAnsi="仿宋_GB2312" w:eastAsia="仿宋_GB2312" w:cs="仿宋_GB2312"/>
                <w:color w:val="000000" w:themeColor="text1"/>
                <w:sz w:val="18"/>
                <w:szCs w:val="18"/>
                <w:u w:val="single"/>
                <w:lang w:val="en-US"/>
              </w:rPr>
            </w:pPr>
            <w:r>
              <w:rPr>
                <w:rFonts w:hint="eastAsia" w:ascii="仿宋_GB2312" w:hAnsi="仿宋_GB2312" w:eastAsia="仿宋_GB2312" w:cs="仿宋_GB2312"/>
                <w:color w:val="000000" w:themeColor="text1"/>
                <w:spacing w:val="-11"/>
                <w:w w:val="98"/>
                <w:sz w:val="18"/>
                <w:szCs w:val="18"/>
                <w:lang w:val="en-US"/>
              </w:rPr>
              <w:t>3.罚款金额＝收取费用额×3～5（由总百分值确定），但罚款金额不能低于收取费用额的3倍。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865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z w:val="18"/>
                <w:szCs w:val="18"/>
                <w:u w:val="single"/>
                <w:lang w:val="en-US"/>
              </w:rPr>
            </w:pPr>
            <w:r>
              <w:rPr>
                <w:rFonts w:hint="eastAsia" w:ascii="仿宋_GB2312" w:hAnsi="仿宋_GB2312" w:eastAsia="仿宋_GB2312" w:cs="仿宋_GB2312"/>
                <w:color w:val="000000" w:themeColor="text1"/>
                <w:spacing w:val="-11"/>
                <w:w w:val="98"/>
                <w:sz w:val="18"/>
                <w:szCs w:val="18"/>
              </w:rPr>
              <w:t>建议处罚额：</w:t>
            </w:r>
          </w:p>
        </w:tc>
      </w:tr>
    </w:tbl>
    <w:p>
      <w:pPr>
        <w:ind w:right="901"/>
        <w:jc w:val="center"/>
        <w:outlineLvl w:val="1"/>
        <w:rPr>
          <w:rFonts w:ascii="仿宋" w:hAnsi="仿宋" w:eastAsia="仿宋" w:cs="仿宋"/>
          <w:b/>
          <w:bCs/>
          <w:color w:val="000000" w:themeColor="text1"/>
          <w:kern w:val="0"/>
          <w:sz w:val="24"/>
        </w:rPr>
      </w:pPr>
      <w:bookmarkStart w:id="82" w:name="_Toc6775"/>
      <w:bookmarkStart w:id="83" w:name="_Toc140"/>
      <w:bookmarkStart w:id="84" w:name="_Toc24102"/>
      <w:r>
        <w:rPr>
          <w:rFonts w:hint="eastAsia" w:ascii="仿宋" w:hAnsi="仿宋" w:eastAsia="仿宋" w:cs="仿宋"/>
          <w:b/>
          <w:bCs/>
          <w:color w:val="000000" w:themeColor="text1"/>
          <w:kern w:val="0"/>
          <w:sz w:val="24"/>
        </w:rPr>
        <w:t>表 4 建设项目环境影响报告书、环境影响报告表存在基础资料明显不实，内容存在重大缺陷、遗漏或者虚假，环境影响评价结论不正确或者不合理等严重质量问题的罚款幅度裁定</w:t>
      </w:r>
      <w:bookmarkEnd w:id="82"/>
      <w:bookmarkEnd w:id="83"/>
      <w:bookmarkEnd w:id="84"/>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条第一款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二条第一款建设项目环境影响报告书、环境影响报告表存在基础资料明显不实，内容存在重大缺陷、遗漏或者虚假，环境影响评价结论不正确或者不合理等严重质量问题的，由设区的市级以上人民政府生态环境主管部门对建设单位处五10万元以上二百万元以下的罚款，并对建设单位的法定代表人、主要负责人、直接负责的主管人员和其他直接责任人员，处5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spacing w:before="73"/>
        <w:ind w:right="108"/>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3143" w:tblpY="23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所收费用额×5</w:t>
            </w:r>
          </w:p>
        </w:tc>
      </w:tr>
    </w:tbl>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本表同样适用于《中华人民共和国土壤污染防治法》第四十三条第二款受委托从事前款活动的单位对其出具的调查报告、风险评估报告、风险管控效果评估报告、修复效果评估报告的真实性、准确性、完整性负责，并按照约定对风险管控、修复、后期管理等活动结果负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中华人民共和国土壤污染防治法》第九十条第一款、第二款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pStyle w:val="3"/>
        <w:autoSpaceDE w:val="0"/>
        <w:autoSpaceDN w:val="0"/>
        <w:spacing w:before="44" w:line="240" w:lineRule="auto"/>
        <w:jc w:val="center"/>
        <w:rPr>
          <w:rFonts w:ascii="仿宋_GB2312" w:hAnsi="仿宋_GB2312" w:eastAsia="仿宋_GB2312" w:cs="仿宋_GB2312"/>
          <w:b w:val="0"/>
          <w:color w:val="000000" w:themeColor="text1"/>
          <w:sz w:val="21"/>
          <w:szCs w:val="21"/>
        </w:rPr>
      </w:pPr>
      <w:bookmarkStart w:id="85" w:name="_Toc5812"/>
      <w:bookmarkStart w:id="86" w:name="_Toc12571"/>
      <w:r>
        <w:rPr>
          <w:rFonts w:hint="eastAsia" w:ascii="仿宋" w:hAnsi="仿宋" w:eastAsia="仿宋" w:cs="仿宋"/>
          <w:bCs/>
          <w:color w:val="000000" w:themeColor="text1"/>
          <w:kern w:val="0"/>
          <w:sz w:val="24"/>
        </w:rPr>
        <w:t>表 5 编制建设项目初步设计未落实防治环境污染和生态破坏的措施以及环境保护设施投资概算、未将环境保护设施建设纳入施工合同或未开展后评价的罚款幅度裁定表</w:t>
      </w:r>
      <w:bookmarkEnd w:id="85"/>
      <w:bookmarkEnd w:id="86"/>
    </w:p>
    <w:tbl>
      <w:tblPr>
        <w:tblStyle w:val="12"/>
        <w:tblpPr w:leftFromText="180" w:rightFromText="180" w:vertAnchor="text" w:horzAnchor="page" w:tblpX="1739" w:tblpY="93"/>
        <w:tblOverlap w:val="never"/>
        <w:tblW w:w="8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1029"/>
        <w:gridCol w:w="907"/>
        <w:gridCol w:w="1305"/>
        <w:gridCol w:w="3009"/>
        <w:gridCol w:w="859"/>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2905" w:type="dxa"/>
            <w:gridSpan w:val="3"/>
            <w:tcBorders>
              <w:tl2br w:val="nil"/>
              <w:tr2bl w:val="nil"/>
            </w:tcBorders>
            <w:vAlign w:val="center"/>
          </w:tcPr>
          <w:p>
            <w:pPr>
              <w:jc w:val="center"/>
              <w:rPr>
                <w:rFonts w:ascii="仿宋_GB2312" w:hAnsi="仿宋_GB2312" w:eastAsia="仿宋_GB2312" w:cs="仿宋_GB2312"/>
                <w:b/>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774" w:type="dxa"/>
            <w:gridSpan w:val="4"/>
            <w:tcBorders>
              <w:tl2br w:val="nil"/>
              <w:tr2bl w:val="nil"/>
            </w:tcBorders>
            <w:vAlign w:val="center"/>
          </w:tcPr>
          <w:p>
            <w:pPr>
              <w:jc w:val="center"/>
              <w:rPr>
                <w:rFonts w:ascii="仿宋_GB2312" w:hAnsi="仿宋_GB2312" w:eastAsia="仿宋_GB2312" w:cs="仿宋_GB2312"/>
                <w:b/>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96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02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907"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构成比例</w:t>
            </w:r>
          </w:p>
        </w:tc>
        <w:tc>
          <w:tcPr>
            <w:tcW w:w="4314" w:type="dxa"/>
            <w:gridSpan w:val="2"/>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85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029" w:type="dxa"/>
            <w:vMerge w:val="restart"/>
            <w:tcBorders>
              <w:tl2br w:val="nil"/>
              <w:tr2bl w:val="nil"/>
            </w:tcBorders>
            <w:vAlign w:val="center"/>
          </w:tcPr>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违法行</w:t>
            </w:r>
          </w:p>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为类型</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1305"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300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85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firstLine="360" w:firstLineChars="200"/>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ind w:firstLine="360" w:firstLineChars="200"/>
              <w:jc w:val="center"/>
              <w:textAlignment w:val="center"/>
              <w:rPr>
                <w:rFonts w:ascii="仿宋_GB2312" w:hAnsi="仿宋_GB2312" w:eastAsia="仿宋_GB2312" w:cs="仿宋_GB2312"/>
                <w:color w:val="000000" w:themeColor="text1"/>
                <w:kern w:val="0"/>
                <w:sz w:val="18"/>
                <w:szCs w:val="18"/>
              </w:rPr>
            </w:pPr>
          </w:p>
        </w:tc>
        <w:tc>
          <w:tcPr>
            <w:tcW w:w="1305"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00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859" w:type="dxa"/>
            <w:tcBorders>
              <w:tl2br w:val="nil"/>
              <w:tr2bl w:val="nil"/>
            </w:tcBorders>
            <w:vAlign w:val="center"/>
          </w:tcPr>
          <w:p>
            <w:pPr>
              <w:jc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spacing w:val="-5"/>
                <w:sz w:val="18"/>
                <w:szCs w:val="18"/>
              </w:rPr>
              <w:t>10%</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300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85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00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859" w:type="dxa"/>
            <w:tcBorders>
              <w:tl2br w:val="nil"/>
              <w:tr2bl w:val="nil"/>
            </w:tcBorders>
            <w:vAlign w:val="center"/>
          </w:tcPr>
          <w:p>
            <w:pPr>
              <w:jc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spacing w:val="-4"/>
                <w:sz w:val="18"/>
                <w:szCs w:val="18"/>
              </w:rPr>
              <w:t>20%</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restart"/>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违法行</w:t>
            </w:r>
          </w:p>
          <w:p>
            <w:pPr>
              <w:pStyle w:val="16"/>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为程度</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已开工建设但主体工程未建成</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5%</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主体工程已投入生产或者使用的</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4"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整改情况</w:t>
            </w:r>
          </w:p>
        </w:tc>
        <w:tc>
          <w:tcPr>
            <w:tcW w:w="1029" w:type="dxa"/>
            <w:vMerge w:val="restart"/>
            <w:tcBorders>
              <w:tl2br w:val="nil"/>
              <w:tr2bl w:val="nil"/>
            </w:tcBorders>
            <w:vAlign w:val="center"/>
          </w:tcPr>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是否停止违法并进行改正</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30%</w:t>
            </w: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p>
            <w:pPr>
              <w:widowControl/>
              <w:kinsoku w:val="0"/>
              <w:autoSpaceDE w:val="0"/>
              <w:autoSpaceDN w:val="0"/>
              <w:adjustRightInd w:val="0"/>
              <w:snapToGrid w:val="0"/>
              <w:ind w:left="113" w:firstLine="5" w:firstLineChars="3"/>
              <w:jc w:val="center"/>
              <w:textAlignment w:val="baseline"/>
              <w:rPr>
                <w:rStyle w:val="20"/>
                <w:rFonts w:hint="default" w:hAnsi="仿宋_GB2312"/>
                <w:color w:val="000000" w:themeColor="text1"/>
              </w:rPr>
            </w:pPr>
            <w:r>
              <w:rPr>
                <w:rFonts w:hint="eastAsia" w:ascii="仿宋_GB2312" w:hAnsi="仿宋_GB2312" w:eastAsia="仿宋_GB2312" w:cs="仿宋_GB2312"/>
                <w:color w:val="000000" w:themeColor="text1"/>
                <w:spacing w:val="-1"/>
                <w:sz w:val="18"/>
                <w:szCs w:val="18"/>
              </w:rPr>
              <w:t>（</w:t>
            </w:r>
            <w:r>
              <w:rPr>
                <w:rStyle w:val="20"/>
                <w:rFonts w:hAnsi="仿宋_GB2312"/>
                <w:color w:val="000000" w:themeColor="text1"/>
              </w:rPr>
              <w:t>或后评价在规定时间内公开）</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Style w:val="20"/>
                <w:rFonts w:hint="default" w:hAnsi="仿宋_GB2312"/>
                <w:color w:val="000000" w:themeColor="text1"/>
              </w:rPr>
            </w:pPr>
            <w:r>
              <w:rPr>
                <w:rFonts w:hint="eastAsia" w:ascii="仿宋_GB2312" w:hAnsi="仿宋_GB2312" w:eastAsia="仿宋_GB2312" w:cs="仿宋_GB2312"/>
                <w:color w:val="000000" w:themeColor="text1"/>
                <w:spacing w:val="-1"/>
                <w:sz w:val="18"/>
                <w:szCs w:val="18"/>
              </w:rPr>
              <w:t>逾期不改正的</w:t>
            </w:r>
          </w:p>
        </w:tc>
        <w:tc>
          <w:tcPr>
            <w:tcW w:w="3009" w:type="dxa"/>
            <w:tcBorders>
              <w:tl2br w:val="nil"/>
              <w:tr2bl w:val="nil"/>
            </w:tcBorders>
            <w:vAlign w:val="center"/>
          </w:tcPr>
          <w:p>
            <w:pPr>
              <w:widowControl/>
              <w:jc w:val="center"/>
              <w:textAlignment w:val="center"/>
              <w:rPr>
                <w:rStyle w:val="20"/>
                <w:rFonts w:hint="default" w:hAnsi="仿宋_GB2312"/>
                <w:color w:val="000000" w:themeColor="text1"/>
              </w:rPr>
            </w:pPr>
            <w:r>
              <w:rPr>
                <w:rStyle w:val="20"/>
                <w:rFonts w:hAnsi="仿宋_GB2312"/>
                <w:color w:val="000000" w:themeColor="text1"/>
              </w:rPr>
              <w:t>复查时停止建设，未完善初步设计、环境保护设施投资概算的。</w:t>
            </w:r>
          </w:p>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（或复查时后评价未在规定时间内公开）</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009" w:type="dxa"/>
            <w:tcBorders>
              <w:tl2br w:val="nil"/>
              <w:tr2bl w:val="nil"/>
            </w:tcBorders>
            <w:vAlign w:val="center"/>
          </w:tcPr>
          <w:p>
            <w:pPr>
              <w:widowControl/>
              <w:jc w:val="center"/>
              <w:textAlignment w:val="center"/>
              <w:rPr>
                <w:rStyle w:val="20"/>
                <w:rFonts w:hint="default" w:hAnsi="仿宋_GB2312"/>
                <w:color w:val="000000" w:themeColor="text1"/>
              </w:rPr>
            </w:pPr>
            <w:r>
              <w:rPr>
                <w:rStyle w:val="20"/>
                <w:rFonts w:hAnsi="仿宋_GB2312"/>
                <w:color w:val="000000" w:themeColor="text1"/>
              </w:rPr>
              <w:t>复查时未停止建设，已完善初步设计、环境保护设施投资概算的。</w:t>
            </w:r>
          </w:p>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（或复查时后评价已开展但不符合要求）</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009" w:type="dxa"/>
            <w:tcBorders>
              <w:tl2br w:val="nil"/>
              <w:tr2bl w:val="nil"/>
            </w:tcBorders>
            <w:vAlign w:val="center"/>
          </w:tcPr>
          <w:p>
            <w:pPr>
              <w:widowControl/>
              <w:jc w:val="center"/>
              <w:textAlignment w:val="center"/>
              <w:rPr>
                <w:rStyle w:val="20"/>
                <w:rFonts w:hint="default" w:hAnsi="仿宋_GB2312"/>
                <w:color w:val="000000" w:themeColor="text1"/>
              </w:rPr>
            </w:pPr>
            <w:r>
              <w:rPr>
                <w:rStyle w:val="20"/>
                <w:rFonts w:hAnsi="仿宋_GB2312"/>
                <w:color w:val="000000" w:themeColor="text1"/>
              </w:rPr>
              <w:t>复查时未停止建设，未完善初步设计、环境保护设施投资概算的。</w:t>
            </w:r>
          </w:p>
          <w:p>
            <w:pPr>
              <w:widowControl/>
              <w:jc w:val="center"/>
              <w:textAlignment w:val="center"/>
              <w:rPr>
                <w:rStyle w:val="20"/>
                <w:rFonts w:hint="default" w:hAnsi="仿宋_GB2312"/>
                <w:color w:val="000000" w:themeColor="text1"/>
              </w:rPr>
            </w:pPr>
            <w:r>
              <w:rPr>
                <w:rStyle w:val="20"/>
                <w:rFonts w:hAnsi="仿宋_GB2312"/>
                <w:color w:val="000000" w:themeColor="text1"/>
              </w:rPr>
              <w:t>（或复查时未开展后评价）</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30%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配合调查</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取证情况</w:t>
            </w:r>
          </w:p>
        </w:tc>
        <w:tc>
          <w:tcPr>
            <w:tcW w:w="1029" w:type="dxa"/>
            <w:vMerge w:val="restart"/>
            <w:tcBorders>
              <w:tl2br w:val="nil"/>
              <w:tr2bl w:val="nil"/>
            </w:tcBorders>
            <w:vAlign w:val="center"/>
          </w:tcPr>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是否配合执法检查</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w:t>
            </w:r>
          </w:p>
        </w:tc>
        <w:tc>
          <w:tcPr>
            <w:tcW w:w="4314" w:type="dxa"/>
            <w:gridSpan w:val="2"/>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配合调查</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不配合调查</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对社会影响与生态破坏程度</w:t>
            </w:r>
          </w:p>
        </w:tc>
        <w:tc>
          <w:tcPr>
            <w:tcW w:w="1029" w:type="dxa"/>
            <w:vMerge w:val="restart"/>
            <w:tcBorders>
              <w:tl2br w:val="nil"/>
              <w:tr2bl w:val="nil"/>
            </w:tcBorders>
            <w:vAlign w:val="center"/>
          </w:tcPr>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是否造成社会影响与</w:t>
            </w:r>
          </w:p>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生态破坏</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4314"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5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0%</w:t>
            </w:r>
          </w:p>
        </w:tc>
        <w:tc>
          <w:tcPr>
            <w:tcW w:w="60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14"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5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5%</w:t>
            </w:r>
          </w:p>
        </w:tc>
        <w:tc>
          <w:tcPr>
            <w:tcW w:w="60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14"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5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10%</w:t>
            </w:r>
          </w:p>
        </w:tc>
        <w:tc>
          <w:tcPr>
            <w:tcW w:w="60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14"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59"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15%</w:t>
            </w:r>
          </w:p>
        </w:tc>
        <w:tc>
          <w:tcPr>
            <w:tcW w:w="601"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14"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5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20%</w:t>
            </w:r>
          </w:p>
        </w:tc>
        <w:tc>
          <w:tcPr>
            <w:tcW w:w="60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867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u w:val="single"/>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罚款金额＝百分值之和×最高法定罚款上限。</w:t>
            </w:r>
            <w:r>
              <w:rPr>
                <w:rFonts w:hint="eastAsia" w:ascii="仿宋_GB2312" w:hAnsi="仿宋_GB2312" w:eastAsia="仿宋_GB2312" w:cs="仿宋_GB2312"/>
                <w:color w:val="000000" w:themeColor="text1"/>
                <w:spacing w:val="-11"/>
                <w:w w:val="98"/>
                <w:sz w:val="18"/>
                <w:szCs w:val="18"/>
              </w:rPr>
              <w:t>（处罚金额不足法定处罚下限时，按法定处罚下限金额计算。处罚金额不得低于法定处罚下限。）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67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1.《建设项目环境保护管理条例》第十六条建设项目的初步设计，应当按照环境保护设计规范的要求，编制环境保护篇章，落实防治环境污染和生态破坏的措施以及环境保护设施投资概算。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2.《建设项目环境保护管理条例》第十九条第二款前款规定的建设项目投入生产或者使用后，应当按照国务院环境保护行政主管部门的规定开展环境影响后评价。</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建设项目环境保护管理条例》第二十二条第一款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楷体" w:hAnsi="楷体" w:eastAsia="楷体" w:cs="楷体"/>
          <w:color w:val="000000" w:themeColor="text1"/>
        </w:rPr>
      </w:pPr>
    </w:p>
    <w:p>
      <w:pPr>
        <w:pStyle w:val="5"/>
        <w:autoSpaceDE w:val="0"/>
        <w:autoSpaceDN w:val="0"/>
        <w:spacing w:before="44"/>
        <w:ind w:left="0"/>
        <w:jc w:val="center"/>
        <w:rPr>
          <w:color w:val="000000" w:themeColor="text1"/>
          <w:kern w:val="0"/>
          <w:sz w:val="28"/>
          <w:szCs w:val="28"/>
          <w:lang w:val="en-US" w:bidi="ar-SA"/>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pStyle w:val="5"/>
        <w:autoSpaceDE w:val="0"/>
        <w:autoSpaceDN w:val="0"/>
        <w:spacing w:before="44"/>
        <w:ind w:left="0"/>
        <w:jc w:val="center"/>
        <w:rPr>
          <w:color w:val="000000" w:themeColor="text1"/>
          <w:kern w:val="0"/>
          <w:sz w:val="28"/>
          <w:szCs w:val="28"/>
          <w:lang w:val="en-US" w:bidi="ar-SA"/>
        </w:rPr>
      </w:pPr>
    </w:p>
    <w:p>
      <w:pPr>
        <w:pStyle w:val="5"/>
        <w:autoSpaceDE w:val="0"/>
        <w:autoSpaceDN w:val="0"/>
        <w:spacing w:before="44"/>
        <w:ind w:left="0"/>
        <w:jc w:val="center"/>
        <w:rPr>
          <w:color w:val="000000" w:themeColor="text1"/>
          <w:kern w:val="0"/>
          <w:sz w:val="28"/>
          <w:szCs w:val="28"/>
          <w:lang w:val="en-US" w:bidi="ar-SA"/>
        </w:rPr>
      </w:pPr>
    </w:p>
    <w:p>
      <w:pPr>
        <w:pStyle w:val="3"/>
        <w:autoSpaceDE w:val="0"/>
        <w:autoSpaceDN w:val="0"/>
        <w:spacing w:before="44" w:line="240" w:lineRule="auto"/>
        <w:jc w:val="center"/>
        <w:rPr>
          <w:rFonts w:ascii="仿宋" w:hAnsi="仿宋" w:eastAsia="仿宋" w:cs="仿宋"/>
          <w:bCs/>
          <w:color w:val="000000" w:themeColor="text1"/>
          <w:kern w:val="0"/>
          <w:sz w:val="24"/>
        </w:rPr>
      </w:pPr>
      <w:bookmarkStart w:id="87" w:name="_Toc9191"/>
      <w:bookmarkStart w:id="88" w:name="_Toc4309"/>
      <w:r>
        <w:rPr>
          <w:rFonts w:hint="eastAsia" w:ascii="仿宋" w:hAnsi="仿宋" w:eastAsia="仿宋" w:cs="仿宋"/>
          <w:bCs/>
          <w:color w:val="000000" w:themeColor="text1"/>
          <w:kern w:val="0"/>
          <w:sz w:val="24"/>
        </w:rPr>
        <w:t>表 6 未落实环境影响评价及审批部门决定中提出的环境保护</w:t>
      </w:r>
      <w:bookmarkEnd w:id="87"/>
      <w:bookmarkEnd w:id="88"/>
    </w:p>
    <w:p>
      <w:pPr>
        <w:autoSpaceDE w:val="0"/>
        <w:autoSpaceDN w:val="0"/>
        <w:spacing w:before="44"/>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对策措施的罚款幅度裁定</w:t>
      </w:r>
    </w:p>
    <w:tbl>
      <w:tblPr>
        <w:tblStyle w:val="15"/>
        <w:tblW w:w="865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13"/>
        <w:gridCol w:w="1029"/>
        <w:gridCol w:w="2100"/>
        <w:gridCol w:w="2140"/>
        <w:gridCol w:w="941"/>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2795" w:type="dxa"/>
            <w:gridSpan w:val="3"/>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863" w:type="dxa"/>
            <w:gridSpan w:val="4"/>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85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1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102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240"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3"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程度</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类型</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210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建设单位在项目建设过程中未同时组织实施环境影响报告表、审批部门审批决定中提出的环境保护对策措施的</w:t>
            </w: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未落实环评或审批决定中施工期环境管理制度。例如洒水、覆盖等。</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8"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未落实环评或审批决定中施工期污防设施。例如洗车池、沉淀池等。</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20"/>
                <w:rFonts w:hAnsi="仿宋_GB2312"/>
                <w:color w:val="000000" w:themeColor="text1"/>
              </w:rPr>
              <w:t>项目配套的环保辅助或环保主要对策措施未按要求建设。</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jc w:val="center"/>
              <w:textAlignment w:val="center"/>
              <w:rPr>
                <w:rStyle w:val="20"/>
                <w:rFonts w:hint="default" w:hAnsi="仿宋_GB2312"/>
                <w:color w:val="000000" w:themeColor="text1"/>
              </w:rPr>
            </w:pPr>
            <w:r>
              <w:rPr>
                <w:rStyle w:val="20"/>
                <w:rFonts w:hAnsi="仿宋_GB2312"/>
                <w:color w:val="000000" w:themeColor="text1"/>
              </w:rPr>
              <w:t>项目配套的环保主要对策措施未建设。</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6"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建设单位在项目建设过程中未同时组织实施环境影响报告书、审批部门审批决定中提出的环境保护对策措施的</w:t>
            </w: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未落实环评或审批决定中施工期环境管理制度。例如洒水、覆盖等。</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3"/>
                <w:sz w:val="18"/>
                <w:szCs w:val="18"/>
              </w:rPr>
              <w:t>25%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未落实环评或审批决定中施工期污防设施。例如洗车池、沉淀池等。</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8"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20"/>
                <w:rFonts w:hAnsi="仿宋_GB2312"/>
                <w:color w:val="000000" w:themeColor="text1"/>
              </w:rPr>
              <w:t>项目配套的环保辅助或环保主要对策措施未按要求建设。</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项目配套的环保主要对策措施未建设。</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一年内</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违法次</w:t>
            </w:r>
            <w:r>
              <w:rPr>
                <w:rFonts w:hint="eastAsia" w:ascii="仿宋_GB2312" w:hAnsi="仿宋_GB2312" w:eastAsia="仿宋_GB2312" w:cs="仿宋_GB2312"/>
                <w:color w:val="000000" w:themeColor="text1"/>
                <w:sz w:val="18"/>
                <w:szCs w:val="18"/>
              </w:rPr>
              <w:t>数</w:t>
            </w:r>
          </w:p>
        </w:tc>
        <w:tc>
          <w:tcPr>
            <w:tcW w:w="1029"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9"/>
                <w:sz w:val="18"/>
                <w:szCs w:val="18"/>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配合调查取</w:t>
            </w:r>
            <w:r>
              <w:rPr>
                <w:rFonts w:hint="eastAsia" w:ascii="仿宋_GB2312" w:hAnsi="仿宋_GB2312" w:eastAsia="仿宋_GB2312" w:cs="仿宋_GB2312"/>
                <w:color w:val="000000" w:themeColor="text1"/>
                <w:spacing w:val="-5"/>
                <w:sz w:val="18"/>
                <w:szCs w:val="18"/>
              </w:rPr>
              <w:t>证情况</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pacing w:val="-4"/>
                <w:sz w:val="18"/>
                <w:szCs w:val="18"/>
              </w:rPr>
              <w:t>检查</w:t>
            </w:r>
          </w:p>
        </w:tc>
        <w:tc>
          <w:tcPr>
            <w:tcW w:w="1029" w:type="dxa"/>
            <w:vMerge w:val="restart"/>
            <w:tcBorders>
              <w:tl2br w:val="nil"/>
              <w:tr2bl w:val="nil"/>
            </w:tcBorders>
            <w:vAlign w:val="center"/>
          </w:tcPr>
          <w:p>
            <w:pPr>
              <w:spacing w:before="20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对社会影响</w:t>
            </w:r>
            <w:r>
              <w:rPr>
                <w:rFonts w:hint="eastAsia" w:ascii="仿宋_GB2312" w:hAnsi="仿宋_GB2312" w:eastAsia="仿宋_GB2312" w:cs="仿宋_GB2312"/>
                <w:color w:val="000000" w:themeColor="text1"/>
                <w:spacing w:val="-1"/>
                <w:sz w:val="18"/>
                <w:szCs w:val="18"/>
              </w:rPr>
              <w:t>或生态破坏</w:t>
            </w:r>
            <w:r>
              <w:rPr>
                <w:rFonts w:hint="eastAsia" w:ascii="仿宋_GB2312" w:hAnsi="仿宋_GB2312" w:eastAsia="仿宋_GB2312" w:cs="仿宋_GB2312"/>
                <w:color w:val="000000" w:themeColor="text1"/>
                <w:spacing w:val="-7"/>
                <w:sz w:val="18"/>
                <w:szCs w:val="18"/>
              </w:rPr>
              <w:t>程度</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240"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682"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240"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682"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240"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682"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240"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1"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682"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682"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0" w:hRule="atLeast"/>
        </w:trPr>
        <w:tc>
          <w:tcPr>
            <w:tcW w:w="8658"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按期改正罚款金额＝百分值之和×最高法定罚款上限。</w:t>
            </w:r>
            <w:r>
              <w:rPr>
                <w:rFonts w:hint="eastAsia" w:ascii="仿宋_GB2312" w:hAnsi="仿宋_GB2312" w:eastAsia="仿宋_GB2312" w:cs="仿宋_GB2312"/>
                <w:color w:val="000000" w:themeColor="text1"/>
                <w:spacing w:val="-11"/>
                <w:w w:val="98"/>
                <w:sz w:val="18"/>
                <w:szCs w:val="18"/>
              </w:rPr>
              <w:t>（处罚金额不足法定处罚下限时，按法定处罚下限金额计算。处罚金额不得低于法定处罚下限。）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hRule="atLeast"/>
        </w:trPr>
        <w:tc>
          <w:tcPr>
            <w:tcW w:w="8658"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1.《建设项目环境保护管理条例》第十六条建设项目的初步设计，应当按照环境保护设计规范的要求，编制环境保护篇章，落实防治环境污染和生态破坏的措施以及环境保护设施投资概算。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建设项目环境保护管理条例》第二十二条第二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pStyle w:val="3"/>
        <w:autoSpaceDE w:val="0"/>
        <w:autoSpaceDN w:val="0"/>
        <w:spacing w:before="44" w:line="240" w:lineRule="auto"/>
        <w:jc w:val="center"/>
        <w:rPr>
          <w:rFonts w:ascii="仿宋" w:hAnsi="仿宋" w:eastAsia="仿宋" w:cs="仿宋"/>
          <w:bCs/>
          <w:color w:val="000000" w:themeColor="text1"/>
          <w:kern w:val="0"/>
          <w:sz w:val="24"/>
        </w:rPr>
      </w:pPr>
      <w:bookmarkStart w:id="89" w:name="_Toc31687"/>
      <w:bookmarkStart w:id="90" w:name="_Toc27334"/>
      <w:r>
        <w:rPr>
          <w:rFonts w:hint="eastAsia" w:ascii="仿宋" w:hAnsi="仿宋" w:eastAsia="仿宋" w:cs="仿宋"/>
          <w:bCs/>
          <w:color w:val="000000" w:themeColor="text1"/>
          <w:kern w:val="0"/>
          <w:sz w:val="24"/>
        </w:rPr>
        <w:t>表 7-1 需要配套建设的环境保护设施未建成、未经验收或者验收不合格投入生产和使用的罚款幅度裁定</w:t>
      </w:r>
      <w:bookmarkEnd w:id="89"/>
      <w:bookmarkEnd w:id="90"/>
    </w:p>
    <w:tbl>
      <w:tblPr>
        <w:tblStyle w:val="15"/>
        <w:tblW w:w="843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870"/>
        <w:gridCol w:w="778"/>
        <w:gridCol w:w="2187"/>
        <w:gridCol w:w="2119"/>
        <w:gridCol w:w="934"/>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2461" w:type="dxa"/>
            <w:gridSpan w:val="3"/>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978" w:type="dxa"/>
            <w:gridSpan w:val="4"/>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81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870"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77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306"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对环境影响</w:t>
            </w:r>
            <w:r>
              <w:rPr>
                <w:rFonts w:hint="eastAsia" w:ascii="仿宋_GB2312" w:hAnsi="仿宋_GB2312" w:eastAsia="仿宋_GB2312" w:cs="仿宋_GB2312"/>
                <w:color w:val="000000" w:themeColor="text1"/>
                <w:spacing w:val="-7"/>
                <w:sz w:val="18"/>
                <w:szCs w:val="18"/>
              </w:rPr>
              <w:t>程度</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类型</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934"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934"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程度</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配套建设安装治理设施，但未经验收、验收不合格的</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5%</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1"/>
                <w:sz w:val="18"/>
                <w:szCs w:val="18"/>
                <w:lang w:val="en-US"/>
              </w:rPr>
              <w:t>10%</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验收过程中弄虚作假的</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15%</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1"/>
                <w:sz w:val="18"/>
                <w:szCs w:val="18"/>
                <w:lang w:val="en-US"/>
              </w:rPr>
              <w:t>20%</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需要建设环境保护设施，未建成的</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25%</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1"/>
                <w:sz w:val="18"/>
                <w:szCs w:val="18"/>
                <w:lang w:val="en-US"/>
              </w:rPr>
              <w:t>30%</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持续时间</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违法行为持续1个月以下的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违法行为持续1个月以上3个月以下</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违法行为持续3个月以上的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20%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对社会影响</w:t>
            </w:r>
            <w:r>
              <w:rPr>
                <w:rFonts w:hint="eastAsia" w:ascii="仿宋_GB2312" w:hAnsi="仿宋_GB2312" w:eastAsia="仿宋_GB2312" w:cs="仿宋_GB2312"/>
                <w:color w:val="000000" w:themeColor="text1"/>
                <w:spacing w:val="-1"/>
                <w:sz w:val="18"/>
                <w:szCs w:val="18"/>
              </w:rPr>
              <w:t>或生态破坏</w:t>
            </w:r>
            <w:r>
              <w:rPr>
                <w:rFonts w:hint="eastAsia" w:ascii="仿宋_GB2312" w:hAnsi="仿宋_GB2312" w:eastAsia="仿宋_GB2312" w:cs="仿宋_GB2312"/>
                <w:color w:val="000000" w:themeColor="text1"/>
                <w:spacing w:val="-7"/>
                <w:sz w:val="18"/>
                <w:szCs w:val="18"/>
              </w:rPr>
              <w:t>程度</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306"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34"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73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306"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34"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73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306"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34"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73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34"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738"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34"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73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 w:hRule="atLeast"/>
        </w:trPr>
        <w:tc>
          <w:tcPr>
            <w:tcW w:w="843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11"/>
                <w:w w:val="98"/>
                <w:sz w:val="18"/>
                <w:szCs w:val="18"/>
                <w:lang w:val="en-US"/>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1.对单位罚款金额＝百分值之和×最高法定罚款上限。</w:t>
            </w:r>
          </w:p>
          <w:p>
            <w:pPr>
              <w:pStyle w:val="16"/>
              <w:spacing w:before="38"/>
              <w:ind w:left="594" w:right="116" w:firstLine="308" w:firstLineChars="200"/>
              <w:rPr>
                <w:rFonts w:ascii="仿宋_GB2312" w:hAnsi="仿宋_GB2312" w:eastAsia="仿宋_GB2312" w:cs="仿宋_GB2312"/>
                <w:color w:val="000000" w:themeColor="text1"/>
                <w:spacing w:val="-11"/>
                <w:w w:val="98"/>
                <w:sz w:val="18"/>
                <w:szCs w:val="18"/>
                <w:lang w:val="en-US"/>
              </w:rPr>
            </w:pPr>
            <w:r>
              <w:rPr>
                <w:rFonts w:hint="eastAsia" w:ascii="仿宋_GB2312" w:hAnsi="仿宋_GB2312" w:eastAsia="仿宋_GB2312" w:cs="仿宋_GB2312"/>
                <w:color w:val="000000" w:themeColor="text1"/>
                <w:spacing w:val="-11"/>
                <w:w w:val="98"/>
                <w:sz w:val="18"/>
                <w:szCs w:val="18"/>
                <w:lang w:val="en-US"/>
              </w:rPr>
              <w:t>2.对个人罚款金额＝百分值之和×最高法定罚款上限。</w:t>
            </w:r>
          </w:p>
          <w:p>
            <w:pPr>
              <w:pStyle w:val="16"/>
              <w:spacing w:before="38"/>
              <w:ind w:right="116" w:firstLine="924" w:firstLineChars="600"/>
              <w:rPr>
                <w:rFonts w:ascii="仿宋_GB2312" w:hAnsi="仿宋_GB2312" w:eastAsia="仿宋_GB2312" w:cs="仿宋_GB2312"/>
                <w:color w:val="000000" w:themeColor="text1"/>
                <w:szCs w:val="21"/>
                <w:lang w:val="en-US"/>
              </w:rPr>
            </w:pPr>
            <w:r>
              <w:rPr>
                <w:rFonts w:hint="eastAsia" w:ascii="仿宋_GB2312" w:hAnsi="仿宋_GB2312" w:eastAsia="仿宋_GB2312" w:cs="仿宋_GB2312"/>
                <w:color w:val="000000" w:themeColor="text1"/>
                <w:spacing w:val="-11"/>
                <w:w w:val="98"/>
                <w:sz w:val="18"/>
                <w:szCs w:val="18"/>
                <w:lang w:val="en-US"/>
              </w:rPr>
              <w:t>3.</w:t>
            </w:r>
            <w:r>
              <w:rPr>
                <w:rFonts w:hint="eastAsia" w:ascii="仿宋_GB2312" w:hAnsi="仿宋_GB2312" w:eastAsia="仿宋_GB2312" w:cs="仿宋_GB2312"/>
                <w:color w:val="000000" w:themeColor="text1"/>
                <w:spacing w:val="-11"/>
                <w:w w:val="98"/>
                <w:sz w:val="18"/>
                <w:szCs w:val="18"/>
              </w:rPr>
              <w:t>（处罚金额不足法定处罚下限时，按法定处罚下限金额计算。处罚金额不得低于法定处罚下限。）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hRule="atLeast"/>
        </w:trPr>
        <w:tc>
          <w:tcPr>
            <w:tcW w:w="843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七条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除按照国家规定需要保密的情形外，建设单位应当依法向社会公开验收报告。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建设项目环境保护管理条例》第十九条编制环境影响报告书、环境影响报告表的建设项目，其配套建设的环境保护设施经验收合格，方可投入生产或者使用；未经验收或者验收不合格的，不得投入生产或者使用。</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前款规定的建设项目投入生产或者使用后，应当按照国务院环境保护行政主管部门的规定开展环境影响后评价。</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5"/>
        <w:autoSpaceDE w:val="0"/>
        <w:autoSpaceDN w:val="0"/>
        <w:spacing w:before="44"/>
        <w:ind w:left="0"/>
        <w:jc w:val="left"/>
        <w:rPr>
          <w:color w:val="000000" w:themeColor="text1"/>
          <w:kern w:val="0"/>
        </w:rPr>
      </w:pPr>
    </w:p>
    <w:p>
      <w:pPr>
        <w:pStyle w:val="3"/>
        <w:autoSpaceDE w:val="0"/>
        <w:autoSpaceDN w:val="0"/>
        <w:spacing w:before="44" w:line="240" w:lineRule="auto"/>
        <w:jc w:val="center"/>
        <w:rPr>
          <w:rFonts w:ascii="仿宋" w:hAnsi="仿宋" w:eastAsia="仿宋" w:cs="仿宋"/>
          <w:bCs/>
          <w:color w:val="000000" w:themeColor="text1"/>
          <w:kern w:val="0"/>
          <w:sz w:val="24"/>
        </w:rPr>
      </w:pPr>
      <w:bookmarkStart w:id="91" w:name="_Toc11797"/>
      <w:bookmarkStart w:id="92" w:name="_Toc8420"/>
      <w:r>
        <w:rPr>
          <w:rFonts w:hint="eastAsia" w:ascii="仿宋" w:hAnsi="仿宋" w:eastAsia="仿宋" w:cs="仿宋"/>
          <w:bCs/>
          <w:color w:val="000000" w:themeColor="text1"/>
          <w:kern w:val="0"/>
          <w:sz w:val="24"/>
        </w:rPr>
        <w:t>表 7-2 畜禽规模养殖配套环保设施未建成，验收不合格或未委托他人处理的罚款幅度裁定</w:t>
      </w:r>
      <w:bookmarkEnd w:id="91"/>
      <w:bookmarkEnd w:id="92"/>
    </w:p>
    <w:tbl>
      <w:tblPr>
        <w:tblStyle w:val="15"/>
        <w:tblW w:w="83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9"/>
        <w:gridCol w:w="986"/>
        <w:gridCol w:w="1097"/>
        <w:gridCol w:w="3549"/>
        <w:gridCol w:w="809"/>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trPr>
        <w:tc>
          <w:tcPr>
            <w:tcW w:w="3192" w:type="dxa"/>
            <w:gridSpan w:val="3"/>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146" w:type="dxa"/>
            <w:gridSpan w:val="3"/>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11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86"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1097"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354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程度</w:t>
            </w:r>
          </w:p>
        </w:tc>
        <w:tc>
          <w:tcPr>
            <w:tcW w:w="986"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br w:type="textWrapping"/>
            </w:r>
            <w:r>
              <w:rPr>
                <w:rFonts w:hint="eastAsia" w:ascii="仿宋_GB2312" w:hAnsi="仿宋_GB2312" w:eastAsia="仿宋_GB2312" w:cs="仿宋_GB2312"/>
                <w:color w:val="000000" w:themeColor="text1"/>
                <w:kern w:val="0"/>
                <w:sz w:val="18"/>
                <w:szCs w:val="18"/>
              </w:rPr>
              <w:t>污染防治设施建设状态</w:t>
            </w:r>
          </w:p>
        </w:tc>
        <w:tc>
          <w:tcPr>
            <w:tcW w:w="109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t>20%</w:t>
            </w: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污染防治设施已建成未达要求</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t>5%</w:t>
            </w:r>
          </w:p>
        </w:tc>
        <w:tc>
          <w:tcPr>
            <w:tcW w:w="788"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污染防治设施在建</w:t>
            </w:r>
            <w:r>
              <w:rPr>
                <w:rStyle w:val="22"/>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kern w:val="0"/>
                <w:sz w:val="18"/>
                <w:szCs w:val="18"/>
              </w:rPr>
              <w:t>污染防治设施不正常运行</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kern w:val="0"/>
                <w:sz w:val="18"/>
                <w:szCs w:val="18"/>
              </w:rPr>
              <w:t>10%</w:t>
            </w:r>
          </w:p>
        </w:tc>
        <w:tc>
          <w:tcPr>
            <w:tcW w:w="788"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污染防治设施未建设</w:t>
            </w:r>
            <w:r>
              <w:rPr>
                <w:rStyle w:val="22"/>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kern w:val="0"/>
                <w:sz w:val="18"/>
                <w:szCs w:val="18"/>
              </w:rPr>
              <w:t>未委托他人对畜禽养殖废弃物进行综合利用和无害化处理</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t>20%</w:t>
            </w:r>
          </w:p>
        </w:tc>
        <w:tc>
          <w:tcPr>
            <w:tcW w:w="788"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持续时间</w:t>
            </w:r>
          </w:p>
        </w:tc>
        <w:tc>
          <w:tcPr>
            <w:tcW w:w="1097"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仿宋_GB2312" w:hAnsi="Times New Roman" w:eastAsia="仿宋_GB2312" w:cs="仿宋_GB2312"/>
                <w:color w:val="000000" w:themeColor="text1"/>
                <w:kern w:val="0"/>
                <w:sz w:val="18"/>
                <w:szCs w:val="18"/>
              </w:rPr>
              <w:t>不满</w:t>
            </w:r>
            <w:r>
              <w:rPr>
                <w:rFonts w:ascii="Times New Roman" w:hAnsi="Times New Roman" w:eastAsia="宋体" w:cs="Times New Roman"/>
                <w:color w:val="000000" w:themeColor="text1"/>
                <w:kern w:val="0"/>
                <w:sz w:val="18"/>
                <w:szCs w:val="18"/>
              </w:rPr>
              <w:t>3</w:t>
            </w:r>
            <w:r>
              <w:rPr>
                <w:rFonts w:ascii="仿宋_GB2312" w:hAnsi="Times New Roman" w:eastAsia="仿宋_GB2312" w:cs="仿宋_GB2312"/>
                <w:color w:val="000000" w:themeColor="text1"/>
                <w:kern w:val="0"/>
                <w:sz w:val="18"/>
                <w:szCs w:val="18"/>
              </w:rPr>
              <w:t>个月</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3</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6</w:t>
            </w:r>
            <w:r>
              <w:rPr>
                <w:rFonts w:ascii="仿宋_GB2312" w:hAnsi="Times New Roman" w:eastAsia="仿宋_GB2312" w:cs="仿宋_GB2312"/>
                <w:color w:val="000000" w:themeColor="text1"/>
                <w:kern w:val="0"/>
                <w:sz w:val="18"/>
                <w:szCs w:val="18"/>
              </w:rPr>
              <w:t>个月</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6</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12</w:t>
            </w:r>
            <w:r>
              <w:rPr>
                <w:rFonts w:ascii="仿宋_GB2312" w:hAnsi="Times New Roman" w:eastAsia="仿宋_GB2312" w:cs="仿宋_GB2312"/>
                <w:color w:val="000000" w:themeColor="text1"/>
                <w:kern w:val="0"/>
                <w:sz w:val="18"/>
                <w:szCs w:val="18"/>
              </w:rPr>
              <w:t>个月</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20%</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仿宋_GB2312" w:hAnsi="Times New Roman" w:eastAsia="仿宋_GB2312" w:cs="仿宋_GB2312"/>
                <w:color w:val="000000" w:themeColor="text1"/>
                <w:kern w:val="0"/>
                <w:sz w:val="18"/>
                <w:szCs w:val="18"/>
              </w:rPr>
              <w:t>养殖规模</w:t>
            </w:r>
          </w:p>
        </w:tc>
        <w:tc>
          <w:tcPr>
            <w:tcW w:w="109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Times New Roman" w:hAnsi="Times New Roman" w:eastAsia="宋体" w:cs="Times New Roman"/>
                <w:color w:val="000000" w:themeColor="text1"/>
                <w:kern w:val="0"/>
                <w:sz w:val="18"/>
                <w:szCs w:val="18"/>
              </w:rPr>
              <w:t>20%</w:t>
            </w: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500</w:t>
            </w:r>
            <w:r>
              <w:rPr>
                <w:rFonts w:ascii="仿宋_GB2312" w:hAnsi="Times New Roman" w:eastAsia="仿宋_GB2312" w:cs="仿宋_GB2312"/>
                <w:color w:val="000000" w:themeColor="text1"/>
                <w:kern w:val="0"/>
                <w:sz w:val="18"/>
                <w:szCs w:val="18"/>
              </w:rPr>
              <w:t>头＜猪存栏数</w:t>
            </w:r>
            <w:r>
              <w:rPr>
                <w:rFonts w:ascii="Times New Roman" w:hAnsi="Times New Roman" w:eastAsia="宋体" w:cs="Times New Roman"/>
                <w:color w:val="000000" w:themeColor="text1"/>
                <w:kern w:val="0"/>
                <w:sz w:val="18"/>
                <w:szCs w:val="18"/>
              </w:rPr>
              <w:t>≤1000</w:t>
            </w:r>
            <w:r>
              <w:rPr>
                <w:rFonts w:ascii="仿宋_GB2312" w:hAnsi="Times New Roman" w:eastAsia="仿宋_GB2312" w:cs="仿宋_GB2312"/>
                <w:color w:val="000000" w:themeColor="text1"/>
                <w:kern w:val="0"/>
                <w:sz w:val="18"/>
                <w:szCs w:val="18"/>
              </w:rPr>
              <w:t>头（其他畜禽种类按《畜禽养殖业污染物排放标准》折合猪的养殖规模）</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Times New Roman" w:hAnsi="Times New Roman" w:eastAsia="宋体" w:cs="Times New Roman"/>
                <w:color w:val="000000" w:themeColor="text1"/>
                <w:kern w:val="0"/>
                <w:sz w:val="18"/>
                <w:szCs w:val="18"/>
              </w:rPr>
              <w:t>4%</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1000</w:t>
            </w:r>
            <w:r>
              <w:rPr>
                <w:rFonts w:ascii="仿宋_GB2312" w:hAnsi="Times New Roman" w:eastAsia="仿宋_GB2312" w:cs="仿宋_GB2312"/>
                <w:color w:val="000000" w:themeColor="text1"/>
                <w:kern w:val="0"/>
                <w:sz w:val="18"/>
                <w:szCs w:val="18"/>
              </w:rPr>
              <w:t>头＜猪存栏数</w:t>
            </w:r>
            <w:r>
              <w:rPr>
                <w:rFonts w:ascii="Times New Roman" w:hAnsi="Times New Roman" w:eastAsia="宋体" w:cs="Times New Roman"/>
                <w:color w:val="000000" w:themeColor="text1"/>
                <w:kern w:val="0"/>
                <w:sz w:val="18"/>
                <w:szCs w:val="18"/>
              </w:rPr>
              <w:t>≤2000</w:t>
            </w:r>
            <w:r>
              <w:rPr>
                <w:rFonts w:ascii="仿宋_GB2312" w:hAnsi="Times New Roman" w:eastAsia="仿宋_GB2312" w:cs="仿宋_GB2312"/>
                <w:color w:val="000000" w:themeColor="text1"/>
                <w:kern w:val="0"/>
                <w:sz w:val="18"/>
                <w:szCs w:val="18"/>
              </w:rPr>
              <w:t>头</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Times New Roman" w:hAnsi="Times New Roman" w:eastAsia="宋体" w:cs="Times New Roman"/>
                <w:color w:val="000000" w:themeColor="text1"/>
                <w:kern w:val="0"/>
                <w:sz w:val="18"/>
                <w:szCs w:val="18"/>
              </w:rPr>
              <w:t>8%</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2000</w:t>
            </w:r>
            <w:r>
              <w:rPr>
                <w:rFonts w:ascii="仿宋_GB2312" w:hAnsi="Times New Roman" w:eastAsia="仿宋_GB2312" w:cs="仿宋_GB2312"/>
                <w:color w:val="000000" w:themeColor="text1"/>
                <w:kern w:val="0"/>
                <w:sz w:val="18"/>
                <w:szCs w:val="18"/>
              </w:rPr>
              <w:t>头＜猪存栏数</w:t>
            </w:r>
            <w:r>
              <w:rPr>
                <w:rFonts w:ascii="Times New Roman" w:hAnsi="Times New Roman" w:eastAsia="宋体" w:cs="Times New Roman"/>
                <w:color w:val="000000" w:themeColor="text1"/>
                <w:kern w:val="0"/>
                <w:sz w:val="18"/>
                <w:szCs w:val="18"/>
              </w:rPr>
              <w:t>≤4000</w:t>
            </w:r>
            <w:r>
              <w:rPr>
                <w:rFonts w:ascii="仿宋_GB2312" w:hAnsi="Times New Roman" w:eastAsia="仿宋_GB2312" w:cs="仿宋_GB2312"/>
                <w:color w:val="000000" w:themeColor="text1"/>
                <w:kern w:val="0"/>
                <w:sz w:val="18"/>
                <w:szCs w:val="18"/>
              </w:rPr>
              <w:t>头</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Times New Roman" w:hAnsi="Times New Roman" w:eastAsia="宋体" w:cs="Times New Roman"/>
                <w:color w:val="000000" w:themeColor="text1"/>
                <w:kern w:val="0"/>
                <w:sz w:val="18"/>
                <w:szCs w:val="18"/>
              </w:rPr>
              <w:t>12%</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4000</w:t>
            </w:r>
            <w:r>
              <w:rPr>
                <w:rFonts w:ascii="仿宋_GB2312" w:hAnsi="Times New Roman" w:eastAsia="仿宋_GB2312" w:cs="仿宋_GB2312"/>
                <w:color w:val="000000" w:themeColor="text1"/>
                <w:kern w:val="0"/>
                <w:sz w:val="18"/>
                <w:szCs w:val="18"/>
              </w:rPr>
              <w:t>头＜猪存栏数</w:t>
            </w:r>
            <w:r>
              <w:rPr>
                <w:rFonts w:ascii="Times New Roman" w:hAnsi="Times New Roman" w:eastAsia="宋体" w:cs="Times New Roman"/>
                <w:color w:val="000000" w:themeColor="text1"/>
                <w:kern w:val="0"/>
                <w:sz w:val="18"/>
                <w:szCs w:val="18"/>
              </w:rPr>
              <w:t>≤6000</w:t>
            </w:r>
            <w:r>
              <w:rPr>
                <w:rFonts w:ascii="仿宋_GB2312" w:hAnsi="Times New Roman" w:eastAsia="仿宋_GB2312" w:cs="仿宋_GB2312"/>
                <w:color w:val="000000" w:themeColor="text1"/>
                <w:kern w:val="0"/>
                <w:sz w:val="18"/>
                <w:szCs w:val="18"/>
              </w:rPr>
              <w:t>头</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4"/>
                <w:sz w:val="18"/>
                <w:szCs w:val="18"/>
              </w:rPr>
            </w:pPr>
            <w:r>
              <w:rPr>
                <w:rFonts w:ascii="Times New Roman" w:hAnsi="Times New Roman" w:eastAsia="宋体" w:cs="Times New Roman"/>
                <w:color w:val="000000" w:themeColor="text1"/>
                <w:kern w:val="0"/>
                <w:sz w:val="18"/>
                <w:szCs w:val="18"/>
              </w:rPr>
              <w:t>16%</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6000</w:t>
            </w:r>
            <w:r>
              <w:rPr>
                <w:rFonts w:ascii="仿宋_GB2312" w:hAnsi="Times New Roman" w:eastAsia="仿宋_GB2312" w:cs="仿宋_GB2312"/>
                <w:color w:val="000000" w:themeColor="text1"/>
                <w:kern w:val="0"/>
                <w:sz w:val="18"/>
                <w:szCs w:val="18"/>
              </w:rPr>
              <w:t>头以上</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4"/>
                <w:sz w:val="18"/>
                <w:szCs w:val="18"/>
              </w:rPr>
            </w:pPr>
            <w:r>
              <w:rPr>
                <w:rFonts w:ascii="Times New Roman" w:hAnsi="Times New Roman" w:eastAsia="宋体" w:cs="Times New Roman"/>
                <w:color w:val="000000" w:themeColor="text1"/>
                <w:kern w:val="0"/>
                <w:sz w:val="18"/>
                <w:szCs w:val="18"/>
              </w:rPr>
              <w:t>20%</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986"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是否配合</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执法检查</w:t>
            </w:r>
          </w:p>
        </w:tc>
        <w:tc>
          <w:tcPr>
            <w:tcW w:w="1097"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10%</w:t>
            </w:r>
          </w:p>
        </w:tc>
        <w:tc>
          <w:tcPr>
            <w:tcW w:w="3549" w:type="dxa"/>
            <w:tcBorders>
              <w:tl2br w:val="nil"/>
              <w:tr2bl w:val="nil"/>
            </w:tcBorders>
            <w:vAlign w:val="center"/>
          </w:tcPr>
          <w:p>
            <w:pPr>
              <w:pStyle w:val="16"/>
              <w:spacing w:before="38"/>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配合调查</w:t>
            </w:r>
          </w:p>
        </w:tc>
        <w:tc>
          <w:tcPr>
            <w:tcW w:w="809"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z w:val="18"/>
                <w:szCs w:val="18"/>
              </w:rPr>
              <w:t>0%</w:t>
            </w:r>
          </w:p>
        </w:tc>
        <w:tc>
          <w:tcPr>
            <w:tcW w:w="788"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pStyle w:val="16"/>
              <w:spacing w:before="38"/>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不配合调查</w:t>
            </w:r>
          </w:p>
        </w:tc>
        <w:tc>
          <w:tcPr>
            <w:tcW w:w="809"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788"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86"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1097"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54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立即改正（在规定期限内改正）</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拒不改正</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对社会影响</w:t>
            </w:r>
            <w:r>
              <w:rPr>
                <w:rFonts w:hint="eastAsia" w:ascii="仿宋_GB2312" w:hAnsi="仿宋_GB2312" w:eastAsia="仿宋_GB2312" w:cs="仿宋_GB2312"/>
                <w:color w:val="000000" w:themeColor="text1"/>
                <w:spacing w:val="-1"/>
                <w:sz w:val="18"/>
                <w:szCs w:val="18"/>
              </w:rPr>
              <w:t>或生态破坏</w:t>
            </w:r>
            <w:r>
              <w:rPr>
                <w:rFonts w:hint="eastAsia" w:ascii="仿宋_GB2312" w:hAnsi="仿宋_GB2312" w:eastAsia="仿宋_GB2312" w:cs="仿宋_GB2312"/>
                <w:color w:val="000000" w:themeColor="text1"/>
                <w:spacing w:val="-7"/>
                <w:sz w:val="18"/>
                <w:szCs w:val="18"/>
              </w:rPr>
              <w:t>程度</w:t>
            </w:r>
          </w:p>
        </w:tc>
        <w:tc>
          <w:tcPr>
            <w:tcW w:w="986"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1097"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49"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0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78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3549"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0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78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3549"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0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78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3549"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09"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788"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0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78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5" w:hRule="atLeast"/>
        </w:trPr>
        <w:tc>
          <w:tcPr>
            <w:tcW w:w="8338" w:type="dxa"/>
            <w:gridSpan w:val="6"/>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罚款金额＝百分值之和×最高法定罚款上限。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8338" w:type="dxa"/>
            <w:gridSpan w:val="6"/>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三条第二款、第三款未建设污染防治配套设施、自行建设的配套设施不合格，或者未委托他人对畜禽养殖废弃物进行综合利用和无害化处理的，畜禽养殖场、养殖小区不得投入生产或者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畜禽养殖场、养殖小区自行建设污染防治配套设施的，应当确保其正常运行。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pPr>
        <w:pStyle w:val="4"/>
        <w:spacing w:before="62"/>
        <w:ind w:left="0" w:firstLine="562" w:firstLineChars="200"/>
        <w:rPr>
          <w:rFonts w:ascii="楷体" w:hAnsi="楷体" w:eastAsia="楷体" w:cs="楷体"/>
          <w:color w:val="000000" w:themeColor="text1"/>
        </w:rPr>
      </w:pPr>
    </w:p>
    <w:p>
      <w:pPr>
        <w:pStyle w:val="4"/>
        <w:spacing w:before="62"/>
        <w:ind w:left="0"/>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spacing w:before="73"/>
        <w:ind w:right="108"/>
        <w:jc w:val="center"/>
        <w:outlineLvl w:val="1"/>
        <w:rPr>
          <w:rFonts w:ascii="仿宋" w:hAnsi="仿宋" w:eastAsia="仿宋" w:cs="仿宋"/>
          <w:b/>
          <w:bCs/>
          <w:color w:val="000000" w:themeColor="text1"/>
          <w:kern w:val="0"/>
          <w:sz w:val="24"/>
        </w:rPr>
      </w:pPr>
      <w:bookmarkStart w:id="93" w:name="_Toc31575"/>
      <w:bookmarkStart w:id="94" w:name="_Toc27102"/>
      <w:r>
        <w:rPr>
          <w:rFonts w:hint="eastAsia" w:ascii="仿宋" w:hAnsi="仿宋" w:eastAsia="仿宋" w:cs="仿宋"/>
          <w:b/>
          <w:bCs/>
          <w:color w:val="000000" w:themeColor="text1"/>
          <w:kern w:val="0"/>
          <w:sz w:val="24"/>
        </w:rPr>
        <w:t>表 8 未依法向社会公开环境保护设施验收报告的罚款幅度裁定</w:t>
      </w:r>
      <w:bookmarkEnd w:id="93"/>
      <w:bookmarkEnd w:id="94"/>
    </w:p>
    <w:tbl>
      <w:tblPr>
        <w:tblStyle w:val="15"/>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944"/>
        <w:gridCol w:w="1112"/>
        <w:gridCol w:w="2720"/>
        <w:gridCol w:w="1763"/>
        <w:gridCol w:w="843"/>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jc w:val="center"/>
        </w:trPr>
        <w:tc>
          <w:tcPr>
            <w:tcW w:w="2927" w:type="dxa"/>
            <w:gridSpan w:val="3"/>
            <w:tcBorders>
              <w:tl2br w:val="nil"/>
              <w:tr2bl w:val="nil"/>
            </w:tcBorders>
            <w:vAlign w:val="center"/>
          </w:tcPr>
          <w:p>
            <w:pPr>
              <w:spacing w:before="17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6072" w:type="dxa"/>
            <w:gridSpan w:val="4"/>
            <w:tcBorders>
              <w:tl2br w:val="nil"/>
              <w:tr2bl w:val="nil"/>
            </w:tcBorders>
            <w:vAlign w:val="center"/>
          </w:tcPr>
          <w:p>
            <w:pPr>
              <w:spacing w:before="177"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jc w:val="center"/>
        </w:trPr>
        <w:tc>
          <w:tcPr>
            <w:tcW w:w="87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4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1112"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483"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944"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10%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944"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1112"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843"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20%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843"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30%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44"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是否及时整改</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经责令公开，3日内公开的</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5%</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944"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
                <w:sz w:val="18"/>
                <w:szCs w:val="18"/>
              </w:rPr>
            </w:pPr>
          </w:p>
        </w:tc>
        <w:tc>
          <w:tcPr>
            <w:tcW w:w="1112"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1"/>
                <w:sz w:val="18"/>
                <w:szCs w:val="18"/>
                <w:lang w:val="en-US"/>
              </w:rPr>
              <w:t>10%</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经责令公开，3日后5日内公开的</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15%</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1"/>
                <w:sz w:val="18"/>
                <w:szCs w:val="18"/>
                <w:lang w:val="en-US"/>
              </w:rPr>
              <w:t>20%</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经责令公开，逾期不公开的</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25%</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1"/>
                <w:sz w:val="18"/>
                <w:szCs w:val="18"/>
                <w:lang w:val="en-US"/>
              </w:rPr>
              <w:t>30%</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restart"/>
            <w:tcBorders>
              <w:tl2br w:val="nil"/>
              <w:tr2bl w:val="nil"/>
            </w:tcBorders>
            <w:vAlign w:val="center"/>
          </w:tcPr>
          <w:p>
            <w:pPr>
              <w:spacing w:before="46" w:line="212" w:lineRule="auto"/>
              <w:ind w:left="240" w:right="224"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944"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执法检查</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r>
              <w:rPr>
                <w:rFonts w:hint="eastAsia" w:ascii="仿宋_GB2312" w:hAnsi="仿宋_GB2312" w:eastAsia="仿宋_GB2312" w:cs="仿宋_GB2312"/>
                <w:color w:val="000000" w:themeColor="text1"/>
                <w:spacing w:val="-10"/>
                <w:sz w:val="18"/>
                <w:szCs w:val="18"/>
              </w:rPr>
              <w:t>20%</w:t>
            </w: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112"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20%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restart"/>
            <w:tcBorders>
              <w:tl2br w:val="nil"/>
              <w:tr2bl w:val="nil"/>
            </w:tcBorders>
            <w:vAlign w:val="center"/>
          </w:tcPr>
          <w:p>
            <w:pPr>
              <w:spacing w:before="120"/>
              <w:ind w:left="232" w:right="224"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44"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是否造成社会影响或生态破坏</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r>
              <w:rPr>
                <w:rFonts w:hint="eastAsia" w:ascii="仿宋_GB2312" w:hAnsi="仿宋_GB2312" w:eastAsia="仿宋_GB2312" w:cs="仿宋_GB2312"/>
                <w:color w:val="000000" w:themeColor="text1"/>
                <w:spacing w:val="-10"/>
                <w:sz w:val="18"/>
                <w:szCs w:val="18"/>
              </w:rPr>
              <w:t>20%</w:t>
            </w:r>
          </w:p>
        </w:tc>
        <w:tc>
          <w:tcPr>
            <w:tcW w:w="448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43"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746"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43"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746"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43"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746"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43"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746"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43"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746"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7" w:hRule="atLeast"/>
          <w:jc w:val="center"/>
        </w:trPr>
        <w:tc>
          <w:tcPr>
            <w:tcW w:w="899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罚款金额＝百分值之和×最高法定罚款上限。（处罚金额不足法定处罚下限时，按法定处罚下限金额计算。处罚金额不得低于法定处罚下限。）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jc w:val="center"/>
        </w:trPr>
        <w:tc>
          <w:tcPr>
            <w:tcW w:w="899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1.《建设项目环境保护管理条例》第十七条</w:t>
      </w:r>
      <w:r>
        <w:rPr>
          <w:rFonts w:hint="eastAsia" w:ascii="仿宋_GB2312" w:hAnsi="仿宋_GB2312" w:eastAsia="仿宋_GB2312" w:cs="仿宋_GB2312"/>
          <w:color w:val="000000" w:themeColor="text1"/>
          <w:szCs w:val="21"/>
        </w:rPr>
        <w:t>第二款</w:t>
      </w:r>
      <w:r>
        <w:rPr>
          <w:rFonts w:ascii="仿宋_GB2312" w:hAnsi="仿宋_GB2312" w:eastAsia="仿宋_GB2312" w:cs="仿宋_GB2312"/>
          <w:color w:val="000000" w:themeColor="text1"/>
          <w:szCs w:val="21"/>
        </w:rPr>
        <w:t>除按照国家规定需要保密的情形外，建设单位应当依法向社会公开验收报告。</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2.《建设项目环境保护管理条例》第二十三条第二款违反本条例规定，建设单位未依法向社会公开环境保护设施验收报告的，由县级以上环境保护行政主管部门责令公开，处5万元以上20万元以下的罚款，并予以公告。</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 w:hAnsi="仿宋" w:eastAsia="仿宋" w:cs="仿宋"/>
          <w:b/>
          <w:bCs/>
          <w:color w:val="000000" w:themeColor="text1"/>
          <w:kern w:val="0"/>
        </w:rPr>
      </w:pPr>
    </w:p>
    <w:p>
      <w:pPr>
        <w:spacing w:before="73"/>
        <w:ind w:right="108"/>
        <w:jc w:val="center"/>
        <w:outlineLvl w:val="1"/>
        <w:rPr>
          <w:rFonts w:ascii="仿宋" w:hAnsi="仿宋" w:eastAsia="仿宋" w:cs="仿宋"/>
          <w:b/>
          <w:bCs/>
          <w:color w:val="000000" w:themeColor="text1"/>
          <w:kern w:val="0"/>
          <w:sz w:val="24"/>
        </w:rPr>
      </w:pPr>
      <w:bookmarkStart w:id="95" w:name="_Toc28980"/>
      <w:bookmarkStart w:id="96" w:name="_Toc26476"/>
      <w:r>
        <w:rPr>
          <w:rFonts w:hint="eastAsia" w:ascii="仿宋" w:hAnsi="仿宋" w:eastAsia="仿宋" w:cs="仿宋"/>
          <w:b/>
          <w:bCs/>
          <w:color w:val="000000" w:themeColor="text1"/>
          <w:kern w:val="0"/>
          <w:sz w:val="24"/>
        </w:rPr>
        <w:t>表 9技术机构向建设单位、从事环境影响评价工作的单位收取费用的罚款幅度裁定</w:t>
      </w:r>
      <w:bookmarkEnd w:id="95"/>
      <w:bookmarkEnd w:id="96"/>
    </w:p>
    <w:tbl>
      <w:tblPr>
        <w:tblStyle w:val="15"/>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901"/>
        <w:gridCol w:w="634"/>
        <w:gridCol w:w="2656"/>
        <w:gridCol w:w="1937"/>
        <w:gridCol w:w="1118"/>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jc w:val="center"/>
        </w:trPr>
        <w:tc>
          <w:tcPr>
            <w:tcW w:w="2550" w:type="dxa"/>
            <w:gridSpan w:val="3"/>
            <w:tcBorders>
              <w:tl2br w:val="nil"/>
              <w:tr2bl w:val="nil"/>
            </w:tcBorders>
            <w:vAlign w:val="center"/>
          </w:tcPr>
          <w:p>
            <w:pPr>
              <w:spacing w:before="17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6648" w:type="dxa"/>
            <w:gridSpan w:val="4"/>
            <w:tcBorders>
              <w:tl2br w:val="nil"/>
              <w:tr2bl w:val="nil"/>
            </w:tcBorders>
            <w:vAlign w:val="center"/>
          </w:tcPr>
          <w:p>
            <w:pPr>
              <w:spacing w:before="17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jc w:val="center"/>
        </w:trPr>
        <w:tc>
          <w:tcPr>
            <w:tcW w:w="1015"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0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593"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影响</w:t>
            </w:r>
            <w:r>
              <w:rPr>
                <w:rFonts w:hint="eastAsia" w:ascii="仿宋_GB2312" w:hAnsi="仿宋_GB2312" w:eastAsia="仿宋_GB2312" w:cs="仿宋_GB2312"/>
                <w:color w:val="000000" w:themeColor="text1"/>
                <w:spacing w:val="-7"/>
                <w:sz w:val="18"/>
                <w:szCs w:val="18"/>
              </w:rPr>
              <w:t>程度</w:t>
            </w: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34"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111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111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收取金额</w:t>
            </w:r>
          </w:p>
        </w:tc>
        <w:tc>
          <w:tcPr>
            <w:tcW w:w="634"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收取费用10万以内的</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5%</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lang w:val="en-US"/>
              </w:rPr>
            </w:pPr>
            <w:r>
              <w:rPr>
                <w:rFonts w:hint="eastAsia" w:ascii="仿宋_GB2312" w:hAnsi="仿宋_GB2312" w:eastAsia="仿宋_GB2312" w:cs="仿宋_GB2312"/>
                <w:color w:val="000000" w:themeColor="text1"/>
                <w:spacing w:val="-1"/>
                <w:sz w:val="18"/>
                <w:szCs w:val="18"/>
                <w:lang w:val="en-US"/>
              </w:rPr>
              <w:t>10%</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收取费用10万以上30万以下的</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lang w:val="en-US"/>
              </w:rPr>
            </w:pPr>
            <w:r>
              <w:rPr>
                <w:rFonts w:hint="eastAsia" w:ascii="仿宋_GB2312" w:hAnsi="仿宋_GB2312" w:eastAsia="仿宋_GB2312" w:cs="仿宋_GB2312"/>
                <w:color w:val="000000" w:themeColor="text1"/>
                <w:spacing w:val="-1"/>
                <w:sz w:val="18"/>
                <w:szCs w:val="18"/>
                <w:lang w:val="en-US"/>
              </w:rPr>
              <w:t>15%</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lang w:val="en-US"/>
              </w:rPr>
            </w:pPr>
            <w:r>
              <w:rPr>
                <w:rFonts w:hint="eastAsia" w:ascii="仿宋_GB2312" w:hAnsi="仿宋_GB2312" w:eastAsia="仿宋_GB2312" w:cs="仿宋_GB2312"/>
                <w:color w:val="000000" w:themeColor="text1"/>
                <w:spacing w:val="-1"/>
                <w:sz w:val="18"/>
                <w:szCs w:val="18"/>
                <w:lang w:val="en-US"/>
              </w:rPr>
              <w:t>20%</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收取费用30万以上的</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25%</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4"/>
                <w:sz w:val="18"/>
                <w:szCs w:val="18"/>
                <w:lang w:val="en-US"/>
              </w:rPr>
            </w:pPr>
            <w:r>
              <w:rPr>
                <w:rFonts w:hint="eastAsia" w:ascii="仿宋_GB2312" w:hAnsi="仿宋_GB2312" w:eastAsia="仿宋_GB2312" w:cs="仿宋_GB2312"/>
                <w:color w:val="000000" w:themeColor="text1"/>
                <w:spacing w:val="-1"/>
                <w:sz w:val="18"/>
                <w:szCs w:val="18"/>
                <w:lang w:val="en-US"/>
              </w:rPr>
              <w:t>30%</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一年内</w:t>
            </w:r>
          </w:p>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违法次数</w:t>
            </w:r>
          </w:p>
        </w:tc>
        <w:tc>
          <w:tcPr>
            <w:tcW w:w="634"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10%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20%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118"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118"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restart"/>
            <w:tcBorders>
              <w:tl2br w:val="nil"/>
              <w:tr2bl w:val="nil"/>
            </w:tcBorders>
            <w:vAlign w:val="center"/>
          </w:tcPr>
          <w:p>
            <w:pPr>
              <w:spacing w:before="46" w:line="212" w:lineRule="auto"/>
              <w:ind w:left="268" w:right="256"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634" w:type="dxa"/>
            <w:vMerge w:val="restart"/>
            <w:tcBorders>
              <w:tl2br w:val="nil"/>
              <w:tr2bl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restart"/>
            <w:tcBorders>
              <w:tl2br w:val="nil"/>
              <w:tr2bl w:val="nil"/>
            </w:tcBorders>
            <w:vAlign w:val="center"/>
          </w:tcPr>
          <w:p>
            <w:pPr>
              <w:spacing w:before="8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对社会影响</w:t>
            </w:r>
            <w:r>
              <w:rPr>
                <w:rFonts w:hint="eastAsia" w:ascii="仿宋_GB2312" w:hAnsi="仿宋_GB2312" w:eastAsia="仿宋_GB2312" w:cs="仿宋_GB2312"/>
                <w:color w:val="000000" w:themeColor="text1"/>
                <w:spacing w:val="-1"/>
                <w:sz w:val="18"/>
                <w:szCs w:val="18"/>
              </w:rPr>
              <w:t>或生态破坏</w:t>
            </w:r>
            <w:r>
              <w:rPr>
                <w:rFonts w:hint="eastAsia" w:ascii="仿宋_GB2312" w:hAnsi="仿宋_GB2312" w:eastAsia="仿宋_GB2312" w:cs="仿宋_GB2312"/>
                <w:color w:val="000000" w:themeColor="text1"/>
                <w:spacing w:val="-7"/>
                <w:sz w:val="18"/>
                <w:szCs w:val="18"/>
              </w:rPr>
              <w:t>程度</w:t>
            </w:r>
          </w:p>
        </w:tc>
        <w:tc>
          <w:tcPr>
            <w:tcW w:w="901" w:type="dxa"/>
            <w:vMerge w:val="restart"/>
            <w:tcBorders>
              <w:tl2br w:val="nil"/>
              <w:tr2bl w:val="nil"/>
            </w:tcBorders>
            <w:vAlign w:val="center"/>
          </w:tcPr>
          <w:p>
            <w:pPr>
              <w:spacing w:before="7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634" w:type="dxa"/>
            <w:vMerge w:val="restart"/>
            <w:tcBorders>
              <w:tl2br w:val="nil"/>
              <w:tr2bl w:val="nil"/>
            </w:tcBorders>
            <w:vAlign w:val="center"/>
          </w:tcPr>
          <w:p>
            <w:pPr>
              <w:spacing w:before="401" w:line="184" w:lineRule="auto"/>
              <w:ind w:firstLine="162" w:firstLineChars="1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20%</w:t>
            </w:r>
          </w:p>
        </w:tc>
        <w:tc>
          <w:tcPr>
            <w:tcW w:w="459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111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93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111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93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111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93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1118"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937"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111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93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jc w:val="center"/>
        </w:trPr>
        <w:tc>
          <w:tcPr>
            <w:tcW w:w="9198"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罚款金额＝收取费用额×1～3（由总百分值确定），但罚款金额不能低于收取费用额的1倍。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5" w:hRule="atLeast"/>
          <w:jc w:val="center"/>
        </w:trPr>
        <w:tc>
          <w:tcPr>
            <w:tcW w:w="9198"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1.《建设项目环境保护管理条例》第九条第三款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2.《建设项目环境保护管理条例》第二十四条违反本条例规定，技术机构向建设单位、从事环境影响评价工作的单位收取费用的，由县级以上环境保护行政主管部门责令退还所收费用，处所收费用1倍以上3倍以下的罚款。</w:t>
      </w:r>
    </w:p>
    <w:p>
      <w:pPr>
        <w:spacing w:before="73"/>
        <w:ind w:right="108" w:firstLine="420" w:firstLineChars="200"/>
        <w:rPr>
          <w:rFonts w:ascii="仿宋_GB2312" w:hAnsi="仿宋_GB2312" w:eastAsia="仿宋_GB2312" w:cs="仿宋_GB2312"/>
          <w:color w:val="000000" w:themeColor="text1"/>
          <w:szCs w:val="21"/>
        </w:rPr>
      </w:pP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 xml:space="preserve">                         总百分值表</w:t>
      </w:r>
    </w:p>
    <w:tbl>
      <w:tblPr>
        <w:tblStyle w:val="12"/>
        <w:tblpPr w:leftFromText="180" w:rightFromText="180" w:vertAnchor="text" w:horzAnchor="page" w:tblpX="2753"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3</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600" w:lineRule="exact"/>
        <w:ind w:firstLine="560" w:firstLineChars="200"/>
        <w:outlineLvl w:val="2"/>
        <w:rPr>
          <w:rFonts w:ascii="黑体" w:hAnsi="黑体" w:eastAsia="黑体" w:cs="黑体"/>
          <w:color w:val="000000" w:themeColor="text1"/>
          <w:sz w:val="28"/>
          <w:szCs w:val="28"/>
        </w:rPr>
      </w:pPr>
      <w:bookmarkStart w:id="97" w:name="_Toc32256"/>
      <w:bookmarkStart w:id="98" w:name="_Toc19748"/>
      <w:bookmarkStart w:id="99" w:name="_Toc8448"/>
      <w:r>
        <w:rPr>
          <w:rFonts w:hint="eastAsia" w:ascii="黑体" w:hAnsi="黑体" w:eastAsia="黑体" w:cs="黑体"/>
          <w:color w:val="000000" w:themeColor="text1"/>
          <w:sz w:val="28"/>
          <w:szCs w:val="28"/>
        </w:rPr>
        <w:t>二、本溪市生态环境局环境行政处罚裁量规则（大气类）</w:t>
      </w:r>
      <w:bookmarkEnd w:id="97"/>
      <w:bookmarkEnd w:id="98"/>
      <w:bookmarkEnd w:id="99"/>
    </w:p>
    <w:p>
      <w:pPr>
        <w:pStyle w:val="5"/>
        <w:ind w:left="0" w:right="901"/>
        <w:jc w:val="center"/>
        <w:rPr>
          <w:color w:val="000000" w:themeColor="text1"/>
          <w:kern w:val="0"/>
          <w:sz w:val="28"/>
          <w:szCs w:val="28"/>
          <w:lang w:bidi="ar-SA"/>
        </w:rPr>
      </w:pPr>
      <w:bookmarkStart w:id="100" w:name="_Toc27257"/>
      <w:bookmarkStart w:id="101" w:name="_Toc25131"/>
      <w:bookmarkStart w:id="102" w:name="_Toc15725"/>
      <w:r>
        <w:rPr>
          <w:rFonts w:hint="eastAsia"/>
          <w:color w:val="000000" w:themeColor="text1"/>
          <w:kern w:val="0"/>
          <w:sz w:val="24"/>
          <w:szCs w:val="24"/>
          <w:lang w:bidi="ar-SA"/>
        </w:rPr>
        <w:t xml:space="preserve">表 </w:t>
      </w:r>
      <w:r>
        <w:rPr>
          <w:rFonts w:hint="eastAsia"/>
          <w:color w:val="000000" w:themeColor="text1"/>
          <w:kern w:val="0"/>
          <w:sz w:val="24"/>
          <w:szCs w:val="24"/>
          <w:lang w:val="en-US" w:bidi="ar-SA"/>
        </w:rPr>
        <w:t>10</w:t>
      </w:r>
      <w:r>
        <w:rPr>
          <w:rFonts w:hint="eastAsia"/>
          <w:color w:val="000000" w:themeColor="text1"/>
          <w:kern w:val="0"/>
          <w:sz w:val="24"/>
          <w:szCs w:val="24"/>
          <w:lang w:bidi="ar-SA"/>
        </w:rPr>
        <w:t xml:space="preserve"> 拒绝检查及检查时弄虚作假的罚款幅度裁定</w:t>
      </w:r>
      <w:bookmarkEnd w:id="100"/>
      <w:bookmarkEnd w:id="101"/>
      <w:bookmarkEnd w:id="102"/>
    </w:p>
    <w:p>
      <w:pPr>
        <w:rPr>
          <w:color w:val="000000" w:themeColor="text1"/>
        </w:rPr>
      </w:pPr>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2111"/>
        <w:gridCol w:w="1364"/>
        <w:gridCol w:w="569"/>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3905" w:type="dxa"/>
            <w:gridSpan w:val="3"/>
          </w:tcPr>
          <w:p>
            <w:pPr>
              <w:spacing w:before="177" w:line="184" w:lineRule="auto"/>
              <w:ind w:firstLine="140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tcPr>
          <w:p>
            <w:pPr>
              <w:spacing w:before="177" w:line="184" w:lineRule="auto"/>
              <w:ind w:firstLine="173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6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7"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九条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2万元以上20万元以下的罚款；构成违反治安管理行为的，由公安机关依法予以处罚。</w:t>
      </w: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left="0" w:right="901"/>
        <w:rPr>
          <w:color w:val="000000" w:themeColor="text1"/>
        </w:rPr>
      </w:pPr>
    </w:p>
    <w:p>
      <w:pPr>
        <w:pStyle w:val="5"/>
        <w:ind w:right="901"/>
        <w:jc w:val="center"/>
        <w:rPr>
          <w:color w:val="000000" w:themeColor="text1"/>
        </w:rPr>
      </w:pPr>
    </w:p>
    <w:p>
      <w:pPr>
        <w:ind w:right="901"/>
        <w:jc w:val="center"/>
        <w:outlineLvl w:val="1"/>
        <w:rPr>
          <w:rFonts w:ascii="仿宋" w:hAnsi="仿宋" w:eastAsia="仿宋" w:cs="仿宋"/>
          <w:b/>
          <w:bCs/>
          <w:color w:val="000000" w:themeColor="text1"/>
          <w:kern w:val="0"/>
          <w:sz w:val="24"/>
          <w:lang w:val="zh-CN"/>
        </w:rPr>
      </w:pPr>
      <w:bookmarkStart w:id="103" w:name="_Toc17570"/>
      <w:bookmarkStart w:id="104" w:name="_Toc27190"/>
      <w:bookmarkStart w:id="105" w:name="_Toc23048"/>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zh-CN"/>
        </w:rPr>
        <w:t xml:space="preserve"> 未依法取得排污许可证排放大气污染物的罚款幅度裁定</w:t>
      </w:r>
      <w:bookmarkEnd w:id="103"/>
      <w:bookmarkEnd w:id="104"/>
      <w:bookmarkEnd w:id="105"/>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1557"/>
        <w:gridCol w:w="808"/>
        <w:gridCol w:w="1510"/>
        <w:gridCol w:w="2037"/>
        <w:gridCol w:w="736"/>
        <w:gridCol w:w="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3684"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55"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1319"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57"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0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547"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3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72"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restart"/>
            <w:tcBorders>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57" w:type="dxa"/>
            <w:vMerge w:val="restart"/>
            <w:tcBorders>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08" w:type="dxa"/>
            <w:vMerge w:val="restart"/>
            <w:tcBorders>
              <w:bottom w:val="single" w:color="000000" w:sz="2" w:space="0"/>
            </w:tcBorders>
            <w:vAlign w:val="center"/>
          </w:tcPr>
          <w:p>
            <w:pPr>
              <w:spacing w:before="78" w:line="184" w:lineRule="auto"/>
              <w:ind w:firstLine="160" w:firstLineChars="10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1510"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列入环境影响登记表类项目的</w:t>
            </w:r>
          </w:p>
        </w:tc>
        <w:tc>
          <w:tcPr>
            <w:tcW w:w="2037"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36"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3%</w:t>
            </w:r>
          </w:p>
        </w:tc>
        <w:tc>
          <w:tcPr>
            <w:tcW w:w="67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spacing w:before="78" w:line="184" w:lineRule="auto"/>
              <w:ind w:firstLine="160" w:firstLineChars="100"/>
              <w:jc w:val="center"/>
              <w:rPr>
                <w:rFonts w:ascii="仿宋_GB2312" w:hAnsi="仿宋_GB2312" w:eastAsia="仿宋_GB2312" w:cs="仿宋_GB2312"/>
                <w:color w:val="000000" w:themeColor="text1"/>
                <w:spacing w:val="-10"/>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持续时间30日以上60日以下</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spacing w:before="78" w:line="184" w:lineRule="auto"/>
              <w:ind w:firstLine="160" w:firstLineChars="100"/>
              <w:jc w:val="center"/>
              <w:rPr>
                <w:rFonts w:ascii="仿宋_GB2312" w:hAnsi="仿宋_GB2312" w:eastAsia="仿宋_GB2312" w:cs="仿宋_GB2312"/>
                <w:color w:val="000000" w:themeColor="text1"/>
                <w:spacing w:val="-10"/>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持续时间60天以上</w:t>
            </w:r>
          </w:p>
        </w:tc>
        <w:tc>
          <w:tcPr>
            <w:tcW w:w="736" w:type="dxa"/>
            <w:tcBorders>
              <w:top w:val="single" w:color="auto" w:sz="4"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672" w:type="dxa"/>
            <w:tcBorders>
              <w:top w:val="single" w:color="auto" w:sz="4"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2037" w:type="dxa"/>
            <w:tcBorders>
              <w:top w:val="single" w:color="000000" w:sz="2"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36" w:type="dxa"/>
            <w:tcBorders>
              <w:top w:val="single" w:color="000000" w:sz="2"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13%</w:t>
            </w:r>
          </w:p>
        </w:tc>
        <w:tc>
          <w:tcPr>
            <w:tcW w:w="672" w:type="dxa"/>
            <w:tcBorders>
              <w:top w:val="single" w:color="000000" w:sz="2"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持续时间30日以上60日以下</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持续时间60天以上</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2037" w:type="dxa"/>
            <w:tcBorders>
              <w:top w:val="single" w:color="000000" w:sz="2"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36" w:type="dxa"/>
            <w:tcBorders>
              <w:top w:val="single" w:color="000000" w:sz="2"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23%</w:t>
            </w:r>
          </w:p>
        </w:tc>
        <w:tc>
          <w:tcPr>
            <w:tcW w:w="672" w:type="dxa"/>
            <w:tcBorders>
              <w:top w:val="single" w:color="000000" w:sz="2"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持续时间30日以上60日以下</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25%</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持续时间60天以上</w:t>
            </w:r>
          </w:p>
        </w:tc>
        <w:tc>
          <w:tcPr>
            <w:tcW w:w="736" w:type="dxa"/>
            <w:tcBorders>
              <w:top w:val="single" w:color="auto" w:sz="4"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30%</w:t>
            </w:r>
          </w:p>
        </w:tc>
        <w:tc>
          <w:tcPr>
            <w:tcW w:w="672" w:type="dxa"/>
            <w:tcBorders>
              <w:top w:val="single" w:color="auto" w:sz="4"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违法行为形式</w:t>
            </w:r>
          </w:p>
        </w:tc>
        <w:tc>
          <w:tcPr>
            <w:tcW w:w="808"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1510"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经收集处理的</w:t>
            </w:r>
          </w:p>
        </w:tc>
        <w:tc>
          <w:tcPr>
            <w:tcW w:w="2037" w:type="dxa"/>
            <w:tcBorders>
              <w:top w:val="single" w:color="000000" w:sz="2"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其它废气</w:t>
            </w:r>
          </w:p>
        </w:tc>
        <w:tc>
          <w:tcPr>
            <w:tcW w:w="736" w:type="dxa"/>
            <w:tcBorders>
              <w:top w:val="single" w:color="000000" w:sz="2"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w:t>
            </w:r>
          </w:p>
        </w:tc>
        <w:tc>
          <w:tcPr>
            <w:tcW w:w="672" w:type="dxa"/>
            <w:tcBorders>
              <w:top w:val="single" w:color="000000" w:sz="2"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51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一般工业废气</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510"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含有毒有害物质的废气</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510" w:type="dxa"/>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未经收集处理的</w:t>
            </w: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其它废气</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12%</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51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一般工业废气</w:t>
            </w:r>
          </w:p>
        </w:tc>
        <w:tc>
          <w:tcPr>
            <w:tcW w:w="736" w:type="dxa"/>
            <w:tcBorders>
              <w:top w:val="single" w:color="auto" w:sz="4"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672" w:type="dxa"/>
            <w:tcBorders>
              <w:top w:val="single" w:color="auto" w:sz="4"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000000" w:sz="2" w:space="0"/>
              <w:left w:val="single" w:color="auto" w:sz="4"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含有毒有害物质的废气</w:t>
            </w:r>
          </w:p>
        </w:tc>
        <w:tc>
          <w:tcPr>
            <w:tcW w:w="736" w:type="dxa"/>
            <w:tcBorders>
              <w:top w:val="single" w:color="000000" w:sz="2"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672" w:type="dxa"/>
            <w:tcBorders>
              <w:top w:val="single" w:color="000000" w:sz="2"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57"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808" w:type="dxa"/>
            <w:vMerge w:val="restart"/>
            <w:tcBorders>
              <w:top w:val="single" w:color="000000" w:sz="2" w:space="0"/>
              <w:bottom w:val="single" w:color="000000" w:sz="2"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47"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36" w:type="dxa"/>
            <w:tcBorders>
              <w:top w:val="single" w:color="000000" w:sz="2"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672" w:type="dxa"/>
            <w:tcBorders>
              <w:top w:val="single" w:color="000000" w:sz="2"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547"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36" w:type="dxa"/>
            <w:tcBorders>
              <w:top w:val="single" w:color="000000" w:sz="2"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672" w:type="dxa"/>
            <w:tcBorders>
              <w:top w:val="single" w:color="000000" w:sz="2"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3547" w:type="dxa"/>
            <w:gridSpan w:val="2"/>
            <w:tcBorders>
              <w:top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36" w:type="dxa"/>
            <w:tcBorders>
              <w:top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672" w:type="dxa"/>
            <w:tcBorders>
              <w:top w:val="single" w:color="000000" w:sz="2"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54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36"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67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5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08"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54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36" w:type="dxa"/>
            <w:tcBorders>
              <w:right w:val="single" w:color="auto"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0%</w:t>
            </w:r>
          </w:p>
        </w:tc>
        <w:tc>
          <w:tcPr>
            <w:tcW w:w="672" w:type="dxa"/>
            <w:tcBorders>
              <w:left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54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3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bidi="zh-CN"/>
              </w:rPr>
              <w:t>5%</w:t>
            </w:r>
          </w:p>
        </w:tc>
        <w:tc>
          <w:tcPr>
            <w:tcW w:w="672" w:type="dxa"/>
            <w:tcBorders>
              <w:left w:val="single" w:color="auto" w:sz="4" w:space="0"/>
            </w:tcBorders>
            <w:vAlign w:val="center"/>
          </w:tcPr>
          <w:p>
            <w:pPr>
              <w:jc w:val="center"/>
              <w:rPr>
                <w:rFonts w:ascii="仿宋_GB2312" w:hAnsi="仿宋_GB2312" w:eastAsia="仿宋_GB2312" w:cs="仿宋_GB2312"/>
                <w:color w:val="000000" w:themeColor="text1"/>
                <w:spacing w:val="-1"/>
                <w:sz w:val="18"/>
                <w:szCs w:val="18"/>
                <w:lang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54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3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10%</w:t>
            </w:r>
          </w:p>
        </w:tc>
        <w:tc>
          <w:tcPr>
            <w:tcW w:w="672"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55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808"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47"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36"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67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08"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547"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08"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547"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08"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547"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36"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72"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08"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547"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exact"/>
        </w:trPr>
        <w:tc>
          <w:tcPr>
            <w:tcW w:w="863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7" w:hRule="exact"/>
        </w:trPr>
        <w:tc>
          <w:tcPr>
            <w:tcW w:w="863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十九条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一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210" w:firstLineChars="1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(一)未依法取得排污许可证排放大气污染物的；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lang w:val="zh-CN"/>
        </w:rPr>
      </w:pPr>
      <w:bookmarkStart w:id="106" w:name="_Toc3362"/>
      <w:bookmarkStart w:id="107" w:name="_Toc1759"/>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zh-CN"/>
        </w:rPr>
        <w:t xml:space="preserve"> 超过大气污染物排放标准或者超过重点大气污染物排放总量控制指标排放大气污染物的罚款幅度裁定</w:t>
      </w:r>
      <w:bookmarkEnd w:id="106"/>
      <w:bookmarkEnd w:id="107"/>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1465"/>
        <w:gridCol w:w="2250"/>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301" w:type="dxa"/>
            <w:tcBorders>
              <w:bottom w:val="single" w:color="000000" w:sz="2" w:space="0"/>
            </w:tcBorders>
            <w:vAlign w:val="center"/>
          </w:tcPr>
          <w:p>
            <w:pPr>
              <w:spacing w:before="198" w:line="184" w:lineRule="auto"/>
              <w:ind w:firstLine="42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35" w:type="dxa"/>
            <w:tcBorders>
              <w:bottom w:val="single" w:color="000000" w:sz="2" w:space="0"/>
            </w:tcBorders>
            <w:vAlign w:val="center"/>
          </w:tcPr>
          <w:p>
            <w:pPr>
              <w:spacing w:before="206" w:line="185" w:lineRule="auto"/>
              <w:ind w:firstLine="344"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81" w:type="dxa"/>
            <w:tcBorders>
              <w:bottom w:val="single" w:color="000000" w:sz="2" w:space="0"/>
            </w:tcBorders>
            <w:vAlign w:val="center"/>
          </w:tcPr>
          <w:p>
            <w:pPr>
              <w:spacing w:before="51"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spacing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15" w:type="dxa"/>
            <w:gridSpan w:val="2"/>
            <w:tcBorders>
              <w:bottom w:val="single" w:color="000000" w:sz="2" w:space="0"/>
            </w:tcBorders>
            <w:vAlign w:val="center"/>
          </w:tcPr>
          <w:p>
            <w:pPr>
              <w:spacing w:before="206" w:line="185" w:lineRule="auto"/>
              <w:ind w:firstLine="13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58" w:type="dxa"/>
            <w:tcBorders>
              <w:bottom w:val="single" w:color="000000" w:sz="2" w:space="0"/>
              <w:right w:val="single" w:color="auto" w:sz="4" w:space="0"/>
            </w:tcBorders>
            <w:vAlign w:val="center"/>
          </w:tcPr>
          <w:p>
            <w:pPr>
              <w:spacing w:before="206" w:line="185" w:lineRule="auto"/>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9" w:type="dxa"/>
            <w:tcBorders>
              <w:left w:val="single" w:color="auto" w:sz="4" w:space="0"/>
              <w:bottom w:val="single" w:color="000000" w:sz="2" w:space="0"/>
            </w:tcBorders>
            <w:vAlign w:val="center"/>
          </w:tcPr>
          <w:p>
            <w:pPr>
              <w:spacing w:before="206" w:line="185" w:lineRule="auto"/>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1" w:hRule="atLeast"/>
        </w:trPr>
        <w:tc>
          <w:tcPr>
            <w:tcW w:w="1301"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35"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81"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1465" w:type="dxa"/>
            <w:vMerge w:val="restart"/>
            <w:tcBorders>
              <w:top w:val="single" w:color="000000" w:sz="2" w:space="0"/>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列入环境影响登记表类项目的</w:t>
            </w:r>
            <w:r>
              <w:rPr>
                <w:rFonts w:hint="eastAsia" w:ascii="仿宋_GB2312" w:hAnsi="仿宋_GB2312" w:eastAsia="仿宋_GB2312" w:cs="仿宋_GB2312"/>
                <w:color w:val="000000" w:themeColor="text1"/>
                <w:sz w:val="18"/>
                <w:szCs w:val="18"/>
              </w:rPr>
              <w:t>。</w:t>
            </w:r>
          </w:p>
        </w:tc>
        <w:tc>
          <w:tcPr>
            <w:tcW w:w="2250"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z w:val="18"/>
                <w:szCs w:val="18"/>
                <w:lang w:val="en-US"/>
              </w:rPr>
              <w:t>一般废气（含工业废气）</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3%</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301"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35" w:type="dxa"/>
            <w:vMerge w:val="continue"/>
            <w:vAlign w:val="center"/>
          </w:tcPr>
          <w:p>
            <w:pPr>
              <w:spacing w:before="197"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197" w:line="184" w:lineRule="auto"/>
              <w:jc w:val="center"/>
              <w:rPr>
                <w:rFonts w:ascii="仿宋_GB2312" w:hAnsi="仿宋_GB2312" w:eastAsia="仿宋_GB2312" w:cs="仿宋_GB2312"/>
                <w:color w:val="000000" w:themeColor="text1"/>
                <w:spacing w:val="-7"/>
                <w:sz w:val="18"/>
                <w:szCs w:val="18"/>
              </w:rPr>
            </w:pPr>
          </w:p>
        </w:tc>
        <w:tc>
          <w:tcPr>
            <w:tcW w:w="1465" w:type="dxa"/>
            <w:vMerge w:val="continue"/>
            <w:tcBorders>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有毒有害废气</w:t>
            </w:r>
          </w:p>
        </w:tc>
        <w:tc>
          <w:tcPr>
            <w:tcW w:w="658" w:type="dxa"/>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2250"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一般废气（含工业废气）</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7%</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有毒有害废气</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2250" w:type="dxa"/>
            <w:tcBorders>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一般废气（含工业废气）</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有毒有害废气</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违法危害程度</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污染物超标一倍以内的</w:t>
            </w:r>
          </w:p>
        </w:tc>
        <w:tc>
          <w:tcPr>
            <w:tcW w:w="225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项以下</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污染物超标一倍以上两倍以下的</w:t>
            </w:r>
          </w:p>
        </w:tc>
        <w:tc>
          <w:tcPr>
            <w:tcW w:w="225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项以下</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7%</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污染物超标两倍以上的</w:t>
            </w:r>
          </w:p>
        </w:tc>
        <w:tc>
          <w:tcPr>
            <w:tcW w:w="225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项以下</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restart"/>
            <w:tcBorders>
              <w:bottom w:val="nil"/>
            </w:tcBorders>
            <w:vAlign w:val="center"/>
          </w:tcPr>
          <w:p>
            <w:pPr>
              <w:spacing w:before="46" w:line="212" w:lineRule="auto"/>
              <w:ind w:right="16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535" w:type="dxa"/>
            <w:vMerge w:val="restart"/>
            <w:tcBorders>
              <w:bottom w:val="nil"/>
            </w:tcBorders>
            <w:vAlign w:val="center"/>
          </w:tcPr>
          <w:p>
            <w:pPr>
              <w:spacing w:before="46"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z w:val="18"/>
                <w:szCs w:val="18"/>
              </w:rPr>
              <w:t>查</w:t>
            </w:r>
          </w:p>
        </w:tc>
        <w:tc>
          <w:tcPr>
            <w:tcW w:w="681"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restart"/>
            <w:tcBorders>
              <w:bottom w:val="nil"/>
            </w:tcBorders>
            <w:vAlign w:val="center"/>
          </w:tcPr>
          <w:p>
            <w:pPr>
              <w:spacing w:before="2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对社会影响或生态破坏程度</w:t>
            </w:r>
          </w:p>
        </w:tc>
        <w:tc>
          <w:tcPr>
            <w:tcW w:w="1535"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68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vAlign w:val="center"/>
          </w:tcPr>
          <w:p>
            <w:pPr>
              <w:spacing w:before="201"/>
              <w:jc w:val="center"/>
              <w:rPr>
                <w:rFonts w:ascii="仿宋_GB2312" w:hAnsi="仿宋_GB2312" w:eastAsia="仿宋_GB2312" w:cs="仿宋_GB2312"/>
                <w:color w:val="000000" w:themeColor="text1"/>
                <w:spacing w:val="-5"/>
                <w:sz w:val="18"/>
                <w:szCs w:val="18"/>
              </w:rPr>
            </w:pPr>
          </w:p>
        </w:tc>
        <w:tc>
          <w:tcPr>
            <w:tcW w:w="1535"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681" w:type="dxa"/>
            <w:vMerge w:val="continue"/>
            <w:vAlign w:val="center"/>
          </w:tcPr>
          <w:p>
            <w:pPr>
              <w:spacing w:before="79" w:line="184" w:lineRule="auto"/>
              <w:jc w:val="center"/>
              <w:rPr>
                <w:rFonts w:ascii="仿宋_GB2312" w:hAnsi="仿宋_GB2312" w:eastAsia="仿宋_GB2312" w:cs="仿宋_GB2312"/>
                <w:color w:val="000000" w:themeColor="text1"/>
                <w:spacing w:val="-7"/>
                <w:sz w:val="18"/>
                <w:szCs w:val="18"/>
              </w:rPr>
            </w:pPr>
          </w:p>
        </w:tc>
        <w:tc>
          <w:tcPr>
            <w:tcW w:w="3715"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58"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58"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58"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二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(二）超过大气污染物排放标准或者超过重点大气污染物排放总量控制指标排放大气污染物的。</w:t>
      </w: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sz w:val="24"/>
        </w:rPr>
      </w:pPr>
      <w:bookmarkStart w:id="108" w:name="_Toc502"/>
      <w:bookmarkStart w:id="109" w:name="_Toc12460"/>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zh-CN"/>
        </w:rPr>
        <w:t xml:space="preserve"> 通过逃避监管的方式排放大气污染物的罚款幅度裁定</w:t>
      </w:r>
      <w:bookmarkEnd w:id="108"/>
      <w:bookmarkEnd w:id="109"/>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487"/>
        <w:gridCol w:w="864"/>
        <w:gridCol w:w="2182"/>
        <w:gridCol w:w="1260"/>
        <w:gridCol w:w="886"/>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2" w:hRule="atLeast"/>
        </w:trPr>
        <w:tc>
          <w:tcPr>
            <w:tcW w:w="3579"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020"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1" w:hRule="atLeast"/>
        </w:trPr>
        <w:tc>
          <w:tcPr>
            <w:tcW w:w="1228" w:type="dxa"/>
            <w:vAlign w:val="center"/>
          </w:tcPr>
          <w:p>
            <w:pPr>
              <w:spacing w:before="196" w:line="184" w:lineRule="auto"/>
              <w:ind w:firstLine="38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487"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64"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442"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8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92"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restart"/>
            <w:tcBorders>
              <w:bottom w:val="nil"/>
            </w:tcBorders>
            <w:vAlign w:val="center"/>
          </w:tcPr>
          <w:p>
            <w:pPr>
              <w:spacing w:before="78"/>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48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64"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8"/>
                <w:sz w:val="18"/>
                <w:szCs w:val="18"/>
              </w:rPr>
              <w:t>50%</w:t>
            </w: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餐饮油烟(经营)</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vAlign w:val="center"/>
          </w:tcPr>
          <w:p>
            <w:pPr>
              <w:spacing w:before="78"/>
              <w:ind w:right="122"/>
              <w:jc w:val="center"/>
              <w:rPr>
                <w:rFonts w:ascii="仿宋_GB2312" w:hAnsi="仿宋_GB2312" w:eastAsia="仿宋_GB2312" w:cs="仿宋_GB2312"/>
                <w:color w:val="000000" w:themeColor="text1"/>
                <w:spacing w:val="-3"/>
                <w:sz w:val="18"/>
                <w:szCs w:val="18"/>
              </w:rPr>
            </w:pPr>
          </w:p>
        </w:tc>
        <w:tc>
          <w:tcPr>
            <w:tcW w:w="148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64" w:type="dxa"/>
            <w:vMerge w:val="continue"/>
            <w:vAlign w:val="center"/>
          </w:tcPr>
          <w:p>
            <w:pPr>
              <w:spacing w:before="78" w:line="184" w:lineRule="auto"/>
              <w:jc w:val="center"/>
              <w:rPr>
                <w:rFonts w:ascii="仿宋_GB2312" w:hAnsi="仿宋_GB2312" w:eastAsia="仿宋_GB2312" w:cs="仿宋_GB2312"/>
                <w:color w:val="000000" w:themeColor="text1"/>
                <w:spacing w:val="-8"/>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农业生产、畜禽养殖/工地扬尘/机械、汽车维修</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一般工业废气/含恶臭污染物的废气/医疗/实验室</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火电、钢铁、石化、水泥、炼焦、有色、化工废气、烟尘/燃煤锅炉废气、烟尘</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35%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40%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排放有毒有害气体或篡改、伪造监测数据的</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45%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8" w:type="dxa"/>
            <w:vMerge w:val="continue"/>
            <w:vAlign w:val="center"/>
          </w:tcPr>
          <w:p>
            <w:pPr>
              <w:jc w:val="center"/>
              <w:rPr>
                <w:rFonts w:ascii="仿宋_GB2312" w:hAnsi="仿宋_GB2312" w:eastAsia="仿宋_GB2312" w:cs="仿宋_GB2312"/>
                <w:color w:val="000000" w:themeColor="text1"/>
                <w:sz w:val="18"/>
                <w:szCs w:val="18"/>
              </w:rPr>
            </w:pPr>
          </w:p>
        </w:tc>
        <w:tc>
          <w:tcPr>
            <w:tcW w:w="1487" w:type="dxa"/>
            <w:vMerge w:val="continue"/>
            <w:vAlign w:val="center"/>
          </w:tcPr>
          <w:p>
            <w:pPr>
              <w:jc w:val="center"/>
              <w:rPr>
                <w:rFonts w:ascii="仿宋_GB2312" w:hAnsi="仿宋_GB2312" w:eastAsia="仿宋_GB2312" w:cs="仿宋_GB2312"/>
                <w:color w:val="000000" w:themeColor="text1"/>
                <w:sz w:val="18"/>
                <w:szCs w:val="18"/>
              </w:rPr>
            </w:pPr>
          </w:p>
        </w:tc>
        <w:tc>
          <w:tcPr>
            <w:tcW w:w="864" w:type="dxa"/>
            <w:vMerge w:val="continue"/>
            <w:vAlign w:val="center"/>
          </w:tcPr>
          <w:p>
            <w:pPr>
              <w:jc w:val="center"/>
              <w:rPr>
                <w:rFonts w:ascii="仿宋_GB2312" w:hAnsi="仿宋_GB2312" w:eastAsia="仿宋_GB2312" w:cs="仿宋_GB2312"/>
                <w:color w:val="000000" w:themeColor="text1"/>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50%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restart"/>
            <w:tcBorders>
              <w:bottom w:val="single" w:color="000000" w:sz="2" w:space="0"/>
            </w:tcBorders>
            <w:vAlign w:val="center"/>
          </w:tcPr>
          <w:p>
            <w:pPr>
              <w:spacing w:before="365" w:line="184" w:lineRule="auto"/>
              <w:ind w:firstLine="13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487" w:type="dxa"/>
            <w:vMerge w:val="restart"/>
            <w:tcBorders>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864" w:type="dxa"/>
            <w:vMerge w:val="restart"/>
            <w:tcBorders>
              <w:bottom w:val="single" w:color="000000" w:sz="2" w:space="0"/>
            </w:tcBorders>
            <w:vAlign w:val="center"/>
          </w:tcPr>
          <w:p>
            <w:pPr>
              <w:spacing w:before="365"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42" w:type="dxa"/>
            <w:gridSpan w:val="2"/>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886" w:type="dxa"/>
            <w:tcBorders>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92" w:type="dxa"/>
            <w:tcBorders>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886" w:type="dxa"/>
            <w:tcBorders>
              <w:top w:val="single" w:color="000000" w:sz="2"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692"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886" w:type="dxa"/>
            <w:tcBorders>
              <w:top w:val="single" w:color="000000" w:sz="2"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92"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886" w:type="dxa"/>
            <w:tcBorders>
              <w:top w:val="single" w:color="000000" w:sz="2"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92"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restart"/>
            <w:tcBorders>
              <w:top w:val="single" w:color="000000" w:sz="2" w:space="0"/>
              <w:bottom w:val="single" w:color="000000" w:sz="2"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487"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64" w:type="dxa"/>
            <w:vMerge w:val="restart"/>
            <w:tcBorders>
              <w:top w:val="single" w:color="000000" w:sz="2" w:space="0"/>
              <w:bottom w:val="single" w:color="000000" w:sz="2"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42"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886" w:type="dxa"/>
            <w:tcBorders>
              <w:top w:val="single" w:color="000000" w:sz="2"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92"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886" w:type="dxa"/>
            <w:tcBorders>
              <w:top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92" w:type="dxa"/>
            <w:tcBorders>
              <w:top w:val="single" w:color="000000" w:sz="2"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4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88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92"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restart"/>
            <w:tcBorders>
              <w:bottom w:val="nil"/>
            </w:tcBorders>
            <w:vAlign w:val="center"/>
          </w:tcPr>
          <w:p>
            <w:pPr>
              <w:spacing w:before="46" w:line="212" w:lineRule="auto"/>
              <w:ind w:left="137" w:right="122"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487" w:type="dxa"/>
            <w:vMerge w:val="restart"/>
            <w:tcBorders>
              <w:bottom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64" w:type="dxa"/>
            <w:vMerge w:val="restart"/>
            <w:tcBorders>
              <w:bottom w:val="nil"/>
            </w:tcBorders>
            <w:vAlign w:val="center"/>
          </w:tcPr>
          <w:p>
            <w:pPr>
              <w:spacing w:before="20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4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88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92"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4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8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692"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restart"/>
            <w:tcBorders>
              <w:bottom w:val="nil"/>
            </w:tcBorders>
            <w:vAlign w:val="center"/>
          </w:tcPr>
          <w:p>
            <w:pPr>
              <w:spacing w:before="200"/>
              <w:ind w:left="129" w:right="122"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8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86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42"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86"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69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vAlign w:val="center"/>
          </w:tcPr>
          <w:p>
            <w:pPr>
              <w:spacing w:before="200"/>
              <w:ind w:left="129" w:right="122" w:firstLine="9"/>
              <w:jc w:val="center"/>
              <w:rPr>
                <w:rFonts w:ascii="仿宋_GB2312" w:hAnsi="仿宋_GB2312" w:eastAsia="仿宋_GB2312" w:cs="仿宋_GB2312"/>
                <w:color w:val="000000" w:themeColor="text1"/>
                <w:spacing w:val="-3"/>
                <w:sz w:val="18"/>
                <w:szCs w:val="18"/>
              </w:rPr>
            </w:pPr>
          </w:p>
        </w:tc>
        <w:tc>
          <w:tcPr>
            <w:tcW w:w="148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64" w:type="dxa"/>
            <w:vMerge w:val="continue"/>
            <w:vAlign w:val="center"/>
          </w:tcPr>
          <w:p>
            <w:pPr>
              <w:spacing w:before="79" w:line="184" w:lineRule="auto"/>
              <w:jc w:val="center"/>
              <w:rPr>
                <w:rFonts w:ascii="仿宋_GB2312" w:hAnsi="仿宋_GB2312" w:eastAsia="仿宋_GB2312" w:cs="仿宋_GB2312"/>
                <w:color w:val="000000" w:themeColor="text1"/>
                <w:spacing w:val="-9"/>
                <w:sz w:val="18"/>
                <w:szCs w:val="18"/>
              </w:rPr>
            </w:pPr>
          </w:p>
        </w:tc>
        <w:tc>
          <w:tcPr>
            <w:tcW w:w="3442"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86"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w:t>
            </w:r>
          </w:p>
        </w:tc>
        <w:tc>
          <w:tcPr>
            <w:tcW w:w="69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86"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9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vAlign w:val="center"/>
          </w:tcPr>
          <w:p>
            <w:pPr>
              <w:jc w:val="center"/>
              <w:rPr>
                <w:rFonts w:ascii="仿宋_GB2312" w:hAnsi="仿宋_GB2312" w:eastAsia="仿宋_GB2312" w:cs="仿宋_GB2312"/>
                <w:color w:val="000000" w:themeColor="text1"/>
                <w:sz w:val="18"/>
                <w:szCs w:val="18"/>
              </w:rPr>
            </w:pPr>
          </w:p>
        </w:tc>
        <w:tc>
          <w:tcPr>
            <w:tcW w:w="1487" w:type="dxa"/>
            <w:vMerge w:val="continue"/>
            <w:vAlign w:val="center"/>
          </w:tcPr>
          <w:p>
            <w:pPr>
              <w:jc w:val="center"/>
              <w:rPr>
                <w:rFonts w:ascii="仿宋_GB2312" w:hAnsi="仿宋_GB2312" w:eastAsia="仿宋_GB2312" w:cs="仿宋_GB2312"/>
                <w:color w:val="000000" w:themeColor="text1"/>
                <w:sz w:val="18"/>
                <w:szCs w:val="18"/>
              </w:rPr>
            </w:pPr>
          </w:p>
        </w:tc>
        <w:tc>
          <w:tcPr>
            <w:tcW w:w="864" w:type="dxa"/>
            <w:vMerge w:val="continue"/>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86"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w:t>
            </w:r>
          </w:p>
        </w:tc>
        <w:tc>
          <w:tcPr>
            <w:tcW w:w="692"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8" w:type="dxa"/>
            <w:vMerge w:val="continue"/>
            <w:vAlign w:val="center"/>
          </w:tcPr>
          <w:p>
            <w:pPr>
              <w:jc w:val="center"/>
              <w:rPr>
                <w:rFonts w:ascii="仿宋_GB2312" w:hAnsi="仿宋_GB2312" w:eastAsia="仿宋_GB2312" w:cs="仿宋_GB2312"/>
                <w:color w:val="000000" w:themeColor="text1"/>
                <w:sz w:val="18"/>
                <w:szCs w:val="18"/>
              </w:rPr>
            </w:pPr>
          </w:p>
        </w:tc>
        <w:tc>
          <w:tcPr>
            <w:tcW w:w="1487" w:type="dxa"/>
            <w:vMerge w:val="continue"/>
            <w:vAlign w:val="center"/>
          </w:tcPr>
          <w:p>
            <w:pPr>
              <w:jc w:val="center"/>
              <w:rPr>
                <w:rFonts w:ascii="仿宋_GB2312" w:hAnsi="仿宋_GB2312" w:eastAsia="仿宋_GB2312" w:cs="仿宋_GB2312"/>
                <w:color w:val="000000" w:themeColor="text1"/>
                <w:sz w:val="18"/>
                <w:szCs w:val="18"/>
              </w:rPr>
            </w:pPr>
          </w:p>
        </w:tc>
        <w:tc>
          <w:tcPr>
            <w:tcW w:w="864" w:type="dxa"/>
            <w:vMerge w:val="continue"/>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8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9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3" w:hRule="atLeast"/>
        </w:trPr>
        <w:tc>
          <w:tcPr>
            <w:tcW w:w="859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859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条第二款禁止通过偷排、篡改或者伪造监测数据、以逃避现场检查为目的的临时停产、非紧急情况下开启应急排放通道、不正常运行大气污染防治设施等逃避监管的方式排放大气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三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（三）通过逃避监管的方式排放大气污染物。</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lang w:val="zh-CN"/>
        </w:rPr>
      </w:pPr>
      <w:bookmarkStart w:id="110" w:name="_Toc31142"/>
      <w:bookmarkStart w:id="111" w:name="_Toc15966"/>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14</w:t>
      </w:r>
      <w:r>
        <w:rPr>
          <w:rFonts w:hint="eastAsia" w:ascii="仿宋" w:hAnsi="仿宋" w:eastAsia="仿宋" w:cs="仿宋"/>
          <w:b/>
          <w:bCs/>
          <w:color w:val="000000" w:themeColor="text1"/>
          <w:kern w:val="0"/>
          <w:sz w:val="24"/>
          <w:lang w:val="zh-CN"/>
        </w:rPr>
        <w:t xml:space="preserve"> 侵占、损毁或者擅自移动、改变大气环境质量监测设施或者大气污染物排放自动监测设备的罚款幅度裁定</w:t>
      </w:r>
      <w:bookmarkEnd w:id="110"/>
      <w:bookmarkEnd w:id="111"/>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1464"/>
        <w:gridCol w:w="873"/>
        <w:gridCol w:w="1278"/>
        <w:gridCol w:w="2161"/>
        <w:gridCol w:w="813"/>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3554" w:type="dxa"/>
            <w:gridSpan w:val="3"/>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裁量要素</w:t>
            </w:r>
          </w:p>
        </w:tc>
        <w:tc>
          <w:tcPr>
            <w:tcW w:w="4965" w:type="dxa"/>
            <w:gridSpan w:val="4"/>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1217" w:type="dxa"/>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要素</w:t>
            </w:r>
          </w:p>
        </w:tc>
        <w:tc>
          <w:tcPr>
            <w:tcW w:w="1464" w:type="dxa"/>
            <w:vAlign w:val="center"/>
          </w:tcPr>
          <w:p>
            <w:pPr>
              <w:spacing w:before="196" w:line="184" w:lineRule="auto"/>
              <w:ind w:firstLine="381"/>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具体条件</w:t>
            </w:r>
          </w:p>
        </w:tc>
        <w:tc>
          <w:tcPr>
            <w:tcW w:w="873" w:type="dxa"/>
            <w:vAlign w:val="center"/>
          </w:tcPr>
          <w:p>
            <w:pPr>
              <w:spacing w:before="196" w:line="184" w:lineRule="auto"/>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构成比例</w:t>
            </w:r>
          </w:p>
        </w:tc>
        <w:tc>
          <w:tcPr>
            <w:tcW w:w="3439" w:type="dxa"/>
            <w:gridSpan w:val="2"/>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程度</w:t>
            </w:r>
          </w:p>
        </w:tc>
        <w:tc>
          <w:tcPr>
            <w:tcW w:w="813" w:type="dxa"/>
            <w:tcBorders>
              <w:right w:val="single" w:color="auto" w:sz="4" w:space="0"/>
            </w:tcBorders>
            <w:vAlign w:val="center"/>
          </w:tcPr>
          <w:p>
            <w:pPr>
              <w:spacing w:before="196" w:line="184" w:lineRule="auto"/>
              <w:ind w:firstLine="162" w:firstLineChars="100"/>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百分值</w:t>
            </w:r>
          </w:p>
        </w:tc>
        <w:tc>
          <w:tcPr>
            <w:tcW w:w="713" w:type="dxa"/>
            <w:tcBorders>
              <w:left w:val="single" w:color="auto" w:sz="4" w:space="0"/>
            </w:tcBorders>
            <w:vAlign w:val="center"/>
          </w:tcPr>
          <w:p>
            <w:pPr>
              <w:spacing w:before="196" w:line="184" w:lineRule="auto"/>
              <w:ind w:firstLine="162" w:firstLineChars="100"/>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restart"/>
            <w:tcBorders>
              <w:bottom w:val="nil"/>
            </w:tcBorders>
            <w:vAlign w:val="center"/>
          </w:tcPr>
          <w:p>
            <w:pPr>
              <w:spacing w:before="359"/>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46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73"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278"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不影响自动检测设施、设备正常使用的</w:t>
            </w:r>
          </w:p>
        </w:tc>
        <w:tc>
          <w:tcPr>
            <w:tcW w:w="216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5天以下</w:t>
            </w:r>
          </w:p>
        </w:tc>
        <w:tc>
          <w:tcPr>
            <w:tcW w:w="813"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713"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spacing w:before="359"/>
              <w:ind w:right="122"/>
              <w:jc w:val="center"/>
              <w:rPr>
                <w:rFonts w:ascii="仿宋_GB2312" w:hAnsi="仿宋_GB2312" w:eastAsia="仿宋_GB2312" w:cs="仿宋_GB2312"/>
                <w:color w:val="000000" w:themeColor="text1"/>
                <w:spacing w:val="-3"/>
                <w:sz w:val="18"/>
                <w:szCs w:val="18"/>
              </w:rPr>
            </w:pPr>
          </w:p>
        </w:tc>
        <w:tc>
          <w:tcPr>
            <w:tcW w:w="1464" w:type="dxa"/>
            <w:vMerge w:val="continue"/>
            <w:vAlign w:val="center"/>
          </w:tcPr>
          <w:p>
            <w:pPr>
              <w:spacing w:before="79" w:line="184" w:lineRule="auto"/>
              <w:jc w:val="center"/>
              <w:rPr>
                <w:rFonts w:ascii="仿宋_GB2312" w:hAnsi="仿宋_GB2312" w:eastAsia="仿宋_GB2312" w:cs="仿宋_GB2312"/>
                <w:color w:val="000000" w:themeColor="text1"/>
                <w:spacing w:val="-3"/>
                <w:sz w:val="18"/>
                <w:szCs w:val="18"/>
              </w:rPr>
            </w:pPr>
          </w:p>
        </w:tc>
        <w:tc>
          <w:tcPr>
            <w:tcW w:w="873" w:type="dxa"/>
            <w:vMerge w:val="continue"/>
            <w:vAlign w:val="center"/>
          </w:tcPr>
          <w:p>
            <w:pPr>
              <w:spacing w:before="79" w:line="184" w:lineRule="auto"/>
              <w:jc w:val="center"/>
              <w:rPr>
                <w:rFonts w:ascii="仿宋_GB2312" w:hAnsi="仿宋_GB2312" w:eastAsia="仿宋_GB2312" w:cs="仿宋_GB2312"/>
                <w:color w:val="000000" w:themeColor="text1"/>
                <w:spacing w:val="-6"/>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5天以上10天以下</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spacing w:before="359"/>
              <w:ind w:right="122"/>
              <w:jc w:val="center"/>
              <w:rPr>
                <w:rFonts w:ascii="仿宋_GB2312" w:hAnsi="仿宋_GB2312" w:eastAsia="仿宋_GB2312" w:cs="仿宋_GB2312"/>
                <w:color w:val="000000" w:themeColor="text1"/>
                <w:spacing w:val="-3"/>
                <w:sz w:val="18"/>
                <w:szCs w:val="18"/>
              </w:rPr>
            </w:pPr>
          </w:p>
        </w:tc>
        <w:tc>
          <w:tcPr>
            <w:tcW w:w="1464" w:type="dxa"/>
            <w:vMerge w:val="continue"/>
            <w:vAlign w:val="center"/>
          </w:tcPr>
          <w:p>
            <w:pPr>
              <w:spacing w:before="79" w:line="184" w:lineRule="auto"/>
              <w:jc w:val="center"/>
              <w:rPr>
                <w:rFonts w:ascii="仿宋_GB2312" w:hAnsi="仿宋_GB2312" w:eastAsia="仿宋_GB2312" w:cs="仿宋_GB2312"/>
                <w:color w:val="000000" w:themeColor="text1"/>
                <w:spacing w:val="-3"/>
                <w:sz w:val="18"/>
                <w:szCs w:val="18"/>
              </w:rPr>
            </w:pPr>
          </w:p>
        </w:tc>
        <w:tc>
          <w:tcPr>
            <w:tcW w:w="873" w:type="dxa"/>
            <w:vMerge w:val="continue"/>
            <w:vAlign w:val="center"/>
          </w:tcPr>
          <w:p>
            <w:pPr>
              <w:spacing w:before="79" w:line="184" w:lineRule="auto"/>
              <w:jc w:val="center"/>
              <w:rPr>
                <w:rFonts w:ascii="仿宋_GB2312" w:hAnsi="仿宋_GB2312" w:eastAsia="仿宋_GB2312" w:cs="仿宋_GB2312"/>
                <w:color w:val="000000" w:themeColor="text1"/>
                <w:spacing w:val="-6"/>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10天以上20天以下</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spacing w:before="359"/>
              <w:ind w:right="122"/>
              <w:jc w:val="center"/>
              <w:rPr>
                <w:rFonts w:ascii="仿宋_GB2312" w:hAnsi="仿宋_GB2312" w:eastAsia="仿宋_GB2312" w:cs="仿宋_GB2312"/>
                <w:color w:val="000000" w:themeColor="text1"/>
                <w:spacing w:val="-3"/>
                <w:sz w:val="18"/>
                <w:szCs w:val="18"/>
              </w:rPr>
            </w:pPr>
          </w:p>
        </w:tc>
        <w:tc>
          <w:tcPr>
            <w:tcW w:w="1464" w:type="dxa"/>
            <w:vMerge w:val="continue"/>
            <w:vAlign w:val="center"/>
          </w:tcPr>
          <w:p>
            <w:pPr>
              <w:spacing w:before="79" w:line="184" w:lineRule="auto"/>
              <w:jc w:val="center"/>
              <w:rPr>
                <w:rFonts w:ascii="仿宋_GB2312" w:hAnsi="仿宋_GB2312" w:eastAsia="仿宋_GB2312" w:cs="仿宋_GB2312"/>
                <w:color w:val="000000" w:themeColor="text1"/>
                <w:spacing w:val="-3"/>
                <w:sz w:val="18"/>
                <w:szCs w:val="18"/>
              </w:rPr>
            </w:pPr>
          </w:p>
        </w:tc>
        <w:tc>
          <w:tcPr>
            <w:tcW w:w="873" w:type="dxa"/>
            <w:vMerge w:val="continue"/>
            <w:vAlign w:val="center"/>
          </w:tcPr>
          <w:p>
            <w:pPr>
              <w:spacing w:before="79" w:line="184" w:lineRule="auto"/>
              <w:jc w:val="center"/>
              <w:rPr>
                <w:rFonts w:ascii="仿宋_GB2312" w:hAnsi="仿宋_GB2312" w:eastAsia="仿宋_GB2312" w:cs="仿宋_GB2312"/>
                <w:color w:val="000000" w:themeColor="text1"/>
                <w:spacing w:val="-6"/>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20天以上</w:t>
            </w:r>
          </w:p>
        </w:tc>
        <w:tc>
          <w:tcPr>
            <w:tcW w:w="813"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713"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78"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导致自动检测设施、设备不能正常使用的</w:t>
            </w:r>
          </w:p>
        </w:tc>
        <w:tc>
          <w:tcPr>
            <w:tcW w:w="216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5天以下</w:t>
            </w:r>
          </w:p>
        </w:tc>
        <w:tc>
          <w:tcPr>
            <w:tcW w:w="813"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25%</w:t>
            </w:r>
          </w:p>
        </w:tc>
        <w:tc>
          <w:tcPr>
            <w:tcW w:w="713"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5天以上10天以下</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30%</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10天以上20天以下</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35%</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20天以上</w:t>
            </w:r>
          </w:p>
        </w:tc>
        <w:tc>
          <w:tcPr>
            <w:tcW w:w="813"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40%</w:t>
            </w:r>
          </w:p>
        </w:tc>
        <w:tc>
          <w:tcPr>
            <w:tcW w:w="713"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464"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873"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464"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73"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restart"/>
            <w:tcBorders>
              <w:bottom w:val="nil"/>
            </w:tcBorders>
            <w:vAlign w:val="center"/>
          </w:tcPr>
          <w:p>
            <w:pPr>
              <w:spacing w:before="48" w:line="212" w:lineRule="auto"/>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464" w:type="dxa"/>
            <w:vMerge w:val="restart"/>
            <w:tcBorders>
              <w:bottom w:val="nil"/>
            </w:tcBorders>
            <w:vAlign w:val="center"/>
          </w:tcPr>
          <w:p>
            <w:pPr>
              <w:spacing w:before="48" w:line="212" w:lineRule="auto"/>
              <w:ind w:right="189"/>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是否配合执法</w:t>
            </w:r>
          </w:p>
          <w:p>
            <w:pPr>
              <w:spacing w:before="48"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检</w:t>
            </w:r>
            <w:r>
              <w:rPr>
                <w:rFonts w:hint="eastAsia" w:ascii="仿宋_GB2312" w:hAnsi="仿宋_GB2312" w:eastAsia="仿宋_GB2312" w:cs="仿宋_GB2312"/>
                <w:color w:val="000000" w:themeColor="text1"/>
                <w:sz w:val="18"/>
                <w:szCs w:val="18"/>
              </w:rPr>
              <w:t>查</w:t>
            </w:r>
          </w:p>
        </w:tc>
        <w:tc>
          <w:tcPr>
            <w:tcW w:w="873" w:type="dxa"/>
            <w:vMerge w:val="restart"/>
            <w:tcBorders>
              <w:bottom w:val="nil"/>
            </w:tcBorders>
            <w:vAlign w:val="center"/>
          </w:tcPr>
          <w:p>
            <w:pPr>
              <w:spacing w:before="204"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restart"/>
            <w:tcBorders>
              <w:bottom w:val="nil"/>
            </w:tcBorders>
            <w:vAlign w:val="center"/>
          </w:tcPr>
          <w:p>
            <w:pPr>
              <w:spacing w:before="48" w:line="221" w:lineRule="auto"/>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64" w:type="dxa"/>
            <w:vMerge w:val="restart"/>
            <w:tcBorders>
              <w:bottom w:val="nil"/>
            </w:tcBorders>
            <w:vAlign w:val="center"/>
          </w:tcPr>
          <w:p>
            <w:pPr>
              <w:spacing w:before="203"/>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873"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39" w:type="dxa"/>
            <w:gridSpan w:val="2"/>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13"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713"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3439"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3439"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13"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713"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3439"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851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851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1.《中华人民共和国大气污染防治法》第二十六条禁止侵占、损毁或者擅自移动、改变大气环境质量监测设施和大气污染物排放自动监测设备。</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2.《中华人民共和国大气污染防治法》第一百条第一项违反本法规定，有下列行为之一的，由县级以上人民政府生态环境主管部门责令改正，处2万元以上20万元以下的罚款；拒不改正的，责令停产整治：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（一）侵占、损毁或者擅自移动、改变大气环境质量监测设施或者大气污染物排放自动监测设备的；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二十条第三款重点排污单位不得侵占、损毁、干扰或者擅自移动、改变大气环境质量监测设施和大气污染物排放自动监测设备。环境保护主管部门应当对自动监测设备运行情况进行随机抽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4.《辽宁省大气污染防治条例》第五十七条第五项违反本条例规定，有下列情形之一的，由生态环境主管部门责令限期改正，并按照下列规定予以罚款；逾期不改正的，责令停产整治：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（五）侵占、损毁、干扰或者擅自移动、改变大气环境质量监测设施和大气污染物排放自动监测设备的，处10万元罚款；情节严重的，处20万元罚款；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sz w:val="24"/>
        </w:rPr>
      </w:pPr>
      <w:bookmarkStart w:id="112" w:name="_Toc17350"/>
      <w:bookmarkStart w:id="113" w:name="_Toc23912"/>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15</w:t>
      </w:r>
      <w:r>
        <w:rPr>
          <w:rFonts w:hint="eastAsia" w:ascii="仿宋" w:hAnsi="仿宋" w:eastAsia="仿宋" w:cs="仿宋"/>
          <w:b/>
          <w:bCs/>
          <w:color w:val="000000" w:themeColor="text1"/>
          <w:kern w:val="0"/>
          <w:sz w:val="24"/>
          <w:lang w:val="zh-CN"/>
        </w:rPr>
        <w:t xml:space="preserve"> 未按照规定进行监测并保存原始监测记录的罚款幅度裁定</w:t>
      </w:r>
      <w:bookmarkEnd w:id="112"/>
      <w:bookmarkEnd w:id="113"/>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1443"/>
        <w:gridCol w:w="840"/>
        <w:gridCol w:w="1511"/>
        <w:gridCol w:w="967"/>
        <w:gridCol w:w="921"/>
        <w:gridCol w:w="1000"/>
        <w:gridCol w:w="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6" w:hRule="atLeast"/>
        </w:trPr>
        <w:tc>
          <w:tcPr>
            <w:tcW w:w="3502" w:type="dxa"/>
            <w:gridSpan w:val="3"/>
            <w:vAlign w:val="center"/>
          </w:tcPr>
          <w:p>
            <w:pPr>
              <w:spacing w:before="178" w:line="184" w:lineRule="auto"/>
              <w:ind w:firstLine="148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077" w:type="dxa"/>
            <w:gridSpan w:val="5"/>
            <w:vAlign w:val="center"/>
          </w:tcPr>
          <w:p>
            <w:pPr>
              <w:spacing w:before="178" w:line="184" w:lineRule="auto"/>
              <w:ind w:firstLine="1698"/>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1219"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443"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840"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399"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678"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4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8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40%</w:t>
            </w:r>
          </w:p>
        </w:tc>
        <w:tc>
          <w:tcPr>
            <w:tcW w:w="1511"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已经开展自行监测但未按规定保存原始监测记录的</w:t>
            </w:r>
          </w:p>
        </w:tc>
        <w:tc>
          <w:tcPr>
            <w:tcW w:w="967" w:type="dxa"/>
            <w:vMerge w:val="restart"/>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工业废气</w:t>
            </w:r>
          </w:p>
        </w:tc>
        <w:tc>
          <w:tcPr>
            <w:tcW w:w="92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报告表</w:t>
            </w:r>
          </w:p>
        </w:tc>
        <w:tc>
          <w:tcPr>
            <w:tcW w:w="100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78"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vAlign w:val="center"/>
          </w:tcPr>
          <w:p>
            <w:pPr>
              <w:jc w:val="center"/>
              <w:rPr>
                <w:rFonts w:ascii="仿宋" w:hAnsi="仿宋" w:eastAsia="仿宋" w:cs="仿宋"/>
                <w:color w:val="000000" w:themeColor="text1"/>
                <w:spacing w:val="-3"/>
                <w:sz w:val="18"/>
                <w:szCs w:val="18"/>
              </w:rPr>
            </w:pPr>
          </w:p>
        </w:tc>
        <w:tc>
          <w:tcPr>
            <w:tcW w:w="1443" w:type="dxa"/>
            <w:vMerge w:val="continue"/>
            <w:vAlign w:val="center"/>
          </w:tcPr>
          <w:p>
            <w:pPr>
              <w:jc w:val="center"/>
              <w:rPr>
                <w:rFonts w:ascii="仿宋" w:hAnsi="仿宋" w:eastAsia="仿宋" w:cs="仿宋"/>
                <w:color w:val="000000" w:themeColor="text1"/>
                <w:spacing w:val="-3"/>
                <w:sz w:val="18"/>
                <w:szCs w:val="18"/>
              </w:rPr>
            </w:pPr>
          </w:p>
        </w:tc>
        <w:tc>
          <w:tcPr>
            <w:tcW w:w="840" w:type="dxa"/>
            <w:vMerge w:val="continue"/>
            <w:vAlign w:val="center"/>
          </w:tcPr>
          <w:p>
            <w:pPr>
              <w:jc w:val="center"/>
              <w:rPr>
                <w:rFonts w:ascii="仿宋" w:hAnsi="仿宋" w:eastAsia="仿宋" w:cs="仿宋"/>
                <w:color w:val="000000" w:themeColor="text1"/>
                <w:spacing w:val="-6"/>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p>
        </w:tc>
        <w:tc>
          <w:tcPr>
            <w:tcW w:w="92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报告书</w:t>
            </w:r>
          </w:p>
        </w:tc>
        <w:tc>
          <w:tcPr>
            <w:tcW w:w="10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vAlign w:val="center"/>
          </w:tcPr>
          <w:p>
            <w:pPr>
              <w:jc w:val="center"/>
              <w:rPr>
                <w:rFonts w:ascii="仿宋" w:hAnsi="仿宋" w:eastAsia="仿宋" w:cs="仿宋"/>
                <w:color w:val="000000" w:themeColor="text1"/>
                <w:spacing w:val="-3"/>
                <w:sz w:val="18"/>
                <w:szCs w:val="18"/>
              </w:rPr>
            </w:pPr>
          </w:p>
        </w:tc>
        <w:tc>
          <w:tcPr>
            <w:tcW w:w="1443" w:type="dxa"/>
            <w:vMerge w:val="continue"/>
            <w:vAlign w:val="center"/>
          </w:tcPr>
          <w:p>
            <w:pPr>
              <w:jc w:val="center"/>
              <w:rPr>
                <w:rFonts w:ascii="仿宋" w:hAnsi="仿宋" w:eastAsia="仿宋" w:cs="仿宋"/>
                <w:color w:val="000000" w:themeColor="text1"/>
                <w:spacing w:val="-3"/>
                <w:sz w:val="18"/>
                <w:szCs w:val="18"/>
              </w:rPr>
            </w:pPr>
          </w:p>
        </w:tc>
        <w:tc>
          <w:tcPr>
            <w:tcW w:w="840" w:type="dxa"/>
            <w:vMerge w:val="continue"/>
            <w:vAlign w:val="center"/>
          </w:tcPr>
          <w:p>
            <w:pPr>
              <w:jc w:val="center"/>
              <w:rPr>
                <w:rFonts w:ascii="仿宋" w:hAnsi="仿宋" w:eastAsia="仿宋" w:cs="仿宋"/>
                <w:color w:val="000000" w:themeColor="text1"/>
                <w:spacing w:val="-6"/>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有毒有害污染物</w:t>
            </w:r>
          </w:p>
        </w:tc>
        <w:tc>
          <w:tcPr>
            <w:tcW w:w="92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报告表</w:t>
            </w:r>
          </w:p>
        </w:tc>
        <w:tc>
          <w:tcPr>
            <w:tcW w:w="10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vAlign w:val="center"/>
          </w:tcPr>
          <w:p>
            <w:pPr>
              <w:jc w:val="center"/>
              <w:rPr>
                <w:rFonts w:ascii="仿宋" w:hAnsi="仿宋" w:eastAsia="仿宋" w:cs="仿宋"/>
                <w:color w:val="000000" w:themeColor="text1"/>
                <w:spacing w:val="-3"/>
                <w:sz w:val="18"/>
                <w:szCs w:val="18"/>
              </w:rPr>
            </w:pPr>
          </w:p>
        </w:tc>
        <w:tc>
          <w:tcPr>
            <w:tcW w:w="1443" w:type="dxa"/>
            <w:vMerge w:val="continue"/>
            <w:vAlign w:val="center"/>
          </w:tcPr>
          <w:p>
            <w:pPr>
              <w:jc w:val="center"/>
              <w:rPr>
                <w:rFonts w:ascii="仿宋" w:hAnsi="仿宋" w:eastAsia="仿宋" w:cs="仿宋"/>
                <w:color w:val="000000" w:themeColor="text1"/>
                <w:spacing w:val="-3"/>
                <w:sz w:val="18"/>
                <w:szCs w:val="18"/>
              </w:rPr>
            </w:pPr>
          </w:p>
        </w:tc>
        <w:tc>
          <w:tcPr>
            <w:tcW w:w="840" w:type="dxa"/>
            <w:vMerge w:val="continue"/>
            <w:vAlign w:val="center"/>
          </w:tcPr>
          <w:p>
            <w:pPr>
              <w:jc w:val="center"/>
              <w:rPr>
                <w:rFonts w:ascii="仿宋" w:hAnsi="仿宋" w:eastAsia="仿宋" w:cs="仿宋"/>
                <w:color w:val="000000" w:themeColor="text1"/>
                <w:spacing w:val="-6"/>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continue"/>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p>
        </w:tc>
        <w:tc>
          <w:tcPr>
            <w:tcW w:w="92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报告书</w:t>
            </w:r>
          </w:p>
        </w:tc>
        <w:tc>
          <w:tcPr>
            <w:tcW w:w="100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78"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tcBorders>
            <w:vAlign w:val="center"/>
          </w:tcPr>
          <w:p>
            <w:pPr>
              <w:jc w:val="center"/>
              <w:rPr>
                <w:rFonts w:ascii="仿宋" w:hAnsi="仿宋" w:eastAsia="仿宋" w:cs="仿宋"/>
                <w:color w:val="000000" w:themeColor="text1"/>
                <w:sz w:val="18"/>
                <w:szCs w:val="18"/>
              </w:rPr>
            </w:pPr>
          </w:p>
        </w:tc>
        <w:tc>
          <w:tcPr>
            <w:tcW w:w="1511"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未按照规定开展自行监测的</w:t>
            </w:r>
          </w:p>
        </w:tc>
        <w:tc>
          <w:tcPr>
            <w:tcW w:w="967" w:type="dxa"/>
            <w:vMerge w:val="restart"/>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工业废气</w:t>
            </w:r>
          </w:p>
        </w:tc>
        <w:tc>
          <w:tcPr>
            <w:tcW w:w="92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报告表</w:t>
            </w:r>
          </w:p>
        </w:tc>
        <w:tc>
          <w:tcPr>
            <w:tcW w:w="100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678"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tcBorders>
            <w:vAlign w:val="center"/>
          </w:tcPr>
          <w:p>
            <w:pPr>
              <w:jc w:val="center"/>
              <w:rPr>
                <w:rFonts w:ascii="仿宋" w:hAnsi="仿宋" w:eastAsia="仿宋" w:cs="仿宋"/>
                <w:color w:val="000000" w:themeColor="text1"/>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p>
        </w:tc>
        <w:tc>
          <w:tcPr>
            <w:tcW w:w="92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报告书</w:t>
            </w:r>
          </w:p>
        </w:tc>
        <w:tc>
          <w:tcPr>
            <w:tcW w:w="10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有毒有害污染物</w:t>
            </w:r>
          </w:p>
        </w:tc>
        <w:tc>
          <w:tcPr>
            <w:tcW w:w="92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报告表</w:t>
            </w:r>
          </w:p>
        </w:tc>
        <w:tc>
          <w:tcPr>
            <w:tcW w:w="10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continue"/>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p>
        </w:tc>
        <w:tc>
          <w:tcPr>
            <w:tcW w:w="92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报告书</w:t>
            </w:r>
          </w:p>
        </w:tc>
        <w:tc>
          <w:tcPr>
            <w:tcW w:w="100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78"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4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一年内违法次</w:t>
            </w:r>
            <w:r>
              <w:rPr>
                <w:rFonts w:hint="eastAsia" w:ascii="仿宋" w:hAnsi="仿宋" w:eastAsia="仿宋" w:cs="仿宋"/>
                <w:color w:val="000000" w:themeColor="text1"/>
                <w:sz w:val="18"/>
                <w:szCs w:val="18"/>
              </w:rPr>
              <w:t>数</w:t>
            </w:r>
          </w:p>
        </w:tc>
        <w:tc>
          <w:tcPr>
            <w:tcW w:w="8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78"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678"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15%</w:t>
            </w:r>
          </w:p>
        </w:tc>
        <w:tc>
          <w:tcPr>
            <w:tcW w:w="678"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678"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4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8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678"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78"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10%</w:t>
            </w:r>
          </w:p>
        </w:tc>
        <w:tc>
          <w:tcPr>
            <w:tcW w:w="678"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443" w:type="dxa"/>
            <w:vMerge w:val="restart"/>
            <w:tcBorders>
              <w:bottom w:val="single" w:color="000000" w:sz="2" w:space="0"/>
            </w:tcBorders>
            <w:vAlign w:val="center"/>
          </w:tcPr>
          <w:p>
            <w:pPr>
              <w:ind w:right="218"/>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ind w:right="218"/>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w:t>
            </w:r>
            <w:r>
              <w:rPr>
                <w:rFonts w:hint="eastAsia" w:ascii="仿宋" w:hAnsi="仿宋" w:eastAsia="仿宋" w:cs="仿宋"/>
                <w:color w:val="000000" w:themeColor="text1"/>
                <w:spacing w:val="-4"/>
                <w:sz w:val="18"/>
                <w:szCs w:val="18"/>
              </w:rPr>
              <w:t>检查</w:t>
            </w:r>
          </w:p>
        </w:tc>
        <w:tc>
          <w:tcPr>
            <w:tcW w:w="840"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399" w:type="dxa"/>
            <w:gridSpan w:val="3"/>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1000"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678"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144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84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3399" w:type="dxa"/>
            <w:gridSpan w:val="3"/>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1000"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w:t>
            </w:r>
            <w:r>
              <w:rPr>
                <w:rFonts w:hint="eastAsia" w:ascii="仿宋" w:hAnsi="仿宋" w:eastAsia="仿宋" w:cs="仿宋"/>
                <w:color w:val="000000" w:themeColor="text1"/>
                <w:spacing w:val="-11"/>
                <w:w w:val="98"/>
                <w:sz w:val="18"/>
                <w:szCs w:val="18"/>
              </w:rPr>
              <w:t>0%</w:t>
            </w:r>
          </w:p>
        </w:tc>
        <w:tc>
          <w:tcPr>
            <w:tcW w:w="678"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w:t>
            </w:r>
            <w:r>
              <w:rPr>
                <w:rFonts w:hint="eastAsia" w:ascii="仿宋" w:hAnsi="仿宋" w:eastAsia="仿宋" w:cs="仿宋"/>
                <w:color w:val="000000" w:themeColor="text1"/>
                <w:spacing w:val="-1"/>
                <w:sz w:val="18"/>
                <w:szCs w:val="18"/>
              </w:rPr>
              <w:t>响或生态破坏程度</w:t>
            </w:r>
          </w:p>
        </w:tc>
        <w:tc>
          <w:tcPr>
            <w:tcW w:w="144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w:t>
            </w:r>
            <w:r>
              <w:rPr>
                <w:rFonts w:hint="eastAsia" w:ascii="仿宋" w:hAnsi="仿宋" w:eastAsia="仿宋" w:cs="仿宋"/>
                <w:color w:val="000000" w:themeColor="text1"/>
                <w:spacing w:val="-3"/>
                <w:sz w:val="18"/>
                <w:szCs w:val="18"/>
              </w:rPr>
              <w:t>影响或生态破</w:t>
            </w:r>
            <w:r>
              <w:rPr>
                <w:rFonts w:hint="eastAsia" w:ascii="仿宋" w:hAnsi="仿宋" w:eastAsia="仿宋" w:cs="仿宋"/>
                <w:color w:val="000000" w:themeColor="text1"/>
                <w:sz w:val="18"/>
                <w:szCs w:val="18"/>
              </w:rPr>
              <w:t>坏</w:t>
            </w:r>
          </w:p>
        </w:tc>
        <w:tc>
          <w:tcPr>
            <w:tcW w:w="84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399" w:type="dxa"/>
            <w:gridSpan w:val="3"/>
            <w:tcBorders>
              <w:top w:val="single" w:color="000000" w:sz="2" w:space="0"/>
              <w:bottom w:val="single" w:color="000000" w:sz="2"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1000" w:type="dxa"/>
            <w:tcBorders>
              <w:top w:val="single" w:color="000000" w:sz="2" w:space="0"/>
              <w:bottom w:val="single" w:color="000000" w:sz="2"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78" w:type="dxa"/>
            <w:tcBorders>
              <w:top w:val="single" w:color="000000" w:sz="2"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144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84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3399" w:type="dxa"/>
            <w:gridSpan w:val="3"/>
            <w:tcBorders>
              <w:top w:val="single" w:color="000000" w:sz="2"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1000" w:type="dxa"/>
            <w:tcBorders>
              <w:top w:val="single" w:color="000000" w:sz="2" w:space="0"/>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78" w:type="dxa"/>
            <w:tcBorders>
              <w:top w:val="single" w:color="000000" w:sz="2"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3399" w:type="dxa"/>
            <w:gridSpan w:val="3"/>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100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78"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3399" w:type="dxa"/>
            <w:gridSpan w:val="3"/>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1000"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78"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3399" w:type="dxa"/>
            <w:gridSpan w:val="3"/>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100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78"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8579" w:type="dxa"/>
            <w:gridSpan w:val="8"/>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8579" w:type="dxa"/>
            <w:gridSpan w:val="8"/>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四条第一款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2.《中华人民共和国大气污染防治法》第一百条第二项违反本法规定，有下列行为之一的，由县级以上人民政府生态环境主管部门责令改正，处2万元以上20万元以下的罚款；拒不改正的，责令停产整治：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(二)未按照规定对所排放的工业废气和有毒有害大气污染物进行监测并保存原始监测记录的；</w:t>
      </w: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sz w:val="24"/>
        </w:rPr>
      </w:pPr>
      <w:bookmarkStart w:id="114" w:name="_Toc21683"/>
      <w:bookmarkStart w:id="115" w:name="_Toc19881"/>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16</w:t>
      </w:r>
      <w:r>
        <w:rPr>
          <w:rFonts w:hint="eastAsia" w:ascii="仿宋" w:hAnsi="仿宋" w:eastAsia="仿宋" w:cs="仿宋"/>
          <w:b/>
          <w:bCs/>
          <w:color w:val="000000" w:themeColor="text1"/>
          <w:kern w:val="0"/>
          <w:sz w:val="24"/>
          <w:lang w:val="zh-CN"/>
        </w:rPr>
        <w:t xml:space="preserve"> 未按照规定安装、使用大气污染物排放自动监测设备或者未按照规定与生态环境主管部门的监控设备联网，并保证监测设备正常运行的罚款幅度裁定</w:t>
      </w:r>
      <w:bookmarkEnd w:id="114"/>
      <w:bookmarkEnd w:id="115"/>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958"/>
        <w:gridCol w:w="861"/>
        <w:gridCol w:w="2224"/>
        <w:gridCol w:w="1743"/>
        <w:gridCol w:w="779"/>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6" w:hRule="atLeast"/>
        </w:trPr>
        <w:tc>
          <w:tcPr>
            <w:tcW w:w="3139" w:type="dxa"/>
            <w:gridSpan w:val="3"/>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380"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2" w:hRule="atLeast"/>
        </w:trPr>
        <w:tc>
          <w:tcPr>
            <w:tcW w:w="1320"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5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61"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967"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对环境影响程度</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6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2224"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已安装大气污染物排放自动监测设备，但未按规定与生态环境主管部门联网的</w:t>
            </w:r>
          </w:p>
        </w:tc>
        <w:tc>
          <w:tcPr>
            <w:tcW w:w="1743"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79"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jc w:val="center"/>
              <w:rPr>
                <w:rFonts w:ascii="仿宋" w:hAnsi="仿宋" w:eastAsia="仿宋" w:cs="仿宋"/>
                <w:color w:val="000000" w:themeColor="text1"/>
                <w:spacing w:val="-1"/>
                <w:sz w:val="18"/>
                <w:szCs w:val="18"/>
              </w:rPr>
            </w:pPr>
          </w:p>
        </w:tc>
        <w:tc>
          <w:tcPr>
            <w:tcW w:w="861"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2224"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779"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4"/>
                <w:sz w:val="18"/>
                <w:szCs w:val="18"/>
              </w:rPr>
              <w:t>10%</w:t>
            </w:r>
          </w:p>
        </w:tc>
        <w:tc>
          <w:tcPr>
            <w:tcW w:w="634"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bottom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224"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已安装大气污染物排放自动监测设备，但不能保证正常运行的</w:t>
            </w:r>
          </w:p>
        </w:tc>
        <w:tc>
          <w:tcPr>
            <w:tcW w:w="1743"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79"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15%</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320" w:type="dxa"/>
            <w:vMerge w:val="continue"/>
            <w:tcBorders>
              <w:top w:val="nil"/>
              <w:bottom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224"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779"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634"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224"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未安装大气污染物排放自动监测设备的</w:t>
            </w:r>
          </w:p>
        </w:tc>
        <w:tc>
          <w:tcPr>
            <w:tcW w:w="1743"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79"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30%</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jc w:val="center"/>
              <w:rPr>
                <w:rFonts w:ascii="仿宋" w:hAnsi="仿宋" w:eastAsia="仿宋" w:cs="仿宋"/>
                <w:color w:val="000000" w:themeColor="text1"/>
                <w:spacing w:val="-1"/>
                <w:sz w:val="18"/>
                <w:szCs w:val="18"/>
              </w:rPr>
            </w:pPr>
          </w:p>
        </w:tc>
        <w:tc>
          <w:tcPr>
            <w:tcW w:w="861" w:type="dxa"/>
            <w:vMerge w:val="continue"/>
            <w:vAlign w:val="center"/>
          </w:tcPr>
          <w:p>
            <w:pPr>
              <w:jc w:val="center"/>
              <w:rPr>
                <w:rFonts w:ascii="仿宋_GB2312" w:hAnsi="仿宋_GB2312" w:eastAsia="仿宋_GB2312" w:cs="仿宋_GB2312"/>
                <w:color w:val="000000" w:themeColor="text1"/>
                <w:sz w:val="18"/>
                <w:szCs w:val="18"/>
              </w:rPr>
            </w:pPr>
          </w:p>
        </w:tc>
        <w:tc>
          <w:tcPr>
            <w:tcW w:w="2224"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779"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634"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违法频次</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6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bottom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bottom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整改情况</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6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bottom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配合调查</w:t>
            </w:r>
          </w:p>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取证情况</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861" w:type="dxa"/>
            <w:vMerge w:val="restart"/>
            <w:tcBorders>
              <w:bottom w:val="nil"/>
            </w:tcBorders>
            <w:vAlign w:val="center"/>
          </w:tcPr>
          <w:p>
            <w:pPr>
              <w:spacing w:before="20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p>
          <w:p>
            <w:pPr>
              <w:jc w:val="center"/>
              <w:rPr>
                <w:rFonts w:ascii="仿宋_GB2312" w:hAnsi="仿宋_GB2312" w:eastAsia="仿宋_GB2312" w:cs="仿宋_GB2312"/>
                <w:color w:val="000000" w:themeColor="text1"/>
                <w:spacing w:val="-9"/>
                <w:sz w:val="18"/>
                <w:szCs w:val="18"/>
              </w:rPr>
            </w:pPr>
          </w:p>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对社会影响或生态破坏程度</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6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967"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无</w:t>
            </w:r>
          </w:p>
        </w:tc>
        <w:tc>
          <w:tcPr>
            <w:tcW w:w="779" w:type="dxa"/>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0%</w:t>
            </w:r>
          </w:p>
        </w:tc>
        <w:tc>
          <w:tcPr>
            <w:tcW w:w="634"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spacing w:before="41" w:line="212" w:lineRule="auto"/>
              <w:ind w:left="122" w:right="210"/>
              <w:jc w:val="center"/>
              <w:rPr>
                <w:rFonts w:ascii="仿宋_GB2312" w:hAnsi="仿宋_GB2312" w:eastAsia="仿宋_GB2312" w:cs="仿宋_GB2312"/>
                <w:color w:val="000000" w:themeColor="text1"/>
                <w:spacing w:val="-5"/>
                <w:sz w:val="18"/>
                <w:szCs w:val="18"/>
              </w:rPr>
            </w:pPr>
          </w:p>
        </w:tc>
        <w:tc>
          <w:tcPr>
            <w:tcW w:w="861"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967"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轻微（1 级）</w:t>
            </w:r>
          </w:p>
        </w:tc>
        <w:tc>
          <w:tcPr>
            <w:tcW w:w="779"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5%</w:t>
            </w:r>
          </w:p>
        </w:tc>
        <w:tc>
          <w:tcPr>
            <w:tcW w:w="634"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spacing w:before="41" w:line="212" w:lineRule="auto"/>
              <w:ind w:left="122" w:right="210"/>
              <w:jc w:val="center"/>
              <w:rPr>
                <w:rFonts w:ascii="仿宋_GB2312" w:hAnsi="仿宋_GB2312" w:eastAsia="仿宋_GB2312" w:cs="仿宋_GB2312"/>
                <w:color w:val="000000" w:themeColor="text1"/>
                <w:spacing w:val="-5"/>
                <w:sz w:val="18"/>
                <w:szCs w:val="18"/>
              </w:rPr>
            </w:pPr>
          </w:p>
        </w:tc>
        <w:tc>
          <w:tcPr>
            <w:tcW w:w="861"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967"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一般（2 级）</w:t>
            </w:r>
          </w:p>
        </w:tc>
        <w:tc>
          <w:tcPr>
            <w:tcW w:w="779"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10%</w:t>
            </w:r>
          </w:p>
        </w:tc>
        <w:tc>
          <w:tcPr>
            <w:tcW w:w="634"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20"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958"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86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3967"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较重（3 级）</w:t>
            </w:r>
          </w:p>
        </w:tc>
        <w:tc>
          <w:tcPr>
            <w:tcW w:w="779" w:type="dxa"/>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15%</w:t>
            </w:r>
          </w:p>
        </w:tc>
        <w:tc>
          <w:tcPr>
            <w:tcW w:w="634" w:type="dxa"/>
            <w:tcBorders>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b/>
                <w:bCs/>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320"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958"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861"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3967"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严重（4 级）</w:t>
            </w:r>
          </w:p>
        </w:tc>
        <w:tc>
          <w:tcPr>
            <w:tcW w:w="779"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20%</w:t>
            </w:r>
          </w:p>
        </w:tc>
        <w:tc>
          <w:tcPr>
            <w:tcW w:w="634"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b/>
                <w:bCs/>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8519" w:type="dxa"/>
            <w:gridSpan w:val="7"/>
            <w:tcBorders>
              <w:top w:val="single" w:color="auto" w:sz="4" w:space="0"/>
              <w:bottom w:val="single" w:color="auto" w:sz="4" w:space="0"/>
            </w:tcBorders>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8519" w:type="dxa"/>
            <w:gridSpan w:val="7"/>
            <w:tcBorders>
              <w:top w:val="single" w:color="auto" w:sz="4" w:space="0"/>
            </w:tcBorders>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四条第一款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2.《中华人民共和国大气污染防治法》第一百条第二项违反本法规定，有下列行为之一的，由县级以上人民政府生态环境主管部门责令改正，处2万元以上20万元以下的罚款；拒不改正的，责令停产整治：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（二）未按照规定安装、使用大气污染物排放自动监测设备或者未按照规定与生态环境主管部门的监控设备联网，并保证监测设备正常运行的；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违反本条例规定，有下列情形之一的，由生态环境主管部门责令限期改正，并按照下列规定予以罚款；逾期不改正的，责令停产整治：未按照规定与生态环境主管部门的监控设备联网，并保证监测设备正常运行的，处2万元罚款；情节严重的，处10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4"/>
          <w:lang w:val="zh-CN"/>
        </w:rPr>
      </w:pPr>
      <w:bookmarkStart w:id="116" w:name="_Toc12521"/>
      <w:bookmarkStart w:id="117" w:name="_Toc1588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17</w:t>
      </w:r>
      <w:r>
        <w:rPr>
          <w:rFonts w:hint="eastAsia" w:ascii="仿宋" w:hAnsi="仿宋" w:eastAsia="仿宋" w:cs="仿宋"/>
          <w:b/>
          <w:bCs/>
          <w:color w:val="000000" w:themeColor="text1"/>
          <w:kern w:val="0"/>
          <w:sz w:val="24"/>
          <w:lang w:val="zh-CN"/>
        </w:rPr>
        <w:t>重点排污单位不公开或者不如实公开自动监测数据的罚款幅度裁定</w:t>
      </w:r>
      <w:bookmarkEnd w:id="116"/>
      <w:bookmarkEnd w:id="117"/>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1822"/>
        <w:gridCol w:w="968"/>
        <w:gridCol w:w="1090"/>
        <w:gridCol w:w="2131"/>
        <w:gridCol w:w="715"/>
        <w:gridCol w:w="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5" w:hRule="atLeast"/>
        </w:trPr>
        <w:tc>
          <w:tcPr>
            <w:tcW w:w="4003" w:type="dxa"/>
            <w:gridSpan w:val="3"/>
            <w:vAlign w:val="center"/>
          </w:tcPr>
          <w:p>
            <w:pPr>
              <w:spacing w:before="174" w:line="184" w:lineRule="auto"/>
              <w:ind w:firstLine="1482"/>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616" w:type="dxa"/>
            <w:gridSpan w:val="4"/>
            <w:vAlign w:val="center"/>
          </w:tcPr>
          <w:p>
            <w:pPr>
              <w:spacing w:before="174" w:line="184" w:lineRule="auto"/>
              <w:ind w:firstLine="173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1213" w:type="dxa"/>
            <w:vAlign w:val="center"/>
          </w:tcPr>
          <w:p>
            <w:pPr>
              <w:spacing w:before="195" w:line="184" w:lineRule="auto"/>
              <w:ind w:firstLine="381"/>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822"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96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221"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15"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80"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213"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968"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090"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重点排污单位不如实公开自动监测数据的</w:t>
            </w:r>
          </w:p>
        </w:tc>
        <w:tc>
          <w:tcPr>
            <w:tcW w:w="2131"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监测项目或频次或点位达到95%</w:t>
            </w:r>
          </w:p>
        </w:tc>
        <w:tc>
          <w:tcPr>
            <w:tcW w:w="715" w:type="dxa"/>
            <w:tcBorders>
              <w:bottom w:val="single" w:color="auto" w:sz="4" w:space="0"/>
              <w:right w:val="single" w:color="auto" w:sz="4" w:space="0"/>
            </w:tcBorders>
            <w:vAlign w:val="center"/>
          </w:tcPr>
          <w:p>
            <w:pPr>
              <w:spacing w:before="19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80" w:type="dxa"/>
            <w:tcBorders>
              <w:left w:val="single" w:color="auto" w:sz="4" w:space="0"/>
              <w:bottom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213"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68"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监测项目或频次或点位达到80%未达到95%</w:t>
            </w:r>
          </w:p>
        </w:tc>
        <w:tc>
          <w:tcPr>
            <w:tcW w:w="715" w:type="dxa"/>
            <w:tcBorders>
              <w:top w:val="single" w:color="auto" w:sz="4" w:space="0"/>
              <w:bottom w:val="single" w:color="auto" w:sz="4" w:space="0"/>
              <w:righ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680" w:type="dxa"/>
            <w:tcBorders>
              <w:top w:val="single" w:color="auto" w:sz="4" w:space="0"/>
              <w:left w:val="single" w:color="auto" w:sz="4" w:space="0"/>
              <w:bottom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213"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68"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监测项目或频次或点位达到70%未达到80%</w:t>
            </w:r>
          </w:p>
        </w:tc>
        <w:tc>
          <w:tcPr>
            <w:tcW w:w="715" w:type="dxa"/>
            <w:tcBorders>
              <w:top w:val="single" w:color="auto" w:sz="4" w:space="0"/>
              <w:bottom w:val="single" w:color="auto" w:sz="4" w:space="0"/>
              <w:righ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680" w:type="dxa"/>
            <w:tcBorders>
              <w:top w:val="single" w:color="auto" w:sz="4" w:space="0"/>
              <w:left w:val="single" w:color="auto" w:sz="4" w:space="0"/>
              <w:bottom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213"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68"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监测项目或频次或点位未达到70%</w:t>
            </w:r>
          </w:p>
        </w:tc>
        <w:tc>
          <w:tcPr>
            <w:tcW w:w="715" w:type="dxa"/>
            <w:tcBorders>
              <w:top w:val="single" w:color="auto" w:sz="4" w:space="0"/>
              <w:righ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680" w:type="dxa"/>
            <w:tcBorders>
              <w:top w:val="single" w:color="auto" w:sz="4" w:space="0"/>
              <w:lef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090"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重点排污单位不公开自动监测数据的</w:t>
            </w:r>
          </w:p>
        </w:tc>
        <w:tc>
          <w:tcPr>
            <w:tcW w:w="213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仿宋_GB2312" w:hAnsi="Times New Roman" w:eastAsia="仿宋_GB2312" w:cs="仿宋_GB2312"/>
                <w:color w:val="000000" w:themeColor="text1"/>
                <w:kern w:val="0"/>
                <w:sz w:val="18"/>
                <w:szCs w:val="18"/>
              </w:rPr>
              <w:t>不满</w:t>
            </w:r>
            <w:r>
              <w:rPr>
                <w:rFonts w:ascii="Times New Roman" w:hAnsi="Times New Roman" w:eastAsia="宋体" w:cs="Times New Roman"/>
                <w:color w:val="000000" w:themeColor="text1"/>
                <w:kern w:val="0"/>
                <w:sz w:val="18"/>
                <w:szCs w:val="18"/>
              </w:rPr>
              <w:t>3</w:t>
            </w:r>
            <w:r>
              <w:rPr>
                <w:rFonts w:ascii="仿宋_GB2312" w:hAnsi="Times New Roman" w:eastAsia="仿宋_GB2312" w:cs="仿宋_GB2312"/>
                <w:color w:val="000000" w:themeColor="text1"/>
                <w:kern w:val="0"/>
                <w:sz w:val="18"/>
                <w:szCs w:val="18"/>
              </w:rPr>
              <w:t>个月</w:t>
            </w:r>
          </w:p>
        </w:tc>
        <w:tc>
          <w:tcPr>
            <w:tcW w:w="715" w:type="dxa"/>
            <w:tcBorders>
              <w:bottom w:val="single" w:color="auto" w:sz="4" w:space="0"/>
              <w:right w:val="single" w:color="auto" w:sz="4" w:space="0"/>
            </w:tcBorders>
            <w:vAlign w:val="center"/>
          </w:tcPr>
          <w:p>
            <w:pPr>
              <w:spacing w:before="195"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680" w:type="dxa"/>
            <w:tcBorders>
              <w:left w:val="single" w:color="auto" w:sz="4" w:space="0"/>
              <w:bottom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213"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3</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6</w:t>
            </w:r>
            <w:r>
              <w:rPr>
                <w:rFonts w:ascii="仿宋_GB2312" w:hAnsi="Times New Roman" w:eastAsia="仿宋_GB2312" w:cs="仿宋_GB2312"/>
                <w:color w:val="000000" w:themeColor="text1"/>
                <w:kern w:val="0"/>
                <w:sz w:val="18"/>
                <w:szCs w:val="18"/>
              </w:rPr>
              <w:t>个月</w:t>
            </w:r>
          </w:p>
        </w:tc>
        <w:tc>
          <w:tcPr>
            <w:tcW w:w="715" w:type="dxa"/>
            <w:tcBorders>
              <w:top w:val="single" w:color="auto" w:sz="4" w:space="0"/>
              <w:bottom w:val="single" w:color="auto" w:sz="4" w:space="0"/>
              <w:right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680" w:type="dxa"/>
            <w:tcBorders>
              <w:top w:val="single" w:color="auto" w:sz="4" w:space="0"/>
              <w:left w:val="single" w:color="auto" w:sz="4" w:space="0"/>
              <w:bottom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213"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6</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9</w:t>
            </w:r>
            <w:r>
              <w:rPr>
                <w:rFonts w:ascii="仿宋_GB2312" w:hAnsi="Times New Roman" w:eastAsia="仿宋_GB2312" w:cs="仿宋_GB2312"/>
                <w:color w:val="000000" w:themeColor="text1"/>
                <w:kern w:val="0"/>
                <w:sz w:val="18"/>
                <w:szCs w:val="18"/>
              </w:rPr>
              <w:t>个月</w:t>
            </w:r>
          </w:p>
        </w:tc>
        <w:tc>
          <w:tcPr>
            <w:tcW w:w="715" w:type="dxa"/>
            <w:tcBorders>
              <w:top w:val="single" w:color="auto" w:sz="4" w:space="0"/>
              <w:bottom w:val="single" w:color="auto" w:sz="4" w:space="0"/>
              <w:right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35%</w:t>
            </w:r>
          </w:p>
        </w:tc>
        <w:tc>
          <w:tcPr>
            <w:tcW w:w="680" w:type="dxa"/>
            <w:tcBorders>
              <w:top w:val="single" w:color="auto" w:sz="4" w:space="0"/>
              <w:left w:val="single" w:color="auto" w:sz="4" w:space="0"/>
              <w:bottom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213"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9</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1</w:t>
            </w:r>
            <w:r>
              <w:rPr>
                <w:rFonts w:ascii="仿宋_GB2312" w:hAnsi="Times New Roman" w:eastAsia="仿宋_GB2312" w:cs="仿宋_GB2312"/>
                <w:color w:val="000000" w:themeColor="text1"/>
                <w:kern w:val="0"/>
                <w:sz w:val="18"/>
                <w:szCs w:val="18"/>
              </w:rPr>
              <w:t>年</w:t>
            </w:r>
          </w:p>
        </w:tc>
        <w:tc>
          <w:tcPr>
            <w:tcW w:w="715" w:type="dxa"/>
            <w:tcBorders>
              <w:top w:val="single" w:color="auto" w:sz="4" w:space="0"/>
              <w:right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680" w:type="dxa"/>
            <w:tcBorders>
              <w:top w:val="single" w:color="auto" w:sz="4" w:space="0"/>
              <w:left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968"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15" w:type="dxa"/>
            <w:tcBorders>
              <w:right w:val="single" w:color="auto" w:sz="4" w:space="0"/>
            </w:tcBorders>
            <w:vAlign w:val="center"/>
          </w:tcPr>
          <w:p>
            <w:pPr>
              <w:spacing w:before="40"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80" w:type="dxa"/>
            <w:tcBorders>
              <w:left w:val="single" w:color="auto" w:sz="4" w:space="0"/>
            </w:tcBorders>
            <w:vAlign w:val="center"/>
          </w:tcPr>
          <w:p>
            <w:pPr>
              <w:spacing w:before="40" w:line="184" w:lineRule="auto"/>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15" w:type="dxa"/>
            <w:tcBorders>
              <w:right w:val="single" w:color="auto" w:sz="4" w:space="0"/>
            </w:tcBorders>
            <w:vAlign w:val="center"/>
          </w:tcPr>
          <w:p>
            <w:pPr>
              <w:spacing w:before="40"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680" w:type="dxa"/>
            <w:tcBorders>
              <w:left w:val="single" w:color="auto" w:sz="4" w:space="0"/>
            </w:tcBorders>
            <w:vAlign w:val="center"/>
          </w:tcPr>
          <w:p>
            <w:pPr>
              <w:spacing w:before="40" w:line="184" w:lineRule="auto"/>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15" w:type="dxa"/>
            <w:tcBorders>
              <w:right w:val="single" w:color="auto" w:sz="4" w:space="0"/>
            </w:tcBorders>
            <w:vAlign w:val="center"/>
          </w:tcPr>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80" w:type="dxa"/>
            <w:tcBorders>
              <w:left w:val="single" w:color="auto" w:sz="4" w:space="0"/>
            </w:tcBorders>
            <w:vAlign w:val="center"/>
          </w:tcPr>
          <w:p>
            <w:pPr>
              <w:spacing w:before="42" w:line="184" w:lineRule="auto"/>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15" w:type="dxa"/>
            <w:tcBorders>
              <w:right w:val="single" w:color="auto" w:sz="4" w:space="0"/>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80" w:type="dxa"/>
            <w:tcBorders>
              <w:left w:val="single" w:color="auto" w:sz="4" w:space="0"/>
            </w:tcBorders>
            <w:vAlign w:val="center"/>
          </w:tcPr>
          <w:p>
            <w:pPr>
              <w:spacing w:before="41" w:line="184" w:lineRule="auto"/>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968"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221" w:type="dxa"/>
            <w:gridSpan w:val="2"/>
            <w:vAlign w:val="center"/>
          </w:tcPr>
          <w:p>
            <w:pPr>
              <w:widowControl/>
              <w:tabs>
                <w:tab w:val="center" w:pos="1857"/>
                <w:tab w:val="right" w:pos="3358"/>
              </w:tabs>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15" w:type="dxa"/>
            <w:tcBorders>
              <w:right w:val="single" w:color="auto" w:sz="4" w:space="0"/>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80" w:type="dxa"/>
            <w:tcBorders>
              <w:left w:val="single" w:color="auto" w:sz="4" w:space="0"/>
            </w:tcBorders>
            <w:vAlign w:val="center"/>
          </w:tcPr>
          <w:p>
            <w:pPr>
              <w:spacing w:before="41" w:line="184" w:lineRule="auto"/>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15" w:type="dxa"/>
            <w:tcBorders>
              <w:right w:val="single" w:color="auto" w:sz="4" w:space="0"/>
            </w:tcBorders>
            <w:vAlign w:val="center"/>
          </w:tcPr>
          <w:p>
            <w:pPr>
              <w:spacing w:before="19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80" w:type="dxa"/>
            <w:tcBorders>
              <w:lef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715" w:type="dxa"/>
            <w:tcBorders>
              <w:right w:val="single" w:color="auto" w:sz="4" w:space="0"/>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80" w:type="dxa"/>
            <w:tcBorders>
              <w:left w:val="single" w:color="auto" w:sz="4" w:space="0"/>
            </w:tcBorders>
            <w:vAlign w:val="center"/>
          </w:tcPr>
          <w:p>
            <w:pPr>
              <w:spacing w:before="41"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restart"/>
            <w:tcBorders>
              <w:bottom w:val="nil"/>
            </w:tcBorders>
            <w:vAlign w:val="center"/>
          </w:tcPr>
          <w:p>
            <w:pPr>
              <w:spacing w:before="48" w:line="212" w:lineRule="auto"/>
              <w:ind w:left="137" w:right="122"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968" w:type="dxa"/>
            <w:vMerge w:val="restart"/>
            <w:tcBorders>
              <w:bottom w:val="nil"/>
            </w:tcBorders>
            <w:vAlign w:val="center"/>
          </w:tcPr>
          <w:p>
            <w:pPr>
              <w:spacing w:before="204"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15" w:type="dxa"/>
            <w:tcBorders>
              <w:right w:val="single" w:color="auto" w:sz="4" w:space="0"/>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80" w:type="dxa"/>
            <w:tcBorders>
              <w:left w:val="single" w:color="auto" w:sz="4" w:space="0"/>
            </w:tcBorders>
            <w:vAlign w:val="center"/>
          </w:tcPr>
          <w:p>
            <w:pPr>
              <w:spacing w:before="41"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15" w:type="dxa"/>
            <w:tcBorders>
              <w:right w:val="single" w:color="auto" w:sz="4" w:space="0"/>
            </w:tcBorders>
            <w:vAlign w:val="center"/>
          </w:tcPr>
          <w:p>
            <w:pPr>
              <w:spacing w:before="4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680" w:type="dxa"/>
            <w:tcBorders>
              <w:left w:val="single" w:color="auto" w:sz="4" w:space="0"/>
            </w:tcBorders>
            <w:vAlign w:val="center"/>
          </w:tcPr>
          <w:p>
            <w:pPr>
              <w:spacing w:before="43" w:line="184" w:lineRule="auto"/>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restart"/>
            <w:tcBorders>
              <w:bottom w:val="nil"/>
            </w:tcBorders>
            <w:vAlign w:val="center"/>
          </w:tcPr>
          <w:p>
            <w:pPr>
              <w:spacing w:before="48" w:line="221" w:lineRule="auto"/>
              <w:ind w:left="129" w:right="122"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96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221"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15"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80"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213" w:type="dxa"/>
            <w:vMerge w:val="continue"/>
            <w:vAlign w:val="center"/>
          </w:tcPr>
          <w:p>
            <w:pPr>
              <w:spacing w:before="48" w:line="221" w:lineRule="auto"/>
              <w:ind w:left="129" w:right="122" w:firstLine="9"/>
              <w:jc w:val="center"/>
              <w:rPr>
                <w:rFonts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96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3221"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15"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80"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21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15"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80"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213" w:type="dxa"/>
            <w:vMerge w:val="continue"/>
            <w:vAlign w:val="center"/>
          </w:tcPr>
          <w:p>
            <w:pPr>
              <w:jc w:val="center"/>
              <w:rPr>
                <w:rFonts w:ascii="仿宋_GB2312" w:hAnsi="仿宋_GB2312" w:eastAsia="仿宋_GB2312" w:cs="仿宋_GB2312"/>
                <w:b/>
                <w:bCs/>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3221"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15"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80"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213"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3221"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15"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80"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86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86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四条第一款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2.《中华人民共和国大气污染防治法》第一百条第四项违反本法规定，有下列行为之一的，由县级以上人民政府生态环境主管部门责令改正，处2万元以上20万元以下的罚款；拒不改正的，责令停产整治：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(四)重点排污单位不公开或者不如实公开自动监测数据的；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3.《辽宁省大气污染防治条例》第五十七条第三项违反本条例规定，有下列情形之一的，由生态环境主管部门责令限期改正，并按照下列规定予以罚款；逾期不改正的，责令停产整治：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(三)重点排污单位自动监测数据不公开或者不如实公开的，处5万元罚款；情节严重的，处20万元罚款；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4"/>
        </w:rPr>
      </w:pPr>
      <w:bookmarkStart w:id="118" w:name="_Toc28432"/>
      <w:bookmarkStart w:id="119" w:name="_Toc5986"/>
      <w:r>
        <w:rPr>
          <w:rFonts w:hint="eastAsia" w:ascii="仿宋" w:hAnsi="仿宋" w:eastAsia="仿宋" w:cs="仿宋"/>
          <w:b/>
          <w:bCs/>
          <w:color w:val="000000" w:themeColor="text1"/>
          <w:kern w:val="0"/>
          <w:sz w:val="24"/>
        </w:rPr>
        <w:t>表 18 未按照规定设置大气污染物排放口的罚款幅度裁定</w:t>
      </w:r>
      <w:bookmarkEnd w:id="118"/>
      <w:bookmarkEnd w:id="119"/>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1294"/>
        <w:gridCol w:w="976"/>
        <w:gridCol w:w="2053"/>
        <w:gridCol w:w="1708"/>
        <w:gridCol w:w="630"/>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3477" w:type="dxa"/>
            <w:gridSpan w:val="3"/>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62" w:type="dxa"/>
            <w:gridSpan w:val="4"/>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 w:hRule="atLeast"/>
        </w:trPr>
        <w:tc>
          <w:tcPr>
            <w:tcW w:w="1207"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294"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97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61"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29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976"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2053"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建设项目调试生产期间，未按规定设置大气污染排放口的</w:t>
            </w:r>
          </w:p>
        </w:tc>
        <w:tc>
          <w:tcPr>
            <w:tcW w:w="170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630"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294" w:type="dxa"/>
            <w:vMerge w:val="continue"/>
            <w:vAlign w:val="center"/>
          </w:tcPr>
          <w:p>
            <w:pPr>
              <w:spacing w:before="79" w:line="184" w:lineRule="auto"/>
              <w:jc w:val="center"/>
              <w:rPr>
                <w:rFonts w:ascii="仿宋_GB2312" w:hAnsi="仿宋_GB2312" w:eastAsia="仿宋_GB2312" w:cs="仿宋_GB2312"/>
                <w:color w:val="000000" w:themeColor="text1"/>
                <w:spacing w:val="-3"/>
                <w:sz w:val="18"/>
                <w:szCs w:val="18"/>
              </w:rPr>
            </w:pPr>
          </w:p>
        </w:tc>
        <w:tc>
          <w:tcPr>
            <w:tcW w:w="976" w:type="dxa"/>
            <w:vMerge w:val="continue"/>
            <w:vAlign w:val="center"/>
          </w:tcPr>
          <w:p>
            <w:pPr>
              <w:spacing w:before="79" w:line="184" w:lineRule="auto"/>
              <w:jc w:val="center"/>
              <w:rPr>
                <w:rFonts w:ascii="仿宋_GB2312" w:hAnsi="仿宋_GB2312" w:eastAsia="仿宋_GB2312" w:cs="仿宋_GB2312"/>
                <w:color w:val="000000" w:themeColor="text1"/>
                <w:spacing w:val="-6"/>
                <w:sz w:val="18"/>
                <w:szCs w:val="18"/>
              </w:rPr>
            </w:pPr>
          </w:p>
        </w:tc>
        <w:tc>
          <w:tcPr>
            <w:tcW w:w="205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0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630"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571"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053"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已投入生产，未按规定设置大气污染排放口的</w:t>
            </w:r>
          </w:p>
        </w:tc>
        <w:tc>
          <w:tcPr>
            <w:tcW w:w="170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630"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05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0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630"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71"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053"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排放有毒有害大气污染物，未按规定设置大气污染排放口的</w:t>
            </w:r>
          </w:p>
        </w:tc>
        <w:tc>
          <w:tcPr>
            <w:tcW w:w="170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630"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30%</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205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0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630"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571"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294"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一年内违法次数</w:t>
            </w:r>
          </w:p>
        </w:tc>
        <w:tc>
          <w:tcPr>
            <w:tcW w:w="976"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29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976"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restart"/>
            <w:tcBorders>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294" w:type="dxa"/>
            <w:vMerge w:val="restart"/>
            <w:tcBorders>
              <w:bottom w:val="single" w:color="000000" w:sz="2" w:space="0"/>
            </w:tcBorders>
            <w:vAlign w:val="center"/>
          </w:tcPr>
          <w:p>
            <w:pPr>
              <w:spacing w:before="42" w:line="184" w:lineRule="auto"/>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976" w:type="dxa"/>
            <w:vMerge w:val="restart"/>
            <w:tcBorders>
              <w:bottom w:val="single" w:color="000000" w:sz="2" w:space="0"/>
            </w:tcBorders>
            <w:vAlign w:val="center"/>
          </w:tcPr>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61" w:type="dxa"/>
            <w:gridSpan w:val="2"/>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w:t>
            </w:r>
          </w:p>
        </w:tc>
        <w:tc>
          <w:tcPr>
            <w:tcW w:w="630"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c>
          <w:tcPr>
            <w:tcW w:w="1294" w:type="dxa"/>
            <w:vMerge w:val="continue"/>
            <w:tcBorders>
              <w:top w:val="single" w:color="000000" w:sz="2" w:space="0"/>
              <w:bottom w:val="single" w:color="000000" w:sz="2" w:space="0"/>
            </w:tcBorders>
            <w:vAlign w:val="center"/>
          </w:tcPr>
          <w:p>
            <w:pPr>
              <w:spacing w:before="42" w:line="184" w:lineRule="auto"/>
              <w:ind w:firstLine="194"/>
              <w:jc w:val="center"/>
              <w:rPr>
                <w:rFonts w:ascii="仿宋_GB2312" w:hAnsi="仿宋_GB2312" w:eastAsia="仿宋_GB2312" w:cs="仿宋_GB2312"/>
                <w:color w:val="000000" w:themeColor="text1"/>
                <w:spacing w:val="-1"/>
                <w:sz w:val="18"/>
                <w:szCs w:val="18"/>
              </w:rPr>
            </w:pPr>
          </w:p>
        </w:tc>
        <w:tc>
          <w:tcPr>
            <w:tcW w:w="976" w:type="dxa"/>
            <w:vMerge w:val="continue"/>
            <w:tcBorders>
              <w:top w:val="single" w:color="000000" w:sz="2" w:space="0"/>
              <w:bottom w:val="single" w:color="000000" w:sz="2" w:space="0"/>
            </w:tcBorders>
            <w:vAlign w:val="center"/>
          </w:tcPr>
          <w:p>
            <w:pPr>
              <w:spacing w:before="42" w:line="184" w:lineRule="auto"/>
              <w:ind w:firstLine="354"/>
              <w:jc w:val="center"/>
              <w:rPr>
                <w:rFonts w:ascii="仿宋_GB2312" w:hAnsi="仿宋_GB2312" w:eastAsia="仿宋_GB2312" w:cs="仿宋_GB2312"/>
                <w:color w:val="000000" w:themeColor="text1"/>
                <w:spacing w:val="-9"/>
                <w:sz w:val="18"/>
                <w:szCs w:val="18"/>
              </w:rPr>
            </w:pPr>
          </w:p>
        </w:tc>
        <w:tc>
          <w:tcPr>
            <w:tcW w:w="3761"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30"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71"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7" w:type="dxa"/>
            <w:vMerge w:val="restart"/>
            <w:tcBorders>
              <w:top w:val="single" w:color="000000" w:sz="2" w:space="0"/>
              <w:bottom w:val="single" w:color="000000" w:sz="2" w:space="0"/>
            </w:tcBorders>
            <w:vAlign w:val="center"/>
          </w:tcPr>
          <w:p>
            <w:pPr>
              <w:spacing w:before="48" w:line="221" w:lineRule="auto"/>
              <w:ind w:left="129" w:right="122"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94"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976"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61" w:type="dxa"/>
            <w:gridSpan w:val="2"/>
            <w:tcBorders>
              <w:top w:val="single" w:color="000000" w:sz="2"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30"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7" w:type="dxa"/>
            <w:vMerge w:val="continue"/>
            <w:vAlign w:val="center"/>
          </w:tcPr>
          <w:p>
            <w:pPr>
              <w:spacing w:before="48" w:line="221" w:lineRule="auto"/>
              <w:ind w:left="129" w:right="122" w:firstLine="9"/>
              <w:jc w:val="center"/>
              <w:rPr>
                <w:rFonts w:ascii="仿宋_GB2312" w:hAnsi="仿宋_GB2312" w:eastAsia="仿宋_GB2312" w:cs="仿宋_GB2312"/>
                <w:color w:val="000000" w:themeColor="text1"/>
                <w:spacing w:val="-3"/>
                <w:sz w:val="18"/>
                <w:szCs w:val="18"/>
              </w:rPr>
            </w:pPr>
          </w:p>
        </w:tc>
        <w:tc>
          <w:tcPr>
            <w:tcW w:w="1294"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976"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3761" w:type="dxa"/>
            <w:gridSpan w:val="2"/>
            <w:tcBorders>
              <w:top w:val="single" w:color="auto" w:sz="4" w:space="0"/>
              <w:bottom w:val="single" w:color="000000" w:sz="2"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30"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71"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20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761" w:type="dxa"/>
            <w:gridSpan w:val="2"/>
            <w:tcBorders>
              <w:top w:val="single" w:color="000000" w:sz="2"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30"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71"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3761"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30"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71"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3761"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30"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843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843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1.《中华人民共和国大气污染防治法》第二十条第一款企业事业单位和其他生产经营者向大气排放污染物的，应当依照法律法规和国务院环境保护主管部门的规定设置大气污染物排放口。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（五）未按照规定设置大气污染物排放口的。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(六)未按照规定设置大气污染物排放口及其标志的，处5万元罚款；情节严重的，处20万元罚款。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8"/>
          <w:szCs w:val="28"/>
        </w:rPr>
      </w:pPr>
      <w:bookmarkStart w:id="120" w:name="_Toc14975"/>
      <w:bookmarkStart w:id="121" w:name="_Toc17611"/>
      <w:r>
        <w:rPr>
          <w:rFonts w:hint="eastAsia" w:ascii="仿宋" w:hAnsi="仿宋" w:eastAsia="仿宋" w:cs="仿宋"/>
          <w:b/>
          <w:bCs/>
          <w:color w:val="000000" w:themeColor="text1"/>
          <w:kern w:val="0"/>
          <w:sz w:val="24"/>
        </w:rPr>
        <w:t>表 19 单位燃用不符合质量标准的煤炭、石油焦的罚款幅度裁定</w:t>
      </w:r>
      <w:bookmarkEnd w:id="120"/>
      <w:bookmarkEnd w:id="121"/>
    </w:p>
    <w:tbl>
      <w:tblPr>
        <w:tblStyle w:val="15"/>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316"/>
        <w:gridCol w:w="812"/>
        <w:gridCol w:w="1822"/>
        <w:gridCol w:w="2070"/>
        <w:gridCol w:w="787"/>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3366" w:type="dxa"/>
            <w:gridSpan w:val="3"/>
            <w:vAlign w:val="center"/>
          </w:tcPr>
          <w:p>
            <w:pPr>
              <w:spacing w:before="177" w:line="184" w:lineRule="auto"/>
              <w:ind w:firstLine="1482"/>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313" w:type="dxa"/>
            <w:gridSpan w:val="4"/>
            <w:vAlign w:val="center"/>
          </w:tcPr>
          <w:p>
            <w:pPr>
              <w:spacing w:before="177" w:line="184" w:lineRule="auto"/>
              <w:ind w:firstLine="1681"/>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5" w:hRule="atLeast"/>
        </w:trPr>
        <w:tc>
          <w:tcPr>
            <w:tcW w:w="123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31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12"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892"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316"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12"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82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煤质或石油焦超标0.5倍以内的</w:t>
            </w:r>
          </w:p>
        </w:tc>
        <w:tc>
          <w:tcPr>
            <w:tcW w:w="207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w:t>
            </w:r>
          </w:p>
        </w:tc>
        <w:tc>
          <w:tcPr>
            <w:tcW w:w="787"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316" w:type="dxa"/>
            <w:vMerge w:val="continue"/>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812"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禁燃区外人口集中区域</w:t>
            </w:r>
          </w:p>
        </w:tc>
        <w:tc>
          <w:tcPr>
            <w:tcW w:w="787"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316" w:type="dxa"/>
            <w:vMerge w:val="continue"/>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812"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禁燃区内</w:t>
            </w:r>
          </w:p>
        </w:tc>
        <w:tc>
          <w:tcPr>
            <w:tcW w:w="787"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煤质或石油焦超标0.5倍以上1倍以下的</w:t>
            </w:r>
          </w:p>
        </w:tc>
        <w:tc>
          <w:tcPr>
            <w:tcW w:w="207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w:t>
            </w:r>
          </w:p>
        </w:tc>
        <w:tc>
          <w:tcPr>
            <w:tcW w:w="787"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禁燃区外人口集中区域</w:t>
            </w:r>
          </w:p>
        </w:tc>
        <w:tc>
          <w:tcPr>
            <w:tcW w:w="787"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27%</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禁燃区内</w:t>
            </w:r>
          </w:p>
        </w:tc>
        <w:tc>
          <w:tcPr>
            <w:tcW w:w="787"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煤质或石油焦超标1倍以上的</w:t>
            </w:r>
          </w:p>
        </w:tc>
        <w:tc>
          <w:tcPr>
            <w:tcW w:w="207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w:t>
            </w:r>
          </w:p>
        </w:tc>
        <w:tc>
          <w:tcPr>
            <w:tcW w:w="787"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35%</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禁燃区外人口集中区域</w:t>
            </w:r>
          </w:p>
        </w:tc>
        <w:tc>
          <w:tcPr>
            <w:tcW w:w="787"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37%</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8" w:type="dxa"/>
            <w:vMerge w:val="continue"/>
            <w:vAlign w:val="center"/>
          </w:tcPr>
          <w:p>
            <w:pPr>
              <w:jc w:val="center"/>
              <w:rPr>
                <w:rFonts w:ascii="仿宋_GB2312" w:hAnsi="仿宋_GB2312" w:eastAsia="仿宋_GB2312" w:cs="仿宋_GB2312"/>
                <w:color w:val="000000" w:themeColor="text1"/>
                <w:sz w:val="18"/>
                <w:szCs w:val="18"/>
              </w:rPr>
            </w:pPr>
          </w:p>
        </w:tc>
        <w:tc>
          <w:tcPr>
            <w:tcW w:w="1316" w:type="dxa"/>
            <w:vMerge w:val="continue"/>
            <w:vAlign w:val="center"/>
          </w:tcPr>
          <w:p>
            <w:pPr>
              <w:jc w:val="center"/>
              <w:rPr>
                <w:rFonts w:ascii="仿宋_GB2312" w:hAnsi="仿宋_GB2312" w:eastAsia="仿宋_GB2312" w:cs="仿宋_GB2312"/>
                <w:color w:val="000000" w:themeColor="text1"/>
                <w:sz w:val="18"/>
                <w:szCs w:val="18"/>
              </w:rPr>
            </w:pPr>
          </w:p>
        </w:tc>
        <w:tc>
          <w:tcPr>
            <w:tcW w:w="812"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禁燃区内</w:t>
            </w:r>
          </w:p>
        </w:tc>
        <w:tc>
          <w:tcPr>
            <w:tcW w:w="787"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40%</w:t>
            </w:r>
          </w:p>
        </w:tc>
        <w:tc>
          <w:tcPr>
            <w:tcW w:w="634"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316" w:type="dxa"/>
            <w:vMerge w:val="restart"/>
            <w:tcBorders>
              <w:bottom w:val="nil"/>
            </w:tcBorders>
            <w:vAlign w:val="center"/>
          </w:tcPr>
          <w:p>
            <w:pPr>
              <w:spacing w:before="368"/>
              <w:ind w:right="224"/>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812"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316"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12"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restart"/>
            <w:tcBorders>
              <w:bottom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316" w:type="dxa"/>
            <w:vMerge w:val="restart"/>
            <w:tcBorders>
              <w:bottom w:val="nil"/>
            </w:tcBorders>
            <w:vAlign w:val="center"/>
          </w:tcPr>
          <w:p>
            <w:pPr>
              <w:spacing w:before="46" w:line="212" w:lineRule="auto"/>
              <w:ind w:left="706" w:right="224" w:hanging="480"/>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6" w:line="212" w:lineRule="auto"/>
              <w:ind w:left="706" w:right="224" w:hanging="48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12"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restart"/>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4"/>
                <w:sz w:val="18"/>
                <w:szCs w:val="18"/>
              </w:rPr>
              <w:t>响或生态</w:t>
            </w:r>
            <w:r>
              <w:rPr>
                <w:rFonts w:hint="eastAsia" w:ascii="仿宋_GB2312" w:hAnsi="仿宋_GB2312" w:eastAsia="仿宋_GB2312" w:cs="仿宋_GB2312"/>
                <w:color w:val="000000" w:themeColor="text1"/>
                <w:spacing w:val="-1"/>
                <w:sz w:val="18"/>
                <w:szCs w:val="18"/>
              </w:rPr>
              <w:t>破坏程度</w:t>
            </w:r>
          </w:p>
        </w:tc>
        <w:tc>
          <w:tcPr>
            <w:tcW w:w="1316" w:type="dxa"/>
            <w:vMerge w:val="restart"/>
            <w:vAlign w:val="center"/>
          </w:tcPr>
          <w:p>
            <w:pPr>
              <w:spacing w:before="12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812" w:type="dxa"/>
            <w:vMerge w:val="restart"/>
            <w:vAlign w:val="center"/>
          </w:tcPr>
          <w:p>
            <w:pPr>
              <w:spacing w:before="12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892"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87"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316" w:type="dxa"/>
            <w:vMerge w:val="continue"/>
            <w:vAlign w:val="center"/>
          </w:tcPr>
          <w:p>
            <w:pPr>
              <w:spacing w:before="126" w:line="184" w:lineRule="auto"/>
              <w:jc w:val="center"/>
              <w:rPr>
                <w:rFonts w:ascii="仿宋_GB2312" w:hAnsi="仿宋_GB2312" w:eastAsia="仿宋_GB2312" w:cs="仿宋_GB2312"/>
                <w:color w:val="000000" w:themeColor="text1"/>
                <w:spacing w:val="-1"/>
                <w:sz w:val="18"/>
                <w:szCs w:val="18"/>
              </w:rPr>
            </w:pPr>
          </w:p>
        </w:tc>
        <w:tc>
          <w:tcPr>
            <w:tcW w:w="812" w:type="dxa"/>
            <w:vMerge w:val="continue"/>
            <w:vAlign w:val="center"/>
          </w:tcPr>
          <w:p>
            <w:pPr>
              <w:spacing w:before="126" w:line="184" w:lineRule="auto"/>
              <w:jc w:val="center"/>
              <w:rPr>
                <w:rFonts w:ascii="仿宋_GB2312" w:hAnsi="仿宋_GB2312" w:eastAsia="仿宋_GB2312" w:cs="仿宋_GB2312"/>
                <w:color w:val="000000" w:themeColor="text1"/>
                <w:spacing w:val="-7"/>
                <w:sz w:val="18"/>
                <w:szCs w:val="18"/>
              </w:rPr>
            </w:pPr>
          </w:p>
        </w:tc>
        <w:tc>
          <w:tcPr>
            <w:tcW w:w="3892"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87" w:type="dxa"/>
            <w:tcBorders>
              <w:top w:val="single" w:color="auto" w:sz="4"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34"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vAlign w:val="center"/>
          </w:tcPr>
          <w:p>
            <w:pPr>
              <w:spacing w:before="42" w:line="212" w:lineRule="auto"/>
              <w:ind w:left="129" w:right="122" w:firstLine="11"/>
              <w:jc w:val="center"/>
              <w:rPr>
                <w:rFonts w:ascii="仿宋_GB2312" w:hAnsi="仿宋_GB2312" w:eastAsia="仿宋_GB2312" w:cs="仿宋_GB2312"/>
                <w:color w:val="000000" w:themeColor="text1"/>
                <w:sz w:val="18"/>
                <w:szCs w:val="18"/>
              </w:rPr>
            </w:pPr>
          </w:p>
        </w:tc>
        <w:tc>
          <w:tcPr>
            <w:tcW w:w="1316" w:type="dxa"/>
            <w:vMerge w:val="continue"/>
            <w:vAlign w:val="center"/>
          </w:tcPr>
          <w:p>
            <w:pPr>
              <w:spacing w:before="42" w:line="212" w:lineRule="auto"/>
              <w:ind w:left="837" w:right="224" w:hanging="600"/>
              <w:jc w:val="center"/>
              <w:rPr>
                <w:rFonts w:ascii="仿宋_GB2312" w:hAnsi="仿宋_GB2312" w:eastAsia="仿宋_GB2312" w:cs="仿宋_GB2312"/>
                <w:color w:val="000000" w:themeColor="text1"/>
                <w:sz w:val="18"/>
                <w:szCs w:val="18"/>
              </w:rPr>
            </w:pPr>
          </w:p>
        </w:tc>
        <w:tc>
          <w:tcPr>
            <w:tcW w:w="812" w:type="dxa"/>
            <w:vMerge w:val="continue"/>
            <w:vAlign w:val="center"/>
          </w:tcPr>
          <w:p>
            <w:pPr>
              <w:jc w:val="center"/>
              <w:rPr>
                <w:rFonts w:ascii="仿宋_GB2312" w:hAnsi="仿宋_GB2312" w:eastAsia="仿宋_GB2312" w:cs="仿宋_GB2312"/>
                <w:color w:val="000000" w:themeColor="text1"/>
                <w:sz w:val="18"/>
                <w:szCs w:val="18"/>
              </w:rPr>
            </w:pPr>
          </w:p>
        </w:tc>
        <w:tc>
          <w:tcPr>
            <w:tcW w:w="3892"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87" w:type="dxa"/>
            <w:tcBorders>
              <w:top w:val="single" w:color="000000" w:sz="2"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34"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vAlign w:val="center"/>
          </w:tcPr>
          <w:p>
            <w:pPr>
              <w:spacing w:before="42" w:line="212" w:lineRule="auto"/>
              <w:ind w:left="129" w:right="122" w:firstLine="11"/>
              <w:jc w:val="center"/>
              <w:rPr>
                <w:rFonts w:ascii="仿宋_GB2312" w:hAnsi="仿宋_GB2312" w:eastAsia="仿宋_GB2312" w:cs="仿宋_GB2312"/>
                <w:color w:val="000000" w:themeColor="text1"/>
                <w:sz w:val="18"/>
                <w:szCs w:val="18"/>
              </w:rPr>
            </w:pPr>
          </w:p>
        </w:tc>
        <w:tc>
          <w:tcPr>
            <w:tcW w:w="1316" w:type="dxa"/>
            <w:vMerge w:val="continue"/>
            <w:vAlign w:val="center"/>
          </w:tcPr>
          <w:p>
            <w:pPr>
              <w:spacing w:before="42" w:line="212" w:lineRule="auto"/>
              <w:ind w:left="837" w:right="224" w:hanging="600"/>
              <w:jc w:val="center"/>
              <w:rPr>
                <w:rFonts w:ascii="仿宋_GB2312" w:hAnsi="仿宋_GB2312" w:eastAsia="仿宋_GB2312" w:cs="仿宋_GB2312"/>
                <w:color w:val="000000" w:themeColor="text1"/>
                <w:sz w:val="18"/>
                <w:szCs w:val="18"/>
              </w:rPr>
            </w:pPr>
          </w:p>
        </w:tc>
        <w:tc>
          <w:tcPr>
            <w:tcW w:w="812" w:type="dxa"/>
            <w:vMerge w:val="continue"/>
            <w:vAlign w:val="center"/>
          </w:tcPr>
          <w:p>
            <w:pPr>
              <w:jc w:val="center"/>
              <w:rPr>
                <w:rFonts w:ascii="仿宋_GB2312" w:hAnsi="仿宋_GB2312" w:eastAsia="仿宋_GB2312" w:cs="仿宋_GB2312"/>
                <w:color w:val="000000" w:themeColor="text1"/>
                <w:sz w:val="18"/>
                <w:szCs w:val="18"/>
              </w:rPr>
            </w:pPr>
          </w:p>
        </w:tc>
        <w:tc>
          <w:tcPr>
            <w:tcW w:w="3892"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87"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38" w:type="dxa"/>
            <w:vMerge w:val="continue"/>
            <w:vAlign w:val="center"/>
          </w:tcPr>
          <w:p>
            <w:pPr>
              <w:spacing w:before="42" w:line="212" w:lineRule="auto"/>
              <w:ind w:left="129" w:right="122" w:firstLine="11"/>
              <w:jc w:val="center"/>
              <w:rPr>
                <w:rFonts w:ascii="仿宋_GB2312" w:hAnsi="仿宋_GB2312" w:eastAsia="仿宋_GB2312" w:cs="仿宋_GB2312"/>
                <w:color w:val="000000" w:themeColor="text1"/>
                <w:sz w:val="18"/>
                <w:szCs w:val="18"/>
              </w:rPr>
            </w:pPr>
          </w:p>
        </w:tc>
        <w:tc>
          <w:tcPr>
            <w:tcW w:w="1316" w:type="dxa"/>
            <w:vMerge w:val="continue"/>
            <w:vAlign w:val="center"/>
          </w:tcPr>
          <w:p>
            <w:pPr>
              <w:spacing w:before="42" w:line="212" w:lineRule="auto"/>
              <w:ind w:left="837" w:right="224" w:hanging="600"/>
              <w:jc w:val="center"/>
              <w:rPr>
                <w:rFonts w:ascii="仿宋_GB2312" w:hAnsi="仿宋_GB2312" w:eastAsia="仿宋_GB2312" w:cs="仿宋_GB2312"/>
                <w:color w:val="000000" w:themeColor="text1"/>
                <w:sz w:val="18"/>
                <w:szCs w:val="18"/>
              </w:rPr>
            </w:pPr>
          </w:p>
        </w:tc>
        <w:tc>
          <w:tcPr>
            <w:tcW w:w="812" w:type="dxa"/>
            <w:vMerge w:val="continue"/>
            <w:vAlign w:val="center"/>
          </w:tcPr>
          <w:p>
            <w:pPr>
              <w:jc w:val="center"/>
              <w:rPr>
                <w:rFonts w:ascii="仿宋_GB2312" w:hAnsi="仿宋_GB2312" w:eastAsia="仿宋_GB2312" w:cs="仿宋_GB2312"/>
                <w:color w:val="000000" w:themeColor="text1"/>
                <w:sz w:val="18"/>
                <w:szCs w:val="18"/>
              </w:rPr>
            </w:pPr>
          </w:p>
        </w:tc>
        <w:tc>
          <w:tcPr>
            <w:tcW w:w="3892"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87"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 w:hRule="atLeast"/>
        </w:trPr>
        <w:tc>
          <w:tcPr>
            <w:tcW w:w="867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9"/>
                <w:sz w:val="18"/>
                <w:szCs w:val="18"/>
              </w:rPr>
              <w:t>公式：罚款金额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pacing w:val="-3"/>
                <w:sz w:val="18"/>
                <w:szCs w:val="18"/>
              </w:rPr>
              <w:t>货值金额×1～3倍（由总百分值确定</w:t>
            </w:r>
            <w:r>
              <w:rPr>
                <w:rFonts w:hint="eastAsia" w:ascii="仿宋_GB2312" w:hAnsi="仿宋_GB2312" w:eastAsia="仿宋_GB2312" w:cs="仿宋_GB2312"/>
                <w:color w:val="000000" w:themeColor="text1"/>
                <w:spacing w:val="-67"/>
                <w:sz w:val="18"/>
                <w:szCs w:val="18"/>
              </w:rPr>
              <w:t>）</w:t>
            </w:r>
            <w:r>
              <w:rPr>
                <w:rFonts w:hint="eastAsia" w:ascii="仿宋_GB2312" w:hAnsi="仿宋_GB2312" w:eastAsia="仿宋_GB2312" w:cs="仿宋_GB2312"/>
                <w:color w:val="000000" w:themeColor="text1"/>
                <w:spacing w:val="-14"/>
                <w:sz w:val="18"/>
                <w:szCs w:val="18"/>
              </w:rPr>
              <w:t>罚款金额不能低于货值金额1倍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8679" w:type="dxa"/>
            <w:gridSpan w:val="7"/>
            <w:vAlign w:val="center"/>
          </w:tcPr>
          <w:p>
            <w:pPr>
              <w:jc w:val="left"/>
              <w:rPr>
                <w:rFonts w:ascii="仿宋_GB2312" w:hAnsi="仿宋_GB2312" w:eastAsia="仿宋_GB2312" w:cs="仿宋_GB2312"/>
                <w:b/>
                <w:bCs/>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1.《中华人民共和国大气污染防治法》第三十五条第一款国家禁止进口、销售和燃用不符合质量标准的煤炭，鼓励燃用优质煤炭。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2.第三十七条石油炼制企业应当按照燃油质量标准生产燃油。禁止进口、销售和燃用不符合质量标准的石油焦。</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3.《中华人民共和国大气污染防治法》第一百零五条违反本法规定，单位燃用不符合质量标准的煤炭、石油焦的，由县级以上人民政府生态环境主管部门责令改正，处货值金额一倍以上三倍以下的罚款。</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3</w:t>
            </w:r>
          </w:p>
        </w:tc>
      </w:tr>
    </w:tbl>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kern w:val="0"/>
          <w:sz w:val="24"/>
        </w:rPr>
      </w:pPr>
      <w:bookmarkStart w:id="122" w:name="_Toc30720"/>
      <w:bookmarkStart w:id="123" w:name="_Toc14687"/>
      <w:r>
        <w:rPr>
          <w:rFonts w:hint="eastAsia" w:ascii="仿宋" w:hAnsi="仿宋" w:eastAsia="仿宋" w:cs="仿宋"/>
          <w:b/>
          <w:bCs/>
          <w:color w:val="000000" w:themeColor="text1"/>
          <w:kern w:val="0"/>
          <w:sz w:val="24"/>
        </w:rPr>
        <w:t>表 20 违反禁燃区、城市集中供热管网覆盖区燃料或锅炉规定的罚款幅度裁定</w:t>
      </w:r>
      <w:bookmarkEnd w:id="122"/>
      <w:bookmarkEnd w:id="123"/>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8"/>
        <w:gridCol w:w="916"/>
        <w:gridCol w:w="848"/>
        <w:gridCol w:w="2625"/>
        <w:gridCol w:w="1961"/>
        <w:gridCol w:w="631"/>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2872" w:type="dxa"/>
            <w:gridSpan w:val="3"/>
            <w:vAlign w:val="center"/>
          </w:tcPr>
          <w:p>
            <w:pPr>
              <w:spacing w:before="176" w:line="184" w:lineRule="auto"/>
              <w:ind w:firstLine="1444"/>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747" w:type="dxa"/>
            <w:gridSpan w:val="4"/>
            <w:vAlign w:val="center"/>
          </w:tcPr>
          <w:p>
            <w:pPr>
              <w:spacing w:before="176" w:line="184" w:lineRule="auto"/>
              <w:ind w:firstLine="174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1" w:hRule="atLeast"/>
        </w:trPr>
        <w:tc>
          <w:tcPr>
            <w:tcW w:w="110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1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4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586"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110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916"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262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在禁燃区内新建、扩建燃用高污染燃料的设施或者在城市集中供热管网覆盖地区新建、扩建分散燃煤供热锅炉，未投入使用的</w:t>
            </w:r>
          </w:p>
        </w:tc>
        <w:tc>
          <w:tcPr>
            <w:tcW w:w="196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基础建设阶段</w:t>
            </w:r>
          </w:p>
        </w:tc>
        <w:tc>
          <w:tcPr>
            <w:tcW w:w="631" w:type="dxa"/>
            <w:tcBorders>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30" w:type="dxa"/>
            <w:tcBorders>
              <w:left w:val="single" w:color="auto" w:sz="4" w:space="0"/>
              <w:bottom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16"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48" w:type="dxa"/>
            <w:vMerge w:val="continue"/>
            <w:vAlign w:val="center"/>
          </w:tcPr>
          <w:p>
            <w:pPr>
              <w:jc w:val="center"/>
              <w:rPr>
                <w:rFonts w:ascii="仿宋_GB2312" w:hAnsi="仿宋_GB2312" w:eastAsia="仿宋_GB2312" w:cs="仿宋_GB2312"/>
                <w:color w:val="000000" w:themeColor="text1"/>
                <w:spacing w:val="-6"/>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主体建设阶段</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530" w:type="dxa"/>
            <w:tcBorders>
              <w:top w:val="single" w:color="auto" w:sz="4" w:space="0"/>
              <w:left w:val="single" w:color="auto" w:sz="4" w:space="0"/>
              <w:bottom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16"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48" w:type="dxa"/>
            <w:vMerge w:val="continue"/>
            <w:vAlign w:val="center"/>
          </w:tcPr>
          <w:p>
            <w:pPr>
              <w:jc w:val="center"/>
              <w:rPr>
                <w:rFonts w:ascii="仿宋_GB2312" w:hAnsi="仿宋_GB2312" w:eastAsia="仿宋_GB2312" w:cs="仿宋_GB2312"/>
                <w:color w:val="000000" w:themeColor="text1"/>
                <w:spacing w:val="-6"/>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t>设备安装阶段</w:t>
            </w:r>
          </w:p>
        </w:tc>
        <w:tc>
          <w:tcPr>
            <w:tcW w:w="631" w:type="dxa"/>
            <w:tcBorders>
              <w:top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530" w:type="dxa"/>
            <w:tcBorders>
              <w:top w:val="single" w:color="auto" w:sz="4" w:space="0"/>
              <w:lef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在禁燃区内新建、扩建燃用高污染燃料的设施或者在城市集中供热管网覆盖地区新建、扩建分散燃煤供热锅炉，投入使用的</w:t>
            </w:r>
          </w:p>
        </w:tc>
        <w:tc>
          <w:tcPr>
            <w:tcW w:w="196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调试阶段</w:t>
            </w:r>
          </w:p>
        </w:tc>
        <w:tc>
          <w:tcPr>
            <w:tcW w:w="631" w:type="dxa"/>
            <w:tcBorders>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530" w:type="dxa"/>
            <w:tcBorders>
              <w:left w:val="single" w:color="auto" w:sz="4" w:space="0"/>
              <w:bottom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使用阶段</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530" w:type="dxa"/>
            <w:tcBorders>
              <w:top w:val="single" w:color="auto" w:sz="4" w:space="0"/>
              <w:left w:val="single" w:color="auto" w:sz="4" w:space="0"/>
              <w:bottom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不执行拆除决定</w:t>
            </w:r>
          </w:p>
        </w:tc>
        <w:tc>
          <w:tcPr>
            <w:tcW w:w="631" w:type="dxa"/>
            <w:tcBorders>
              <w:top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530" w:type="dxa"/>
            <w:tcBorders>
              <w:top w:val="single" w:color="auto" w:sz="4" w:space="0"/>
              <w:lef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未按照规定停止燃用高污染燃料的</w:t>
            </w:r>
          </w:p>
        </w:tc>
        <w:tc>
          <w:tcPr>
            <w:tcW w:w="196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个体工商户</w:t>
            </w:r>
          </w:p>
        </w:tc>
        <w:tc>
          <w:tcPr>
            <w:tcW w:w="631" w:type="dxa"/>
            <w:tcBorders>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530" w:type="dxa"/>
            <w:vMerge w:val="restart"/>
            <w:tcBorders>
              <w:left w:val="single" w:color="auto" w:sz="4" w:space="0"/>
            </w:tcBorders>
            <w:vAlign w:val="center"/>
          </w:tcPr>
          <w:p>
            <w:pPr>
              <w:spacing w:before="199"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供暖企业</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530" w:type="dxa"/>
            <w:vMerge w:val="continue"/>
            <w:tcBorders>
              <w:left w:val="single" w:color="auto" w:sz="4" w:space="0"/>
              <w:bottom w:val="single" w:color="auto" w:sz="4" w:space="0"/>
            </w:tcBorders>
            <w:vAlign w:val="center"/>
          </w:tcPr>
          <w:p>
            <w:pPr>
              <w:spacing w:before="199"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其它企业</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530" w:type="dxa"/>
            <w:tcBorders>
              <w:top w:val="single" w:color="auto" w:sz="4" w:space="0"/>
              <w:left w:val="single" w:color="auto" w:sz="4" w:space="0"/>
              <w:bottom w:val="single" w:color="auto" w:sz="4" w:space="0"/>
            </w:tcBorders>
            <w:vAlign w:val="center"/>
          </w:tcPr>
          <w:p>
            <w:pPr>
              <w:spacing w:before="199"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未按照规定拆除已建成的不能达标排放的燃煤供热锅炉的</w:t>
            </w:r>
          </w:p>
        </w:tc>
        <w:tc>
          <w:tcPr>
            <w:tcW w:w="196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w:t>
            </w:r>
          </w:p>
        </w:tc>
        <w:tc>
          <w:tcPr>
            <w:tcW w:w="631" w:type="dxa"/>
            <w:tcBorders>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530"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禁燃区外人口集中区域</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530"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禁燃区内</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530"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不执行拆除决定</w:t>
            </w:r>
          </w:p>
        </w:tc>
        <w:tc>
          <w:tcPr>
            <w:tcW w:w="631" w:type="dxa"/>
            <w:tcBorders>
              <w:top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3"/>
                <w:sz w:val="18"/>
                <w:szCs w:val="18"/>
              </w:rPr>
              <w:t>40%</w:t>
            </w:r>
          </w:p>
        </w:tc>
        <w:tc>
          <w:tcPr>
            <w:tcW w:w="530"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restart"/>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16" w:type="dxa"/>
            <w:vMerge w:val="restart"/>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848" w:type="dxa"/>
            <w:vMerge w:val="restart"/>
            <w:vAlign w:val="center"/>
          </w:tcPr>
          <w:p>
            <w:pPr>
              <w:ind w:firstLine="312"/>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16"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restart"/>
            <w:tcBorders>
              <w:bottom w:val="nil"/>
            </w:tcBorders>
            <w:vAlign w:val="center"/>
          </w:tcPr>
          <w:p>
            <w:pPr>
              <w:spacing w:before="45" w:line="212" w:lineRule="auto"/>
              <w:ind w:left="137" w:right="122"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916" w:type="dxa"/>
            <w:vMerge w:val="restart"/>
            <w:tcBorders>
              <w:bottom w:val="nil"/>
            </w:tcBorders>
            <w:vAlign w:val="center"/>
          </w:tcPr>
          <w:p>
            <w:pPr>
              <w:spacing w:before="45" w:line="212" w:lineRule="auto"/>
              <w:ind w:right="190"/>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5" w:line="212" w:lineRule="auto"/>
              <w:ind w:right="19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restart"/>
            <w:tcBorders>
              <w:bottom w:val="nil"/>
            </w:tcBorders>
            <w:vAlign w:val="center"/>
          </w:tcPr>
          <w:p>
            <w:pPr>
              <w:spacing w:before="42" w:line="221" w:lineRule="auto"/>
              <w:ind w:left="129" w:right="122"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16" w:type="dxa"/>
            <w:vMerge w:val="restart"/>
            <w:tcBorders>
              <w:bottom w:val="nil"/>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586"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31"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30"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vAlign w:val="center"/>
          </w:tcPr>
          <w:p>
            <w:pPr>
              <w:spacing w:before="42" w:line="221" w:lineRule="auto"/>
              <w:ind w:left="129" w:right="122" w:firstLine="9"/>
              <w:jc w:val="center"/>
              <w:rPr>
                <w:rFonts w:ascii="仿宋_GB2312" w:hAnsi="仿宋_GB2312" w:eastAsia="仿宋_GB2312" w:cs="仿宋_GB2312"/>
                <w:color w:val="000000" w:themeColor="text1"/>
                <w:spacing w:val="-3"/>
                <w:sz w:val="18"/>
                <w:szCs w:val="18"/>
              </w:rPr>
            </w:pPr>
          </w:p>
        </w:tc>
        <w:tc>
          <w:tcPr>
            <w:tcW w:w="916" w:type="dxa"/>
            <w:vMerge w:val="continue"/>
            <w:vAlign w:val="center"/>
          </w:tcPr>
          <w:p>
            <w:pPr>
              <w:spacing w:before="41" w:line="184" w:lineRule="auto"/>
              <w:jc w:val="center"/>
              <w:rPr>
                <w:rFonts w:ascii="仿宋_GB2312" w:hAnsi="仿宋_GB2312" w:eastAsia="仿宋_GB2312" w:cs="仿宋_GB2312"/>
                <w:color w:val="000000" w:themeColor="text1"/>
                <w:spacing w:val="-1"/>
                <w:sz w:val="18"/>
                <w:szCs w:val="18"/>
              </w:rPr>
            </w:pPr>
          </w:p>
        </w:tc>
        <w:tc>
          <w:tcPr>
            <w:tcW w:w="84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4586"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31"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30"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4586"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31"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30"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31"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30"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31"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30"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86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86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八条城市人民政府可以划定并公布高污染燃料禁燃区，并根据大气环境质量改善要求，逐步扩大高污染燃料禁燃区范围。高污染燃料的目录由国务院生态环境主管部门确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在禁燃区内，禁止销售、燃用高污染燃料；禁止新建、扩建燃用高污染燃料的设施，已建成的，应当在城市人民政府规定的期限内改用天然气、页岩气、液化石油气、电或者其他清洁能源。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2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sz w:val="24"/>
        </w:rPr>
      </w:pPr>
      <w:bookmarkStart w:id="124" w:name="_Toc2979"/>
      <w:bookmarkStart w:id="125" w:name="_Toc10692"/>
      <w:r>
        <w:rPr>
          <w:rFonts w:hint="eastAsia" w:ascii="仿宋" w:hAnsi="仿宋" w:eastAsia="仿宋" w:cs="仿宋"/>
          <w:b/>
          <w:bCs/>
          <w:color w:val="000000" w:themeColor="text1"/>
          <w:kern w:val="0"/>
          <w:sz w:val="24"/>
        </w:rPr>
        <w:t>表 21 产生含挥发性有机物废气的生产和服务活动，未在密闭空间或者设备中进行，未按照规定安装、使用污染防治设施，或者未采取减少废气排放措施的罚款幅度裁定</w:t>
      </w:r>
      <w:bookmarkEnd w:id="124"/>
      <w:bookmarkEnd w:id="125"/>
    </w:p>
    <w:tbl>
      <w:tblPr>
        <w:tblStyle w:val="15"/>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2417"/>
        <w:gridCol w:w="184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jc w:val="center"/>
        </w:trPr>
        <w:tc>
          <w:tcPr>
            <w:tcW w:w="2952"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tcPr>
          <w:p>
            <w:pPr>
              <w:spacing w:before="177" w:line="184" w:lineRule="auto"/>
              <w:ind w:firstLine="1655"/>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4" w:hRule="atLeast"/>
          <w:jc w:val="center"/>
        </w:trPr>
        <w:tc>
          <w:tcPr>
            <w:tcW w:w="977" w:type="dxa"/>
            <w:vAlign w:val="center"/>
          </w:tcPr>
          <w:p>
            <w:pPr>
              <w:spacing w:before="19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restart"/>
            <w:vAlign w:val="center"/>
          </w:tcPr>
          <w:p>
            <w:pPr>
              <w:spacing w:before="78"/>
              <w:ind w:right="122"/>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349" w:type="dxa"/>
            <w:vMerge w:val="restart"/>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626" w:type="dxa"/>
            <w:vMerge w:val="restart"/>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41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已在密闭空间或者设备中进行，以及已采取减少废气排放措施，但污染防治设施不能达到治理效果的</w:t>
            </w:r>
          </w:p>
        </w:tc>
        <w:tc>
          <w:tcPr>
            <w:tcW w:w="184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登记表或登记管理</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134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626"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报告表或简化管理</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7%</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134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626"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报告书或重点管理</w:t>
            </w:r>
          </w:p>
        </w:tc>
        <w:tc>
          <w:tcPr>
            <w:tcW w:w="75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43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已按照规定安装、使用污染防治设施，未在密闭空间或者设备中进行或者未采取减少废气排放措施的</w:t>
            </w:r>
          </w:p>
        </w:tc>
        <w:tc>
          <w:tcPr>
            <w:tcW w:w="184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登记表或登记管理</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1</w:t>
            </w: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报告表或简化管理</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17%</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报告书或重点管理</w:t>
            </w:r>
          </w:p>
        </w:tc>
        <w:tc>
          <w:tcPr>
            <w:tcW w:w="75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43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已在密闭空间或者设备中进行，但未按照规定安装、使用污染防治设施的</w:t>
            </w:r>
          </w:p>
        </w:tc>
        <w:tc>
          <w:tcPr>
            <w:tcW w:w="184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登记表或登记管理</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2</w:t>
            </w: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报告表或简化管理</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27%</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报告书或重点管理</w:t>
            </w:r>
          </w:p>
        </w:tc>
        <w:tc>
          <w:tcPr>
            <w:tcW w:w="75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30%</w:t>
            </w:r>
          </w:p>
        </w:tc>
        <w:tc>
          <w:tcPr>
            <w:tcW w:w="43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未在密闭空间或者设备中进行且未按照规定安装、使用污染防治设施的</w:t>
            </w:r>
          </w:p>
        </w:tc>
        <w:tc>
          <w:tcPr>
            <w:tcW w:w="184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登记表或登记管理</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3</w:t>
            </w: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tcPr>
          <w:p>
            <w:pPr>
              <w:widowControl/>
              <w:kinsoku w:val="0"/>
              <w:autoSpaceDE w:val="0"/>
              <w:autoSpaceDN w:val="0"/>
              <w:adjustRightInd w:val="0"/>
              <w:snapToGrid w:val="0"/>
              <w:ind w:left="113" w:firstLine="5" w:firstLineChars="3"/>
              <w:jc w:val="left"/>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报告表或简化管理</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37%</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报告书或重点管理</w:t>
            </w:r>
          </w:p>
        </w:tc>
        <w:tc>
          <w:tcPr>
            <w:tcW w:w="75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43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5%</w:t>
            </w:r>
          </w:p>
        </w:tc>
        <w:tc>
          <w:tcPr>
            <w:tcW w:w="432" w:type="dxa"/>
            <w:tcBorders>
              <w:left w:val="single" w:color="auto" w:sz="4" w:space="0"/>
            </w:tcBorders>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10%</w:t>
            </w:r>
          </w:p>
        </w:tc>
        <w:tc>
          <w:tcPr>
            <w:tcW w:w="432" w:type="dxa"/>
            <w:tcBorders>
              <w:left w:val="single" w:color="auto" w:sz="4" w:space="0"/>
            </w:tcBorders>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15%</w:t>
            </w:r>
          </w:p>
        </w:tc>
        <w:tc>
          <w:tcPr>
            <w:tcW w:w="432" w:type="dxa"/>
            <w:tcBorders>
              <w:left w:val="single" w:color="auto" w:sz="4" w:space="0"/>
            </w:tcBorders>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20%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5%</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10%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restart"/>
            <w:tcBorders>
              <w:bottom w:val="nil"/>
            </w:tcBorders>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w:t>
            </w: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restart"/>
            <w:tcBorders>
              <w:bottom w:val="nil"/>
            </w:tcBorders>
          </w:tcPr>
          <w:p>
            <w:pPr>
              <w:spacing w:before="90"/>
              <w:ind w:left="129" w:right="122" w:firstLine="9"/>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426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426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4262"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jc w:val="center"/>
        </w:trPr>
        <w:tc>
          <w:tcPr>
            <w:tcW w:w="839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jc w:val="center"/>
        </w:trPr>
        <w:tc>
          <w:tcPr>
            <w:tcW w:w="839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第四十五条产生含挥发性有机物废气的生产和服务活动，应当在密闭空间或者设备中进行，并按照规定安装、使用污染防治设施；无法密闭的，应当采取措施减少废气排放。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（一）产生含挥发性有机物废气的生产和服务活动，未在密闭空间或者设备中进行，未按照规定安装、使用污染防治设施，或者未采取减少废气排放措施的；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五十八条违反本条例规定，产生含有挥发性有机物废气的生产和服务活动，未按照规定在密闭空间或者设备中进行并安装、使用污染防治设施的，或者无法密闭而未采取措施减少废气排放的，由生态环境主管部门责令限期改正，处2万元罚款；情节较重的，处10万元罚款；情节严重的，处20万元罚款；逾期不改正的，责令停产整治。</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26" w:name="_Toc27188"/>
      <w:bookmarkStart w:id="127" w:name="_Toc8163"/>
      <w:r>
        <w:rPr>
          <w:rFonts w:hint="eastAsia" w:ascii="仿宋" w:hAnsi="仿宋" w:eastAsia="仿宋" w:cs="仿宋"/>
          <w:b/>
          <w:bCs/>
          <w:color w:val="000000" w:themeColor="text1"/>
          <w:kern w:val="0"/>
          <w:sz w:val="24"/>
        </w:rPr>
        <w:t>表 22工业涂装企业未使用低挥发性有机物含量涂料或者未建立、保存台账的罚款幅度裁定</w:t>
      </w:r>
      <w:bookmarkEnd w:id="126"/>
      <w:bookmarkEnd w:id="127"/>
    </w:p>
    <w:tbl>
      <w:tblPr>
        <w:tblStyle w:val="1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2103"/>
        <w:gridCol w:w="808"/>
        <w:gridCol w:w="2038"/>
        <w:gridCol w:w="1228"/>
        <w:gridCol w:w="723"/>
        <w:gridCol w:w="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4151" w:type="dxa"/>
            <w:gridSpan w:val="3"/>
          </w:tcPr>
          <w:p>
            <w:pPr>
              <w:spacing w:before="178"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68" w:type="dxa"/>
            <w:gridSpan w:val="4"/>
          </w:tcPr>
          <w:p>
            <w:pPr>
              <w:spacing w:before="178" w:line="184" w:lineRule="auto"/>
              <w:ind w:firstLine="1643"/>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124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1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0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6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2103"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808"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038"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已使用低挥发性有机物含量涂料但未建立、保存台账的</w:t>
            </w:r>
          </w:p>
        </w:tc>
        <w:tc>
          <w:tcPr>
            <w:tcW w:w="122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2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40" w:type="dxa"/>
            <w:vMerge w:val="continue"/>
            <w:vAlign w:val="center"/>
          </w:tcPr>
          <w:p>
            <w:pPr>
              <w:jc w:val="center"/>
              <w:rPr>
                <w:rFonts w:ascii="仿宋" w:hAnsi="仿宋" w:eastAsia="仿宋" w:cs="仿宋"/>
                <w:color w:val="000000" w:themeColor="text1"/>
                <w:spacing w:val="-3"/>
                <w:sz w:val="18"/>
                <w:szCs w:val="18"/>
              </w:rPr>
            </w:pPr>
          </w:p>
        </w:tc>
        <w:tc>
          <w:tcPr>
            <w:tcW w:w="2103" w:type="dxa"/>
            <w:vMerge w:val="continue"/>
            <w:vAlign w:val="center"/>
          </w:tcPr>
          <w:p>
            <w:pPr>
              <w:spacing w:before="79" w:line="184" w:lineRule="auto"/>
              <w:jc w:val="center"/>
              <w:rPr>
                <w:rFonts w:ascii="仿宋" w:hAnsi="仿宋" w:eastAsia="仿宋" w:cs="仿宋"/>
                <w:color w:val="000000" w:themeColor="text1"/>
                <w:spacing w:val="-3"/>
                <w:sz w:val="18"/>
                <w:szCs w:val="18"/>
              </w:rPr>
            </w:pPr>
          </w:p>
        </w:tc>
        <w:tc>
          <w:tcPr>
            <w:tcW w:w="808" w:type="dxa"/>
            <w:vMerge w:val="continue"/>
            <w:vAlign w:val="center"/>
          </w:tcPr>
          <w:p>
            <w:pPr>
              <w:spacing w:before="79" w:line="184" w:lineRule="auto"/>
              <w:jc w:val="center"/>
              <w:rPr>
                <w:rFonts w:ascii="仿宋" w:hAnsi="仿宋" w:eastAsia="仿宋" w:cs="仿宋"/>
                <w:color w:val="000000" w:themeColor="text1"/>
                <w:spacing w:val="-6"/>
                <w:sz w:val="18"/>
                <w:szCs w:val="18"/>
              </w:rPr>
            </w:pPr>
          </w:p>
        </w:tc>
        <w:tc>
          <w:tcPr>
            <w:tcW w:w="203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228"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2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w:t>
            </w:r>
            <w:r>
              <w:rPr>
                <w:rFonts w:ascii="仿宋" w:hAnsi="仿宋" w:eastAsia="仿宋" w:cs="仿宋"/>
                <w:color w:val="000000" w:themeColor="text1"/>
                <w:spacing w:val="-5"/>
                <w:sz w:val="18"/>
                <w:szCs w:val="18"/>
              </w:rPr>
              <w:t>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40" w:type="dxa"/>
            <w:vMerge w:val="continue"/>
            <w:vAlign w:val="center"/>
          </w:tcPr>
          <w:p>
            <w:pPr>
              <w:jc w:val="center"/>
              <w:rPr>
                <w:rFonts w:ascii="仿宋" w:hAnsi="仿宋" w:eastAsia="仿宋" w:cs="仿宋"/>
                <w:color w:val="000000" w:themeColor="text1"/>
                <w:spacing w:val="-3"/>
                <w:sz w:val="18"/>
                <w:szCs w:val="18"/>
              </w:rPr>
            </w:pPr>
          </w:p>
        </w:tc>
        <w:tc>
          <w:tcPr>
            <w:tcW w:w="2103" w:type="dxa"/>
            <w:vMerge w:val="continue"/>
            <w:vAlign w:val="center"/>
          </w:tcPr>
          <w:p>
            <w:pPr>
              <w:spacing w:before="79" w:line="184" w:lineRule="auto"/>
              <w:jc w:val="center"/>
              <w:rPr>
                <w:rFonts w:ascii="仿宋" w:hAnsi="仿宋" w:eastAsia="仿宋" w:cs="仿宋"/>
                <w:color w:val="000000" w:themeColor="text1"/>
                <w:spacing w:val="-3"/>
                <w:sz w:val="18"/>
                <w:szCs w:val="18"/>
              </w:rPr>
            </w:pPr>
          </w:p>
        </w:tc>
        <w:tc>
          <w:tcPr>
            <w:tcW w:w="808" w:type="dxa"/>
            <w:vMerge w:val="continue"/>
            <w:vAlign w:val="center"/>
          </w:tcPr>
          <w:p>
            <w:pPr>
              <w:spacing w:before="79" w:line="184" w:lineRule="auto"/>
              <w:jc w:val="center"/>
              <w:rPr>
                <w:rFonts w:ascii="仿宋" w:hAnsi="仿宋" w:eastAsia="仿宋" w:cs="仿宋"/>
                <w:color w:val="000000" w:themeColor="text1"/>
                <w:spacing w:val="-6"/>
                <w:sz w:val="18"/>
                <w:szCs w:val="18"/>
              </w:rPr>
            </w:pPr>
          </w:p>
        </w:tc>
        <w:tc>
          <w:tcPr>
            <w:tcW w:w="203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22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2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2038"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未使用低挥发性有机物含量涂料的</w:t>
            </w:r>
          </w:p>
        </w:tc>
        <w:tc>
          <w:tcPr>
            <w:tcW w:w="122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2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203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228"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2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203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22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23"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103" w:type="dxa"/>
            <w:vMerge w:val="restart"/>
            <w:tcBorders>
              <w:bottom w:val="nil"/>
            </w:tcBorders>
            <w:vAlign w:val="center"/>
          </w:tcPr>
          <w:p>
            <w:pPr>
              <w:spacing w:before="72"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808" w:type="dxa"/>
            <w:vMerge w:val="restart"/>
            <w:tcBorders>
              <w:bottom w:val="nil"/>
            </w:tcBorders>
            <w:vAlign w:val="center"/>
          </w:tcPr>
          <w:p>
            <w:pPr>
              <w:spacing w:before="72"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20%</w:t>
            </w: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0"/>
                <w:sz w:val="18"/>
                <w:szCs w:val="18"/>
              </w:rPr>
              <w:t>5%</w:t>
            </w:r>
          </w:p>
        </w:tc>
        <w:tc>
          <w:tcPr>
            <w:tcW w:w="579"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8"/>
                <w:sz w:val="18"/>
                <w:szCs w:val="18"/>
              </w:rPr>
              <w:t>10%</w:t>
            </w:r>
          </w:p>
        </w:tc>
        <w:tc>
          <w:tcPr>
            <w:tcW w:w="579"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8"/>
                <w:sz w:val="18"/>
                <w:szCs w:val="18"/>
              </w:rPr>
              <w:t>15%</w:t>
            </w:r>
          </w:p>
        </w:tc>
        <w:tc>
          <w:tcPr>
            <w:tcW w:w="579"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20%</w:t>
            </w:r>
          </w:p>
        </w:tc>
        <w:tc>
          <w:tcPr>
            <w:tcW w:w="579"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103"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808"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7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57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57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103" w:type="dxa"/>
            <w:vMerge w:val="restart"/>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w:t>
            </w:r>
            <w:r>
              <w:rPr>
                <w:rFonts w:ascii="仿宋" w:hAnsi="仿宋" w:eastAsia="仿宋" w:cs="仿宋"/>
                <w:color w:val="000000" w:themeColor="text1"/>
                <w:sz w:val="18"/>
                <w:szCs w:val="18"/>
              </w:rPr>
              <w:t>查</w:t>
            </w:r>
          </w:p>
        </w:tc>
        <w:tc>
          <w:tcPr>
            <w:tcW w:w="808" w:type="dxa"/>
            <w:vMerge w:val="restart"/>
            <w:vAlign w:val="center"/>
          </w:tcPr>
          <w:p>
            <w:pPr>
              <w:spacing w:before="42"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66"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2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vAlign w:val="center"/>
          </w:tcPr>
          <w:p>
            <w:pPr>
              <w:jc w:val="center"/>
              <w:rPr>
                <w:rFonts w:ascii="仿宋" w:hAnsi="仿宋" w:eastAsia="仿宋" w:cs="仿宋"/>
                <w:color w:val="000000" w:themeColor="text1"/>
                <w:spacing w:val="-5"/>
                <w:sz w:val="18"/>
                <w:szCs w:val="18"/>
              </w:rPr>
            </w:pPr>
          </w:p>
        </w:tc>
        <w:tc>
          <w:tcPr>
            <w:tcW w:w="2103" w:type="dxa"/>
            <w:vMerge w:val="continue"/>
            <w:vAlign w:val="center"/>
          </w:tcPr>
          <w:p>
            <w:pPr>
              <w:spacing w:before="42" w:line="184" w:lineRule="auto"/>
              <w:ind w:firstLine="192"/>
              <w:jc w:val="center"/>
              <w:rPr>
                <w:rFonts w:ascii="仿宋" w:hAnsi="仿宋" w:eastAsia="仿宋" w:cs="仿宋"/>
                <w:color w:val="000000" w:themeColor="text1"/>
                <w:spacing w:val="-1"/>
                <w:sz w:val="18"/>
                <w:szCs w:val="18"/>
              </w:rPr>
            </w:pPr>
          </w:p>
        </w:tc>
        <w:tc>
          <w:tcPr>
            <w:tcW w:w="808" w:type="dxa"/>
            <w:vMerge w:val="continue"/>
            <w:vAlign w:val="center"/>
          </w:tcPr>
          <w:p>
            <w:pPr>
              <w:spacing w:before="42" w:line="184" w:lineRule="auto"/>
              <w:ind w:firstLine="248"/>
              <w:jc w:val="center"/>
              <w:rPr>
                <w:rFonts w:ascii="仿宋" w:hAnsi="仿宋" w:eastAsia="仿宋" w:cs="仿宋"/>
                <w:color w:val="000000" w:themeColor="text1"/>
                <w:spacing w:val="-9"/>
                <w:sz w:val="18"/>
                <w:szCs w:val="18"/>
              </w:rPr>
            </w:pPr>
          </w:p>
        </w:tc>
        <w:tc>
          <w:tcPr>
            <w:tcW w:w="326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23" w:type="dxa"/>
            <w:tcBorders>
              <w:top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21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是否造成社会影</w:t>
            </w:r>
            <w:r>
              <w:rPr>
                <w:rFonts w:ascii="仿宋" w:hAnsi="仿宋" w:eastAsia="仿宋" w:cs="仿宋"/>
                <w:color w:val="000000" w:themeColor="text1"/>
                <w:spacing w:val="-3"/>
                <w:sz w:val="18"/>
                <w:szCs w:val="18"/>
              </w:rPr>
              <w:t>响或生态破坏</w:t>
            </w:r>
          </w:p>
        </w:tc>
        <w:tc>
          <w:tcPr>
            <w:tcW w:w="808"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266"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23"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vAlign w:val="center"/>
          </w:tcPr>
          <w:p>
            <w:pPr>
              <w:jc w:val="center"/>
              <w:rPr>
                <w:rFonts w:ascii="仿宋" w:hAnsi="仿宋" w:eastAsia="仿宋" w:cs="仿宋"/>
                <w:color w:val="000000" w:themeColor="text1"/>
                <w:spacing w:val="-3"/>
                <w:sz w:val="18"/>
                <w:szCs w:val="18"/>
              </w:rPr>
            </w:pPr>
          </w:p>
        </w:tc>
        <w:tc>
          <w:tcPr>
            <w:tcW w:w="2103" w:type="dxa"/>
            <w:vMerge w:val="continue"/>
            <w:vAlign w:val="center"/>
          </w:tcPr>
          <w:p>
            <w:pPr>
              <w:jc w:val="center"/>
              <w:rPr>
                <w:rFonts w:ascii="仿宋" w:hAnsi="仿宋" w:eastAsia="仿宋" w:cs="仿宋"/>
                <w:color w:val="000000" w:themeColor="text1"/>
                <w:spacing w:val="-1"/>
                <w:sz w:val="18"/>
                <w:szCs w:val="18"/>
              </w:rPr>
            </w:pPr>
          </w:p>
        </w:tc>
        <w:tc>
          <w:tcPr>
            <w:tcW w:w="808"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266"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23" w:type="dxa"/>
            <w:tcBorders>
              <w:top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266"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23"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326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23"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3266"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23"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2" w:hRule="atLeast"/>
        </w:trPr>
        <w:tc>
          <w:tcPr>
            <w:tcW w:w="87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87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第四十六条工业涂装企业应当使用低挥发性有机物含量的涂料，并建立台账，记录生产原料、辅料的使用量、废弃量、去向以及挥发性有机物含量。台账保存期限不得少于三年。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numPr>
          <w:ilvl w:val="0"/>
          <w:numId w:val="1"/>
        </w:num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工业涂装企业未使用低挥发性有机物含量涂料或者未建立、保存台账的；</w:t>
      </w: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sz w:val="24"/>
        </w:rPr>
      </w:pPr>
      <w:bookmarkStart w:id="128" w:name="_Toc18495"/>
      <w:bookmarkStart w:id="129" w:name="_Toc4749"/>
      <w:r>
        <w:rPr>
          <w:rFonts w:hint="eastAsia" w:ascii="仿宋" w:hAnsi="仿宋" w:eastAsia="仿宋" w:cs="仿宋"/>
          <w:b/>
          <w:bCs/>
          <w:color w:val="000000" w:themeColor="text1"/>
          <w:kern w:val="0"/>
          <w:sz w:val="24"/>
        </w:rPr>
        <w:t>表 23石油、化工以及其他生产和使用有机溶剂的企业，未采取措施对管道、设备进行日常维护、维修，减少物料泄漏或者对泄漏的物料未及时收集处理的罚款幅度裁定</w:t>
      </w:r>
      <w:bookmarkEnd w:id="128"/>
      <w:bookmarkEnd w:id="129"/>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1743"/>
        <w:gridCol w:w="949"/>
        <w:gridCol w:w="2205"/>
        <w:gridCol w:w="1095"/>
        <w:gridCol w:w="840"/>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 w:hRule="atLeast"/>
        </w:trPr>
        <w:tc>
          <w:tcPr>
            <w:tcW w:w="3894" w:type="dxa"/>
            <w:gridSpan w:val="3"/>
          </w:tcPr>
          <w:p>
            <w:pPr>
              <w:spacing w:before="177" w:line="184" w:lineRule="auto"/>
              <w:ind w:firstLine="148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685" w:type="dxa"/>
            <w:gridSpan w:val="4"/>
          </w:tcPr>
          <w:p>
            <w:pPr>
              <w:spacing w:before="177" w:line="184" w:lineRule="auto"/>
              <w:ind w:firstLine="1643"/>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1202"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743"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949"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300"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4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743"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949"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40%</w:t>
            </w:r>
          </w:p>
        </w:tc>
        <w:tc>
          <w:tcPr>
            <w:tcW w:w="220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未采取措施对管道、设备进行日常维护、维修，但未造成泄漏的</w:t>
            </w:r>
          </w:p>
        </w:tc>
        <w:tc>
          <w:tcPr>
            <w:tcW w:w="109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4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43" w:type="dxa"/>
            <w:vMerge w:val="continue"/>
            <w:vAlign w:val="center"/>
          </w:tcPr>
          <w:p>
            <w:pPr>
              <w:jc w:val="center"/>
              <w:rPr>
                <w:rFonts w:ascii="仿宋" w:hAnsi="仿宋" w:eastAsia="仿宋" w:cs="仿宋"/>
                <w:color w:val="000000" w:themeColor="text1"/>
                <w:spacing w:val="-3"/>
                <w:sz w:val="18"/>
                <w:szCs w:val="18"/>
              </w:rPr>
            </w:pPr>
          </w:p>
        </w:tc>
        <w:tc>
          <w:tcPr>
            <w:tcW w:w="949" w:type="dxa"/>
            <w:vMerge w:val="continue"/>
            <w:vAlign w:val="center"/>
          </w:tcPr>
          <w:p>
            <w:pPr>
              <w:jc w:val="center"/>
              <w:rPr>
                <w:rFonts w:ascii="仿宋" w:hAnsi="仿宋" w:eastAsia="仿宋" w:cs="仿宋"/>
                <w:color w:val="000000" w:themeColor="text1"/>
                <w:spacing w:val="-6"/>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7%</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43" w:type="dxa"/>
            <w:vMerge w:val="continue"/>
            <w:vAlign w:val="center"/>
          </w:tcPr>
          <w:p>
            <w:pPr>
              <w:jc w:val="center"/>
              <w:rPr>
                <w:rFonts w:ascii="仿宋" w:hAnsi="仿宋" w:eastAsia="仿宋" w:cs="仿宋"/>
                <w:color w:val="000000" w:themeColor="text1"/>
                <w:spacing w:val="-3"/>
                <w:sz w:val="18"/>
                <w:szCs w:val="18"/>
              </w:rPr>
            </w:pPr>
          </w:p>
        </w:tc>
        <w:tc>
          <w:tcPr>
            <w:tcW w:w="949" w:type="dxa"/>
            <w:vMerge w:val="continue"/>
            <w:vAlign w:val="center"/>
          </w:tcPr>
          <w:p>
            <w:pPr>
              <w:jc w:val="center"/>
              <w:rPr>
                <w:rFonts w:ascii="仿宋" w:hAnsi="仿宋" w:eastAsia="仿宋" w:cs="仿宋"/>
                <w:color w:val="000000" w:themeColor="text1"/>
                <w:spacing w:val="-6"/>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4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4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未采取措施对管道、设备进行日常维护、维修，造成泄漏但及时收集处理的</w:t>
            </w:r>
          </w:p>
        </w:tc>
        <w:tc>
          <w:tcPr>
            <w:tcW w:w="109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4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15%</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17%</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40"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20%</w:t>
            </w:r>
          </w:p>
        </w:tc>
        <w:tc>
          <w:tcPr>
            <w:tcW w:w="545"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未采取措施对管道、设备进行日常维护、维修，造成泄漏且未及时收集处理的</w:t>
            </w:r>
          </w:p>
        </w:tc>
        <w:tc>
          <w:tcPr>
            <w:tcW w:w="109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4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4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54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7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一年内违法次数</w:t>
            </w:r>
          </w:p>
        </w:tc>
        <w:tc>
          <w:tcPr>
            <w:tcW w:w="9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sz w:val="18"/>
                <w:szCs w:val="18"/>
              </w:rPr>
              <w:t>5%</w:t>
            </w:r>
          </w:p>
        </w:tc>
        <w:tc>
          <w:tcPr>
            <w:tcW w:w="545"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54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15%</w:t>
            </w:r>
          </w:p>
        </w:tc>
        <w:tc>
          <w:tcPr>
            <w:tcW w:w="54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545"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7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9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54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54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10%</w:t>
            </w:r>
          </w:p>
        </w:tc>
        <w:tc>
          <w:tcPr>
            <w:tcW w:w="545"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743" w:type="dxa"/>
            <w:vMerge w:val="restart"/>
            <w:tcBorders>
              <w:bottom w:val="nil"/>
            </w:tcBorders>
            <w:vAlign w:val="center"/>
          </w:tcPr>
          <w:p>
            <w:pPr>
              <w:ind w:right="160"/>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ind w:right="16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w:t>
            </w:r>
            <w:r>
              <w:rPr>
                <w:rFonts w:hint="eastAsia" w:ascii="仿宋" w:hAnsi="仿宋" w:eastAsia="仿宋" w:cs="仿宋"/>
                <w:color w:val="000000" w:themeColor="text1"/>
                <w:spacing w:val="-4"/>
                <w:sz w:val="18"/>
                <w:szCs w:val="18"/>
              </w:rPr>
              <w:t>检查</w:t>
            </w:r>
          </w:p>
        </w:tc>
        <w:tc>
          <w:tcPr>
            <w:tcW w:w="9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54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10%</w:t>
            </w:r>
          </w:p>
        </w:tc>
        <w:tc>
          <w:tcPr>
            <w:tcW w:w="54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w:t>
            </w:r>
            <w:r>
              <w:rPr>
                <w:rFonts w:hint="eastAsia" w:ascii="仿宋" w:hAnsi="仿宋" w:eastAsia="仿宋" w:cs="仿宋"/>
                <w:color w:val="000000" w:themeColor="text1"/>
                <w:spacing w:val="-1"/>
                <w:sz w:val="18"/>
                <w:szCs w:val="18"/>
              </w:rPr>
              <w:t>响或生态破坏程度</w:t>
            </w:r>
          </w:p>
        </w:tc>
        <w:tc>
          <w:tcPr>
            <w:tcW w:w="17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影响或生态破</w:t>
            </w:r>
            <w:r>
              <w:rPr>
                <w:rFonts w:hint="eastAsia" w:ascii="仿宋" w:hAnsi="仿宋" w:eastAsia="仿宋" w:cs="仿宋"/>
                <w:color w:val="000000" w:themeColor="text1"/>
                <w:sz w:val="18"/>
                <w:szCs w:val="18"/>
              </w:rPr>
              <w:t>坏</w:t>
            </w:r>
          </w:p>
        </w:tc>
        <w:tc>
          <w:tcPr>
            <w:tcW w:w="9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300"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40"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43" w:type="dxa"/>
            <w:vMerge w:val="continue"/>
            <w:vAlign w:val="center"/>
          </w:tcPr>
          <w:p>
            <w:pPr>
              <w:jc w:val="center"/>
              <w:rPr>
                <w:rFonts w:ascii="仿宋" w:hAnsi="仿宋" w:eastAsia="仿宋" w:cs="仿宋"/>
                <w:color w:val="000000" w:themeColor="text1"/>
                <w:spacing w:val="-3"/>
                <w:sz w:val="18"/>
                <w:szCs w:val="18"/>
              </w:rPr>
            </w:pPr>
          </w:p>
        </w:tc>
        <w:tc>
          <w:tcPr>
            <w:tcW w:w="949" w:type="dxa"/>
            <w:vMerge w:val="continue"/>
            <w:vAlign w:val="center"/>
          </w:tcPr>
          <w:p>
            <w:pPr>
              <w:jc w:val="center"/>
              <w:rPr>
                <w:rFonts w:ascii="仿宋" w:hAnsi="仿宋" w:eastAsia="仿宋" w:cs="仿宋"/>
                <w:color w:val="000000" w:themeColor="text1"/>
                <w:spacing w:val="-7"/>
                <w:sz w:val="18"/>
                <w:szCs w:val="18"/>
              </w:rPr>
            </w:pPr>
          </w:p>
        </w:tc>
        <w:tc>
          <w:tcPr>
            <w:tcW w:w="3300"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4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43" w:type="dxa"/>
            <w:vMerge w:val="continue"/>
            <w:vAlign w:val="center"/>
          </w:tcPr>
          <w:p>
            <w:pPr>
              <w:jc w:val="center"/>
              <w:rPr>
                <w:rFonts w:ascii="仿宋" w:hAnsi="仿宋" w:eastAsia="仿宋" w:cs="仿宋"/>
                <w:color w:val="000000" w:themeColor="text1"/>
                <w:spacing w:val="-3"/>
                <w:sz w:val="18"/>
                <w:szCs w:val="18"/>
              </w:rPr>
            </w:pPr>
          </w:p>
        </w:tc>
        <w:tc>
          <w:tcPr>
            <w:tcW w:w="949" w:type="dxa"/>
            <w:vMerge w:val="continue"/>
            <w:vAlign w:val="center"/>
          </w:tcPr>
          <w:p>
            <w:pPr>
              <w:jc w:val="center"/>
              <w:rPr>
                <w:rFonts w:ascii="仿宋" w:hAnsi="仿宋" w:eastAsia="仿宋" w:cs="仿宋"/>
                <w:color w:val="000000" w:themeColor="text1"/>
                <w:spacing w:val="-7"/>
                <w:sz w:val="18"/>
                <w:szCs w:val="18"/>
              </w:rPr>
            </w:pPr>
          </w:p>
        </w:tc>
        <w:tc>
          <w:tcPr>
            <w:tcW w:w="3300"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40" w:type="dxa"/>
            <w:tcBorders>
              <w:top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4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bottom w:val="nil"/>
            </w:tcBorders>
          </w:tcPr>
          <w:p>
            <w:pPr>
              <w:rPr>
                <w:rFonts w:ascii="仿宋" w:hAnsi="仿宋" w:eastAsia="仿宋" w:cs="仿宋"/>
                <w:color w:val="000000" w:themeColor="text1"/>
                <w:sz w:val="18"/>
                <w:szCs w:val="18"/>
              </w:rPr>
            </w:pPr>
          </w:p>
        </w:tc>
        <w:tc>
          <w:tcPr>
            <w:tcW w:w="1743" w:type="dxa"/>
            <w:vMerge w:val="continue"/>
            <w:tcBorders>
              <w:top w:val="nil"/>
              <w:bottom w:val="nil"/>
            </w:tcBorders>
          </w:tcPr>
          <w:p>
            <w:pPr>
              <w:rPr>
                <w:rFonts w:ascii="仿宋" w:hAnsi="仿宋" w:eastAsia="仿宋" w:cs="仿宋"/>
                <w:color w:val="000000" w:themeColor="text1"/>
                <w:sz w:val="18"/>
                <w:szCs w:val="18"/>
              </w:rPr>
            </w:pPr>
          </w:p>
        </w:tc>
        <w:tc>
          <w:tcPr>
            <w:tcW w:w="949" w:type="dxa"/>
            <w:vMerge w:val="continue"/>
            <w:tcBorders>
              <w:top w:val="nil"/>
              <w:bottom w:val="nil"/>
            </w:tcBorders>
          </w:tcPr>
          <w:p>
            <w:pPr>
              <w:rPr>
                <w:rFonts w:ascii="仿宋" w:hAnsi="仿宋" w:eastAsia="仿宋" w:cs="仿宋"/>
                <w:color w:val="000000" w:themeColor="text1"/>
                <w:sz w:val="18"/>
                <w:szCs w:val="18"/>
              </w:rPr>
            </w:pPr>
          </w:p>
        </w:tc>
        <w:tc>
          <w:tcPr>
            <w:tcW w:w="3300"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40" w:type="dxa"/>
            <w:tcBorders>
              <w:bottom w:val="single" w:color="auto" w:sz="4" w:space="0"/>
              <w:right w:val="single" w:color="auto" w:sz="4" w:space="0"/>
            </w:tcBorders>
            <w:vAlign w:val="center"/>
          </w:tcPr>
          <w:p>
            <w:pPr>
              <w:pStyle w:val="16"/>
              <w:spacing w:before="40"/>
              <w:ind w:left="131" w:right="117"/>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Pr>
          <w:p>
            <w:pPr>
              <w:rPr>
                <w:rFonts w:ascii="仿宋" w:hAnsi="仿宋" w:eastAsia="仿宋" w:cs="仿宋"/>
                <w:color w:val="000000" w:themeColor="text1"/>
                <w:sz w:val="18"/>
                <w:szCs w:val="18"/>
              </w:rPr>
            </w:pPr>
          </w:p>
        </w:tc>
        <w:tc>
          <w:tcPr>
            <w:tcW w:w="1743" w:type="dxa"/>
            <w:vMerge w:val="continue"/>
          </w:tcPr>
          <w:p>
            <w:pPr>
              <w:rPr>
                <w:rFonts w:ascii="仿宋" w:hAnsi="仿宋" w:eastAsia="仿宋" w:cs="仿宋"/>
                <w:color w:val="000000" w:themeColor="text1"/>
                <w:sz w:val="18"/>
                <w:szCs w:val="18"/>
              </w:rPr>
            </w:pPr>
          </w:p>
        </w:tc>
        <w:tc>
          <w:tcPr>
            <w:tcW w:w="949" w:type="dxa"/>
            <w:vMerge w:val="continue"/>
          </w:tcPr>
          <w:p>
            <w:pPr>
              <w:rPr>
                <w:rFonts w:ascii="仿宋" w:hAnsi="仿宋" w:eastAsia="仿宋" w:cs="仿宋"/>
                <w:color w:val="000000" w:themeColor="text1"/>
                <w:sz w:val="18"/>
                <w:szCs w:val="18"/>
              </w:rPr>
            </w:pPr>
          </w:p>
        </w:tc>
        <w:tc>
          <w:tcPr>
            <w:tcW w:w="3300"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4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2" w:hRule="atLeast"/>
        </w:trPr>
        <w:tc>
          <w:tcPr>
            <w:tcW w:w="857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857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第四十七条石油、化工以及其他生产和使用有机溶剂的企业，应当采取措施对管道、设备进行日常维护、维修，减少物料泄漏，对泄漏的物料应当及时收集处理。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储油储气库、加油加气站、原油成品油码头、原油成品油运输船舶和油罐车、气罐车等，应当按照国家有关规定安装油气回收装置并保持正常使用。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（三）石油、化工以及其他生产和使用有机溶剂的企业，未采取措施对管道、设备进行日常维护、维修，减少物料泄漏或者对泄漏的物料未及时收集处理的；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rPr>
          <w:rFonts w:ascii="仿宋" w:hAnsi="仿宋" w:eastAsia="仿宋" w:cs="仿宋"/>
          <w:b/>
          <w:bCs/>
          <w:color w:val="000000" w:themeColor="text1"/>
          <w:kern w:val="0"/>
          <w:sz w:val="28"/>
          <w:szCs w:val="28"/>
        </w:rPr>
      </w:pPr>
    </w:p>
    <w:p>
      <w:pPr>
        <w:spacing w:before="73"/>
        <w:ind w:right="108"/>
        <w:jc w:val="center"/>
        <w:outlineLvl w:val="1"/>
        <w:rPr>
          <w:rFonts w:ascii="仿宋_GB2312" w:hAnsi="仿宋_GB2312" w:eastAsia="仿宋_GB2312" w:cs="仿宋_GB2312"/>
          <w:color w:val="000000" w:themeColor="text1"/>
          <w:sz w:val="24"/>
        </w:rPr>
      </w:pPr>
      <w:bookmarkStart w:id="130" w:name="_Toc31404"/>
      <w:bookmarkStart w:id="131" w:name="_Toc11865"/>
      <w:r>
        <w:rPr>
          <w:rFonts w:hint="eastAsia" w:ascii="仿宋" w:hAnsi="仿宋" w:eastAsia="仿宋" w:cs="仿宋"/>
          <w:b/>
          <w:bCs/>
          <w:color w:val="000000" w:themeColor="text1"/>
          <w:kern w:val="0"/>
          <w:sz w:val="24"/>
        </w:rPr>
        <w:t>表 24储油储气库、加油加气站和油罐车、气罐车等，未按照国家有关规定安装并正常使用油气回收装置的罚款幅度裁定</w:t>
      </w:r>
      <w:bookmarkEnd w:id="130"/>
      <w:bookmarkEnd w:id="131"/>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3"/>
        <w:gridCol w:w="1351"/>
        <w:gridCol w:w="570"/>
        <w:gridCol w:w="2295"/>
        <w:gridCol w:w="1729"/>
        <w:gridCol w:w="735"/>
        <w:gridCol w:w="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3114"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65" w:type="dxa"/>
            <w:gridSpan w:val="4"/>
          </w:tcPr>
          <w:p>
            <w:pPr>
              <w:spacing w:before="177" w:line="184" w:lineRule="auto"/>
              <w:ind w:firstLine="169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7" w:hRule="atLeast"/>
        </w:trPr>
        <w:tc>
          <w:tcPr>
            <w:tcW w:w="1193" w:type="dxa"/>
          </w:tcPr>
          <w:p>
            <w:pPr>
              <w:spacing w:before="196"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5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57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02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0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19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351"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5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295" w:type="dxa"/>
            <w:vMerge w:val="restart"/>
            <w:tcBorders>
              <w:right w:val="single" w:color="auto" w:sz="4" w:space="0"/>
            </w:tcBorders>
            <w:vAlign w:val="center"/>
          </w:tcPr>
          <w:p>
            <w:pPr>
              <w:spacing w:before="40" w:line="226" w:lineRule="auto"/>
              <w:ind w:left="113" w:right="210" w:hanging="3"/>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储油储气库、加油加气站和</w:t>
            </w:r>
            <w:r>
              <w:rPr>
                <w:rFonts w:ascii="仿宋" w:hAnsi="仿宋" w:eastAsia="仿宋" w:cs="仿宋"/>
                <w:color w:val="000000" w:themeColor="text1"/>
                <w:spacing w:val="-6"/>
                <w:sz w:val="18"/>
                <w:szCs w:val="18"/>
              </w:rPr>
              <w:t>油罐车、气罐车等，已安装</w:t>
            </w:r>
            <w:r>
              <w:rPr>
                <w:rFonts w:ascii="仿宋" w:hAnsi="仿宋" w:eastAsia="仿宋" w:cs="仿宋"/>
                <w:color w:val="000000" w:themeColor="text1"/>
                <w:spacing w:val="-1"/>
                <w:sz w:val="18"/>
                <w:szCs w:val="18"/>
              </w:rPr>
              <w:t>但未按照国家有关规定使用</w:t>
            </w:r>
            <w:r>
              <w:rPr>
                <w:rFonts w:ascii="仿宋" w:hAnsi="仿宋" w:eastAsia="仿宋" w:cs="仿宋"/>
                <w:color w:val="000000" w:themeColor="text1"/>
                <w:spacing w:val="-2"/>
                <w:sz w:val="18"/>
                <w:szCs w:val="18"/>
              </w:rPr>
              <w:t>油气回收装置的</w:t>
            </w:r>
          </w:p>
        </w:tc>
        <w:tc>
          <w:tcPr>
            <w:tcW w:w="1729" w:type="dxa"/>
            <w:tcBorders>
              <w:left w:val="single" w:color="auto" w:sz="4" w:space="0"/>
              <w:bottom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建成区外</w:t>
            </w:r>
          </w:p>
        </w:tc>
        <w:tc>
          <w:tcPr>
            <w:tcW w:w="735"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0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570" w:type="dxa"/>
            <w:vMerge w:val="continue"/>
            <w:vAlign w:val="center"/>
          </w:tcPr>
          <w:p>
            <w:pPr>
              <w:jc w:val="center"/>
              <w:rPr>
                <w:rFonts w:ascii="仿宋" w:hAnsi="仿宋" w:eastAsia="仿宋" w:cs="仿宋"/>
                <w:color w:val="000000" w:themeColor="text1"/>
                <w:spacing w:val="-6"/>
                <w:sz w:val="18"/>
                <w:szCs w:val="18"/>
              </w:rPr>
            </w:pPr>
          </w:p>
        </w:tc>
        <w:tc>
          <w:tcPr>
            <w:tcW w:w="2295" w:type="dxa"/>
            <w:vMerge w:val="continue"/>
            <w:tcBorders>
              <w:right w:val="single" w:color="auto" w:sz="4" w:space="0"/>
            </w:tcBorders>
            <w:vAlign w:val="center"/>
          </w:tcPr>
          <w:p>
            <w:pPr>
              <w:spacing w:before="40" w:line="226" w:lineRule="auto"/>
              <w:ind w:left="113" w:right="210" w:hanging="3"/>
              <w:rPr>
                <w:rFonts w:ascii="仿宋" w:hAnsi="仿宋" w:eastAsia="仿宋" w:cs="仿宋"/>
                <w:color w:val="000000" w:themeColor="text1"/>
                <w:spacing w:val="-1"/>
                <w:sz w:val="18"/>
                <w:szCs w:val="18"/>
              </w:rPr>
            </w:pPr>
          </w:p>
        </w:tc>
        <w:tc>
          <w:tcPr>
            <w:tcW w:w="1729" w:type="dxa"/>
            <w:tcBorders>
              <w:top w:val="single" w:color="auto" w:sz="4" w:space="0"/>
              <w:left w:val="single" w:color="auto" w:sz="4" w:space="0"/>
              <w:bottom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建成区内（除人口集中区域外）</w:t>
            </w:r>
          </w:p>
        </w:tc>
        <w:tc>
          <w:tcPr>
            <w:tcW w:w="73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570" w:type="dxa"/>
            <w:vMerge w:val="continue"/>
            <w:vAlign w:val="center"/>
          </w:tcPr>
          <w:p>
            <w:pPr>
              <w:jc w:val="center"/>
              <w:rPr>
                <w:rFonts w:ascii="仿宋" w:hAnsi="仿宋" w:eastAsia="仿宋" w:cs="仿宋"/>
                <w:color w:val="000000" w:themeColor="text1"/>
                <w:spacing w:val="-6"/>
                <w:sz w:val="18"/>
                <w:szCs w:val="18"/>
              </w:rPr>
            </w:pPr>
          </w:p>
        </w:tc>
        <w:tc>
          <w:tcPr>
            <w:tcW w:w="2295" w:type="dxa"/>
            <w:vMerge w:val="continue"/>
            <w:tcBorders>
              <w:right w:val="single" w:color="auto" w:sz="4" w:space="0"/>
            </w:tcBorders>
            <w:vAlign w:val="center"/>
          </w:tcPr>
          <w:p>
            <w:pPr>
              <w:spacing w:before="40" w:line="226" w:lineRule="auto"/>
              <w:ind w:left="113" w:right="210" w:hanging="3"/>
              <w:rPr>
                <w:rFonts w:ascii="仿宋" w:hAnsi="仿宋" w:eastAsia="仿宋" w:cs="仿宋"/>
                <w:color w:val="000000" w:themeColor="text1"/>
                <w:spacing w:val="-1"/>
                <w:sz w:val="18"/>
                <w:szCs w:val="18"/>
              </w:rPr>
            </w:pPr>
          </w:p>
        </w:tc>
        <w:tc>
          <w:tcPr>
            <w:tcW w:w="1729" w:type="dxa"/>
            <w:tcBorders>
              <w:top w:val="single" w:color="auto" w:sz="4" w:space="0"/>
              <w:left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人口集中区域</w:t>
            </w:r>
          </w:p>
        </w:tc>
        <w:tc>
          <w:tcPr>
            <w:tcW w:w="735"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0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193" w:type="dxa"/>
            <w:vMerge w:val="continue"/>
            <w:tcBorders>
              <w:top w:val="nil"/>
            </w:tcBorders>
          </w:tcPr>
          <w:p>
            <w:pPr>
              <w:rPr>
                <w:rFonts w:ascii="Malgun Gothic"/>
                <w:color w:val="000000" w:themeColor="text1"/>
                <w:sz w:val="18"/>
                <w:szCs w:val="18"/>
              </w:rPr>
            </w:pPr>
          </w:p>
        </w:tc>
        <w:tc>
          <w:tcPr>
            <w:tcW w:w="1351" w:type="dxa"/>
            <w:vMerge w:val="continue"/>
            <w:tcBorders>
              <w:top w:val="nil"/>
            </w:tcBorders>
          </w:tcPr>
          <w:p>
            <w:pPr>
              <w:rPr>
                <w:rFonts w:ascii="Malgun Gothic"/>
                <w:color w:val="000000" w:themeColor="text1"/>
                <w:sz w:val="18"/>
                <w:szCs w:val="18"/>
              </w:rPr>
            </w:pPr>
          </w:p>
        </w:tc>
        <w:tc>
          <w:tcPr>
            <w:tcW w:w="570" w:type="dxa"/>
            <w:vMerge w:val="continue"/>
            <w:tcBorders>
              <w:top w:val="nil"/>
            </w:tcBorders>
            <w:vAlign w:val="center"/>
          </w:tcPr>
          <w:p>
            <w:pPr>
              <w:jc w:val="center"/>
              <w:rPr>
                <w:rFonts w:ascii="Malgun Gothic"/>
                <w:color w:val="000000" w:themeColor="text1"/>
                <w:sz w:val="18"/>
                <w:szCs w:val="18"/>
              </w:rPr>
            </w:pPr>
          </w:p>
        </w:tc>
        <w:tc>
          <w:tcPr>
            <w:tcW w:w="2295" w:type="dxa"/>
            <w:vMerge w:val="restart"/>
            <w:tcBorders>
              <w:right w:val="single" w:color="auto" w:sz="4" w:space="0"/>
            </w:tcBorders>
            <w:vAlign w:val="center"/>
          </w:tcPr>
          <w:p>
            <w:pPr>
              <w:spacing w:before="43" w:line="226" w:lineRule="auto"/>
              <w:ind w:left="114" w:right="210" w:hanging="4"/>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储油储气库、加油加气站和油罐车、气罐车等，未按照国家有关规定安装油气回收</w:t>
            </w:r>
            <w:r>
              <w:rPr>
                <w:rFonts w:ascii="仿宋" w:hAnsi="仿宋" w:eastAsia="仿宋" w:cs="仿宋"/>
                <w:color w:val="000000" w:themeColor="text1"/>
                <w:spacing w:val="-4"/>
                <w:sz w:val="18"/>
                <w:szCs w:val="18"/>
              </w:rPr>
              <w:t>装置的</w:t>
            </w:r>
          </w:p>
        </w:tc>
        <w:tc>
          <w:tcPr>
            <w:tcW w:w="1729" w:type="dxa"/>
            <w:tcBorders>
              <w:left w:val="single" w:color="auto" w:sz="4" w:space="0"/>
              <w:bottom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建成区外</w:t>
            </w:r>
          </w:p>
        </w:tc>
        <w:tc>
          <w:tcPr>
            <w:tcW w:w="735"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60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193" w:type="dxa"/>
            <w:vMerge w:val="continue"/>
            <w:tcBorders>
              <w:top w:val="nil"/>
            </w:tcBorders>
          </w:tcPr>
          <w:p>
            <w:pPr>
              <w:rPr>
                <w:rFonts w:ascii="Malgun Gothic"/>
                <w:color w:val="000000" w:themeColor="text1"/>
                <w:sz w:val="18"/>
                <w:szCs w:val="18"/>
              </w:rPr>
            </w:pPr>
          </w:p>
        </w:tc>
        <w:tc>
          <w:tcPr>
            <w:tcW w:w="1351" w:type="dxa"/>
            <w:vMerge w:val="continue"/>
            <w:tcBorders>
              <w:top w:val="nil"/>
            </w:tcBorders>
          </w:tcPr>
          <w:p>
            <w:pPr>
              <w:rPr>
                <w:rFonts w:ascii="Malgun Gothic"/>
                <w:color w:val="000000" w:themeColor="text1"/>
                <w:sz w:val="18"/>
                <w:szCs w:val="18"/>
              </w:rPr>
            </w:pPr>
          </w:p>
        </w:tc>
        <w:tc>
          <w:tcPr>
            <w:tcW w:w="570" w:type="dxa"/>
            <w:vMerge w:val="continue"/>
            <w:tcBorders>
              <w:top w:val="nil"/>
            </w:tcBorders>
            <w:vAlign w:val="center"/>
          </w:tcPr>
          <w:p>
            <w:pPr>
              <w:jc w:val="center"/>
              <w:rPr>
                <w:rFonts w:ascii="Malgun Gothic"/>
                <w:color w:val="000000" w:themeColor="text1"/>
                <w:sz w:val="18"/>
                <w:szCs w:val="18"/>
              </w:rPr>
            </w:pPr>
          </w:p>
        </w:tc>
        <w:tc>
          <w:tcPr>
            <w:tcW w:w="2295" w:type="dxa"/>
            <w:vMerge w:val="continue"/>
            <w:tcBorders>
              <w:right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p>
        </w:tc>
        <w:tc>
          <w:tcPr>
            <w:tcW w:w="1729" w:type="dxa"/>
            <w:tcBorders>
              <w:top w:val="single" w:color="auto" w:sz="4" w:space="0"/>
              <w:left w:val="single" w:color="auto" w:sz="4" w:space="0"/>
              <w:bottom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建成区内（除人口集中区域外）</w:t>
            </w:r>
          </w:p>
        </w:tc>
        <w:tc>
          <w:tcPr>
            <w:tcW w:w="73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193" w:type="dxa"/>
            <w:vMerge w:val="continue"/>
          </w:tcPr>
          <w:p>
            <w:pPr>
              <w:rPr>
                <w:rFonts w:ascii="Malgun Gothic"/>
                <w:color w:val="000000" w:themeColor="text1"/>
                <w:sz w:val="18"/>
                <w:szCs w:val="18"/>
              </w:rPr>
            </w:pPr>
          </w:p>
        </w:tc>
        <w:tc>
          <w:tcPr>
            <w:tcW w:w="1351" w:type="dxa"/>
            <w:vMerge w:val="continue"/>
          </w:tcPr>
          <w:p>
            <w:pPr>
              <w:rPr>
                <w:rFonts w:ascii="Malgun Gothic"/>
                <w:color w:val="000000" w:themeColor="text1"/>
                <w:sz w:val="18"/>
                <w:szCs w:val="18"/>
              </w:rPr>
            </w:pPr>
          </w:p>
        </w:tc>
        <w:tc>
          <w:tcPr>
            <w:tcW w:w="570" w:type="dxa"/>
            <w:vMerge w:val="continue"/>
            <w:vAlign w:val="center"/>
          </w:tcPr>
          <w:p>
            <w:pPr>
              <w:jc w:val="center"/>
              <w:rPr>
                <w:rFonts w:ascii="Malgun Gothic"/>
                <w:color w:val="000000" w:themeColor="text1"/>
                <w:sz w:val="18"/>
                <w:szCs w:val="18"/>
              </w:rPr>
            </w:pPr>
          </w:p>
        </w:tc>
        <w:tc>
          <w:tcPr>
            <w:tcW w:w="2295" w:type="dxa"/>
            <w:vMerge w:val="continue"/>
            <w:tcBorders>
              <w:right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p>
        </w:tc>
        <w:tc>
          <w:tcPr>
            <w:tcW w:w="1729" w:type="dxa"/>
            <w:tcBorders>
              <w:top w:val="single" w:color="auto" w:sz="4" w:space="0"/>
              <w:left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人口集中区域</w:t>
            </w:r>
          </w:p>
        </w:tc>
        <w:tc>
          <w:tcPr>
            <w:tcW w:w="735"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0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restart"/>
            <w:tcBorders>
              <w:bottom w:val="single" w:color="000000" w:sz="2" w:space="0"/>
            </w:tcBorders>
            <w:vAlign w:val="center"/>
          </w:tcPr>
          <w:p>
            <w:pPr>
              <w:spacing w:before="204"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51"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570"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024" w:type="dxa"/>
            <w:gridSpan w:val="2"/>
            <w:vAlign w:val="center"/>
          </w:tcPr>
          <w:p>
            <w:pPr>
              <w:spacing w:before="43"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0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5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tcBorders>
              <w:bottom w:val="single" w:color="auto" w:sz="4" w:space="0"/>
            </w:tcBorders>
            <w:vAlign w:val="center"/>
          </w:tcPr>
          <w:p>
            <w:pPr>
              <w:spacing w:before="43" w:line="184" w:lineRule="auto"/>
              <w:ind w:firstLine="121"/>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再次实施违法行为的</w:t>
            </w:r>
          </w:p>
        </w:tc>
        <w:tc>
          <w:tcPr>
            <w:tcW w:w="735"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06" w:type="dxa"/>
            <w:tcBorders>
              <w:left w:val="single" w:color="auto" w:sz="4" w:space="0"/>
              <w:bottom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5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tcBorders>
              <w:top w:val="single" w:color="auto" w:sz="4" w:space="0"/>
              <w:bottom w:val="single" w:color="auto" w:sz="4" w:space="0"/>
            </w:tcBorders>
            <w:vAlign w:val="center"/>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3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5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tcBorders>
              <w:top w:val="single" w:color="auto" w:sz="4" w:space="0"/>
              <w:bottom w:val="single" w:color="auto" w:sz="4" w:space="0"/>
            </w:tcBorders>
            <w:vAlign w:val="center"/>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3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restart"/>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51" w:type="dxa"/>
            <w:vMerge w:val="restart"/>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57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024" w:type="dxa"/>
            <w:gridSpan w:val="2"/>
            <w:tcBorders>
              <w:top w:val="single" w:color="auto" w:sz="4" w:space="0"/>
            </w:tcBorders>
            <w:vAlign w:val="center"/>
          </w:tcPr>
          <w:p>
            <w:pPr>
              <w:spacing w:before="37"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35" w:type="dxa"/>
            <w:tcBorders>
              <w:top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06" w:type="dxa"/>
            <w:tcBorders>
              <w:top w:val="single" w:color="auto" w:sz="4" w:space="0"/>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1351"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vAlign w:val="center"/>
          </w:tcPr>
          <w:p>
            <w:pPr>
              <w:spacing w:before="37"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0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1351"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vAlign w:val="center"/>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0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restart"/>
            <w:tcBorders>
              <w:top w:val="single" w:color="000000" w:sz="2" w:space="0"/>
              <w:bottom w:val="single" w:color="000000" w:sz="2" w:space="0"/>
            </w:tcBorders>
          </w:tcPr>
          <w:p>
            <w:pPr>
              <w:spacing w:before="45" w:line="212" w:lineRule="auto"/>
              <w:ind w:left="137" w:right="122" w:firstLine="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5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57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024" w:type="dxa"/>
            <w:gridSpan w:val="2"/>
            <w:vAlign w:val="center"/>
          </w:tcPr>
          <w:p>
            <w:pPr>
              <w:spacing w:before="40"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0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1351"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vAlign w:val="center"/>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60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35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是否造成社会影</w:t>
            </w:r>
            <w:r>
              <w:rPr>
                <w:rFonts w:ascii="仿宋" w:hAnsi="仿宋" w:eastAsia="仿宋" w:cs="仿宋"/>
                <w:color w:val="000000" w:themeColor="text1"/>
                <w:spacing w:val="-3"/>
                <w:sz w:val="18"/>
                <w:szCs w:val="18"/>
              </w:rPr>
              <w:t>响或生态破坏</w:t>
            </w:r>
          </w:p>
        </w:tc>
        <w:tc>
          <w:tcPr>
            <w:tcW w:w="570" w:type="dxa"/>
            <w:vMerge w:val="restart"/>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024"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35"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0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57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024"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735"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570" w:type="dxa"/>
            <w:vMerge w:val="continue"/>
            <w:vAlign w:val="center"/>
          </w:tcPr>
          <w:p>
            <w:pPr>
              <w:jc w:val="center"/>
              <w:rPr>
                <w:rFonts w:ascii="仿宋" w:hAnsi="仿宋" w:eastAsia="仿宋" w:cs="仿宋"/>
                <w:color w:val="000000" w:themeColor="text1"/>
                <w:spacing w:val="-7"/>
                <w:sz w:val="18"/>
                <w:szCs w:val="18"/>
              </w:rPr>
            </w:pPr>
          </w:p>
        </w:tc>
        <w:tc>
          <w:tcPr>
            <w:tcW w:w="4024"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735"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570" w:type="dxa"/>
            <w:vMerge w:val="continue"/>
            <w:vAlign w:val="center"/>
          </w:tcPr>
          <w:p>
            <w:pPr>
              <w:jc w:val="center"/>
              <w:rPr>
                <w:rFonts w:ascii="仿宋" w:hAnsi="仿宋" w:eastAsia="仿宋" w:cs="仿宋"/>
                <w:color w:val="000000" w:themeColor="text1"/>
                <w:spacing w:val="-7"/>
                <w:sz w:val="18"/>
                <w:szCs w:val="18"/>
              </w:rPr>
            </w:pPr>
          </w:p>
        </w:tc>
        <w:tc>
          <w:tcPr>
            <w:tcW w:w="4024"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735"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0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9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5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35" w:type="dxa"/>
            <w:tcBorders>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0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2" w:hRule="atLeast"/>
        </w:trPr>
        <w:tc>
          <w:tcPr>
            <w:tcW w:w="8479" w:type="dxa"/>
            <w:gridSpan w:val="7"/>
            <w:tcBorders>
              <w:top w:val="single" w:color="000000" w:sz="2" w:space="0"/>
              <w:bottom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3" w:hRule="atLeast"/>
        </w:trPr>
        <w:tc>
          <w:tcPr>
            <w:tcW w:w="8479" w:type="dxa"/>
            <w:gridSpan w:val="7"/>
            <w:tcBorders>
              <w:top w:val="single" w:color="000000" w:sz="2" w:space="0"/>
              <w:bottom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1.《中华人民共和国大气污染防治法》第四十七条石油、化工以及其他生产和使用有机溶剂的企业，应当采取措施对管道、设备进行日常维护、维修，减少物料泄漏，对泄漏的物料应当及时收集处理。</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储油储气库、加油加气站、原油成品油码头、原油成品油运输船舶和油罐车、气罐车等，应当按照国家有关规定安装油气回收装置并保持正常使用。</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储油储气库、加油加气站和油罐车、气罐车等，未按照国家有关规定安装并正常使用油气回收装置的；</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32" w:name="_Toc29451"/>
      <w:bookmarkStart w:id="133" w:name="_Toc1126"/>
      <w:r>
        <w:rPr>
          <w:rFonts w:hint="eastAsia" w:ascii="仿宋" w:hAnsi="仿宋" w:eastAsia="仿宋" w:cs="仿宋"/>
          <w:b/>
          <w:bCs/>
          <w:color w:val="000000" w:themeColor="text1"/>
          <w:kern w:val="0"/>
          <w:sz w:val="24"/>
        </w:rPr>
        <w:t>表 25钢铁、建材、有色金属、石油、化工、制药、矿产开采等企业，未采取集中收集处理、密闭、围挡、遮盖、清扫、洒水等措施，控制、减少粉尘和气态污染物排放的罚款幅度裁定</w:t>
      </w:r>
      <w:bookmarkEnd w:id="132"/>
      <w:bookmarkEnd w:id="133"/>
    </w:p>
    <w:tbl>
      <w:tblPr>
        <w:tblStyle w:val="15"/>
        <w:tblW w:w="8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930"/>
        <w:gridCol w:w="810"/>
        <w:gridCol w:w="2165"/>
        <w:gridCol w:w="2245"/>
        <w:gridCol w:w="730"/>
        <w:gridCol w:w="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298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760"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46" w:type="dxa"/>
            <w:vAlign w:val="center"/>
          </w:tcPr>
          <w:p>
            <w:pPr>
              <w:spacing w:before="198" w:line="184" w:lineRule="auto"/>
              <w:ind w:firstLine="162" w:firstLineChars="100"/>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9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1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41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restart"/>
            <w:tcBorders>
              <w:bottom w:val="nil"/>
            </w:tcBorders>
            <w:vAlign w:val="center"/>
          </w:tcPr>
          <w:p>
            <w:pPr>
              <w:spacing w:before="78"/>
              <w:ind w:right="122"/>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93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81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165" w:type="dxa"/>
            <w:vMerge w:val="restart"/>
            <w:tcBorders>
              <w:right w:val="single" w:color="auto" w:sz="4" w:space="0"/>
            </w:tcBorders>
            <w:vAlign w:val="center"/>
          </w:tcPr>
          <w:p>
            <w:pPr>
              <w:spacing w:before="41" w:line="212" w:lineRule="auto"/>
              <w:ind w:left="122" w:right="210" w:hanging="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应密闭未密闭，未能有效控制、减少污染物排放的</w:t>
            </w:r>
          </w:p>
        </w:tc>
        <w:tc>
          <w:tcPr>
            <w:tcW w:w="2245" w:type="dxa"/>
            <w:tcBorders>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930"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81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165" w:type="dxa"/>
            <w:vMerge w:val="continue"/>
            <w:tcBorders>
              <w:right w:val="single" w:color="auto" w:sz="4" w:space="0"/>
            </w:tcBorders>
            <w:vAlign w:val="center"/>
          </w:tcPr>
          <w:p>
            <w:pPr>
              <w:spacing w:before="41" w:line="212"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未采取措施，但未造成污染后果的</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930"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81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165" w:type="dxa"/>
            <w:vMerge w:val="continue"/>
            <w:tcBorders>
              <w:right w:val="single" w:color="auto" w:sz="4" w:space="0"/>
            </w:tcBorders>
            <w:vAlign w:val="center"/>
          </w:tcPr>
          <w:p>
            <w:pPr>
              <w:spacing w:before="41" w:line="212"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未采取措施，同时导致污染后果的</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2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2165" w:type="dxa"/>
            <w:vMerge w:val="restart"/>
            <w:tcBorders>
              <w:right w:val="single" w:color="auto" w:sz="4" w:space="0"/>
            </w:tcBorders>
            <w:vAlign w:val="center"/>
          </w:tcPr>
          <w:p>
            <w:pPr>
              <w:spacing w:before="42" w:line="221" w:lineRule="auto"/>
              <w:ind w:left="122" w:right="210" w:hanging="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应采取集中收集处理未采取的，未能有效控制、减少污</w:t>
            </w:r>
            <w:r>
              <w:rPr>
                <w:rFonts w:ascii="仿宋" w:hAnsi="仿宋" w:eastAsia="仿宋" w:cs="仿宋"/>
                <w:color w:val="000000" w:themeColor="text1"/>
                <w:spacing w:val="-4"/>
                <w:sz w:val="18"/>
                <w:szCs w:val="18"/>
              </w:rPr>
              <w:t>染物排放的</w:t>
            </w:r>
          </w:p>
        </w:tc>
        <w:tc>
          <w:tcPr>
            <w:tcW w:w="2245" w:type="dxa"/>
            <w:tcBorders>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2165" w:type="dxa"/>
            <w:vMerge w:val="continue"/>
            <w:tcBorders>
              <w:right w:val="single" w:color="auto" w:sz="4" w:space="0"/>
            </w:tcBorders>
            <w:vAlign w:val="center"/>
          </w:tcPr>
          <w:p>
            <w:pPr>
              <w:spacing w:before="42" w:line="221"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未采取措施，但未造成污染后果的</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2165" w:type="dxa"/>
            <w:vMerge w:val="continue"/>
            <w:tcBorders>
              <w:right w:val="single" w:color="auto" w:sz="4" w:space="0"/>
            </w:tcBorders>
            <w:vAlign w:val="center"/>
          </w:tcPr>
          <w:p>
            <w:pPr>
              <w:spacing w:before="42" w:line="221"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未采取措施，同时导致污染后果的，</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2165" w:type="dxa"/>
            <w:vMerge w:val="restart"/>
            <w:tcBorders>
              <w:right w:val="single" w:color="auto" w:sz="4" w:space="0"/>
            </w:tcBorders>
            <w:vAlign w:val="center"/>
          </w:tcPr>
          <w:p>
            <w:pPr>
              <w:spacing w:before="43" w:line="221" w:lineRule="auto"/>
              <w:ind w:left="121"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应密闭未密闭且应采取集中收集处理未采取的，未能有效控制、减少污染物排放的</w:t>
            </w:r>
          </w:p>
        </w:tc>
        <w:tc>
          <w:tcPr>
            <w:tcW w:w="2245" w:type="dxa"/>
            <w:tcBorders>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2165" w:type="dxa"/>
            <w:vMerge w:val="continue"/>
            <w:tcBorders>
              <w:righ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未采取措施，但未造成污染后果的</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vAlign w:val="center"/>
          </w:tcPr>
          <w:p>
            <w:pPr>
              <w:jc w:val="center"/>
              <w:rPr>
                <w:rFonts w:ascii="Malgun Gothic"/>
                <w:color w:val="000000" w:themeColor="text1"/>
                <w:sz w:val="18"/>
                <w:szCs w:val="18"/>
              </w:rPr>
            </w:pPr>
          </w:p>
        </w:tc>
        <w:tc>
          <w:tcPr>
            <w:tcW w:w="930" w:type="dxa"/>
            <w:vMerge w:val="continue"/>
            <w:vAlign w:val="center"/>
          </w:tcPr>
          <w:p>
            <w:pPr>
              <w:jc w:val="center"/>
              <w:rPr>
                <w:rFonts w:ascii="Malgun Gothic"/>
                <w:color w:val="000000" w:themeColor="text1"/>
                <w:sz w:val="18"/>
                <w:szCs w:val="18"/>
              </w:rPr>
            </w:pPr>
          </w:p>
        </w:tc>
        <w:tc>
          <w:tcPr>
            <w:tcW w:w="810" w:type="dxa"/>
            <w:vMerge w:val="continue"/>
            <w:vAlign w:val="center"/>
          </w:tcPr>
          <w:p>
            <w:pPr>
              <w:jc w:val="center"/>
              <w:rPr>
                <w:rFonts w:ascii="Malgun Gothic"/>
                <w:color w:val="000000" w:themeColor="text1"/>
                <w:sz w:val="18"/>
                <w:szCs w:val="18"/>
              </w:rPr>
            </w:pPr>
          </w:p>
        </w:tc>
        <w:tc>
          <w:tcPr>
            <w:tcW w:w="2165" w:type="dxa"/>
            <w:vMerge w:val="continue"/>
            <w:tcBorders>
              <w:righ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未采取措施，同时导致污染后果的，</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2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9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一年内违法次数</w:t>
            </w:r>
          </w:p>
        </w:tc>
        <w:tc>
          <w:tcPr>
            <w:tcW w:w="81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410" w:type="dxa"/>
            <w:gridSpan w:val="2"/>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2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2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2"/>
            <w:vAlign w:val="center"/>
          </w:tcPr>
          <w:p>
            <w:pPr>
              <w:spacing w:before="44"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2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4410" w:type="dxa"/>
            <w:gridSpan w:val="2"/>
            <w:vAlign w:val="center"/>
          </w:tcPr>
          <w:p>
            <w:pPr>
              <w:spacing w:before="43"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2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93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81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410" w:type="dxa"/>
            <w:gridSpan w:val="2"/>
            <w:vAlign w:val="center"/>
          </w:tcPr>
          <w:p>
            <w:pPr>
              <w:spacing w:before="43"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2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2"/>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2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4410" w:type="dxa"/>
            <w:gridSpan w:val="2"/>
            <w:vAlign w:val="center"/>
          </w:tcPr>
          <w:p>
            <w:pPr>
              <w:spacing w:before="42"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2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restart"/>
            <w:tcBorders>
              <w:bottom w:val="single" w:color="000000" w:sz="2" w:space="0"/>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930"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810" w:type="dxa"/>
            <w:vMerge w:val="restart"/>
            <w:tcBorders>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10%</w:t>
            </w:r>
          </w:p>
        </w:tc>
        <w:tc>
          <w:tcPr>
            <w:tcW w:w="4410" w:type="dxa"/>
            <w:gridSpan w:val="2"/>
            <w:tcBorders>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配合检查的</w:t>
            </w:r>
          </w:p>
        </w:tc>
        <w:tc>
          <w:tcPr>
            <w:tcW w:w="730"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20"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93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810" w:type="dxa"/>
            <w:vMerge w:val="continue"/>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p>
        </w:tc>
        <w:tc>
          <w:tcPr>
            <w:tcW w:w="4410" w:type="dxa"/>
            <w:gridSpan w:val="2"/>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不配合检查的</w:t>
            </w:r>
          </w:p>
        </w:tc>
        <w:tc>
          <w:tcPr>
            <w:tcW w:w="730"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62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restart"/>
            <w:tcBorders>
              <w:top w:val="single" w:color="000000" w:sz="2" w:space="0"/>
              <w:bottom w:val="single" w:color="000000" w:sz="2" w:space="0"/>
            </w:tcBorders>
            <w:vAlign w:val="center"/>
          </w:tcPr>
          <w:p>
            <w:pPr>
              <w:spacing w:before="157"/>
              <w:ind w:left="129" w:right="122" w:firstLine="9"/>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930" w:type="dxa"/>
            <w:vMerge w:val="restart"/>
            <w:tcBorders>
              <w:top w:val="single" w:color="000000" w:sz="2" w:space="0"/>
              <w:bottom w:val="single" w:color="000000" w:sz="2" w:space="0"/>
            </w:tcBorders>
            <w:vAlign w:val="center"/>
          </w:tcPr>
          <w:p>
            <w:pPr>
              <w:spacing w:before="157"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810" w:type="dxa"/>
            <w:vMerge w:val="restart"/>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410" w:type="dxa"/>
            <w:gridSpan w:val="2"/>
            <w:tcBorders>
              <w:top w:val="single" w:color="000000" w:sz="2" w:space="0"/>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30" w:type="dxa"/>
            <w:tcBorders>
              <w:top w:val="single" w:color="000000" w:sz="2" w:space="0"/>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20"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vAlign w:val="center"/>
          </w:tcPr>
          <w:p>
            <w:pPr>
              <w:spacing w:before="157"/>
              <w:ind w:left="129" w:right="122" w:firstLine="9"/>
              <w:jc w:val="center"/>
              <w:rPr>
                <w:rFonts w:ascii="仿宋" w:hAnsi="仿宋" w:eastAsia="仿宋" w:cs="仿宋"/>
                <w:color w:val="000000" w:themeColor="text1"/>
                <w:spacing w:val="-3"/>
                <w:sz w:val="18"/>
                <w:szCs w:val="18"/>
              </w:rPr>
            </w:pPr>
          </w:p>
        </w:tc>
        <w:tc>
          <w:tcPr>
            <w:tcW w:w="930" w:type="dxa"/>
            <w:vMerge w:val="continue"/>
            <w:vAlign w:val="center"/>
          </w:tcPr>
          <w:p>
            <w:pPr>
              <w:spacing w:before="157" w:line="184" w:lineRule="auto"/>
              <w:jc w:val="center"/>
              <w:rPr>
                <w:rFonts w:ascii="仿宋" w:hAnsi="仿宋" w:eastAsia="仿宋" w:cs="仿宋"/>
                <w:color w:val="000000" w:themeColor="text1"/>
                <w:spacing w:val="-1"/>
                <w:sz w:val="18"/>
                <w:szCs w:val="18"/>
              </w:rPr>
            </w:pPr>
          </w:p>
        </w:tc>
        <w:tc>
          <w:tcPr>
            <w:tcW w:w="81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410"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73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vAlign w:val="center"/>
          </w:tcPr>
          <w:p>
            <w:pPr>
              <w:spacing w:before="157"/>
              <w:ind w:left="129" w:right="122" w:firstLine="9"/>
              <w:jc w:val="center"/>
              <w:rPr>
                <w:rFonts w:ascii="仿宋" w:hAnsi="仿宋" w:eastAsia="仿宋" w:cs="仿宋"/>
                <w:color w:val="000000" w:themeColor="text1"/>
                <w:spacing w:val="-3"/>
                <w:sz w:val="18"/>
                <w:szCs w:val="18"/>
              </w:rPr>
            </w:pPr>
          </w:p>
        </w:tc>
        <w:tc>
          <w:tcPr>
            <w:tcW w:w="930" w:type="dxa"/>
            <w:vMerge w:val="continue"/>
            <w:vAlign w:val="center"/>
          </w:tcPr>
          <w:p>
            <w:pPr>
              <w:spacing w:before="157" w:line="184" w:lineRule="auto"/>
              <w:jc w:val="center"/>
              <w:rPr>
                <w:rFonts w:ascii="仿宋" w:hAnsi="仿宋" w:eastAsia="仿宋" w:cs="仿宋"/>
                <w:color w:val="000000" w:themeColor="text1"/>
                <w:spacing w:val="-1"/>
                <w:sz w:val="18"/>
                <w:szCs w:val="18"/>
              </w:rPr>
            </w:pPr>
          </w:p>
        </w:tc>
        <w:tc>
          <w:tcPr>
            <w:tcW w:w="81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410"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73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vAlign w:val="center"/>
          </w:tcPr>
          <w:p>
            <w:pPr>
              <w:spacing w:before="157"/>
              <w:ind w:left="129" w:right="122" w:firstLine="9"/>
              <w:jc w:val="center"/>
              <w:rPr>
                <w:rFonts w:ascii="仿宋" w:hAnsi="仿宋" w:eastAsia="仿宋" w:cs="仿宋"/>
                <w:color w:val="000000" w:themeColor="text1"/>
                <w:spacing w:val="-3"/>
                <w:sz w:val="18"/>
                <w:szCs w:val="18"/>
              </w:rPr>
            </w:pPr>
          </w:p>
        </w:tc>
        <w:tc>
          <w:tcPr>
            <w:tcW w:w="930" w:type="dxa"/>
            <w:vMerge w:val="continue"/>
            <w:vAlign w:val="center"/>
          </w:tcPr>
          <w:p>
            <w:pPr>
              <w:spacing w:before="157" w:line="184" w:lineRule="auto"/>
              <w:jc w:val="center"/>
              <w:rPr>
                <w:rFonts w:ascii="仿宋" w:hAnsi="仿宋" w:eastAsia="仿宋" w:cs="仿宋"/>
                <w:color w:val="000000" w:themeColor="text1"/>
                <w:spacing w:val="-1"/>
                <w:sz w:val="18"/>
                <w:szCs w:val="18"/>
              </w:rPr>
            </w:pPr>
          </w:p>
        </w:tc>
        <w:tc>
          <w:tcPr>
            <w:tcW w:w="81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410" w:type="dxa"/>
            <w:gridSpan w:val="2"/>
            <w:tcBorders>
              <w:top w:val="single" w:color="auto" w:sz="4" w:space="0"/>
              <w:bottom w:val="single" w:color="000000" w:sz="2"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730" w:type="dxa"/>
            <w:tcBorders>
              <w:top w:val="single" w:color="auto" w:sz="4" w:space="0"/>
              <w:bottom w:val="single" w:color="000000" w:sz="2"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20"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4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93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81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410" w:type="dxa"/>
            <w:gridSpan w:val="2"/>
            <w:tcBorders>
              <w:top w:val="single" w:color="000000" w:sz="2" w:space="0"/>
              <w:bottom w:val="single" w:color="000000" w:sz="2"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30" w:type="dxa"/>
            <w:tcBorders>
              <w:top w:val="single" w:color="000000" w:sz="2" w:space="0"/>
              <w:bottom w:val="single" w:color="000000" w:sz="2"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2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8746" w:type="dxa"/>
            <w:gridSpan w:val="7"/>
            <w:tcBorders>
              <w:top w:val="single" w:color="000000" w:sz="2" w:space="0"/>
              <w:bottom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8746" w:type="dxa"/>
            <w:gridSpan w:val="7"/>
            <w:tcBorders>
              <w:top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b/>
          <w:bCs/>
          <w:color w:val="000000" w:themeColor="text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第四十八条钢铁、建材、有色金属、石油、化工、制药、矿产开采等企业，应当加强精细化管理，采取集中收集处理等措施，严格控制粉尘和气态污染物的排放。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工业生产企业应当采取密闭、围挡、遮盖、清扫、洒水等措施，减少内部物料的堆存、传输、装卸等环节产生的粉尘和气态污染物的排放。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(五)钢铁、建材、有色金属、石油、化工、制药、矿产开采等企业，未采取集中收集处理、密闭、围挡、遮盖、清扫、洒水等措施，控制、减少粉尘和气态污染物排放的；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34" w:name="_Toc6369"/>
      <w:bookmarkStart w:id="135" w:name="_Toc22949"/>
      <w:r>
        <w:rPr>
          <w:rFonts w:hint="eastAsia" w:ascii="仿宋" w:hAnsi="仿宋" w:eastAsia="仿宋" w:cs="仿宋"/>
          <w:b/>
          <w:bCs/>
          <w:color w:val="000000" w:themeColor="text1"/>
          <w:kern w:val="0"/>
          <w:sz w:val="24"/>
        </w:rPr>
        <w:t>表 26工业生产、垃圾填埋或者其他活动中产生的可燃性气体未回收利用，不具备回收利用条件未进行防治污染处理，或者可燃性气体回收利用装置不能正常作业，未及时修复或者更新的罚款幅度裁定</w:t>
      </w:r>
      <w:bookmarkEnd w:id="134"/>
      <w:bookmarkEnd w:id="135"/>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861"/>
        <w:gridCol w:w="981"/>
        <w:gridCol w:w="1943"/>
        <w:gridCol w:w="1183"/>
        <w:gridCol w:w="756"/>
        <w:gridCol w:w="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4051"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28" w:type="dxa"/>
            <w:gridSpan w:val="4"/>
          </w:tcPr>
          <w:p>
            <w:pPr>
              <w:spacing w:before="177" w:line="184" w:lineRule="auto"/>
              <w:ind w:firstLine="1624"/>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0" w:hRule="atLeast"/>
        </w:trPr>
        <w:tc>
          <w:tcPr>
            <w:tcW w:w="1209" w:type="dxa"/>
          </w:tcPr>
          <w:p>
            <w:pPr>
              <w:spacing w:before="199"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6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8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2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0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8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981"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943" w:type="dxa"/>
            <w:vMerge w:val="restart"/>
            <w:tcBorders>
              <w:right w:val="single" w:color="auto" w:sz="4" w:space="0"/>
            </w:tcBorders>
            <w:vAlign w:val="center"/>
          </w:tcPr>
          <w:p>
            <w:pPr>
              <w:spacing w:before="44" w:line="221" w:lineRule="auto"/>
              <w:ind w:left="117" w:right="210" w:firstLine="8"/>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可燃性气体回收利用装置不</w:t>
            </w:r>
            <w:r>
              <w:rPr>
                <w:rFonts w:ascii="仿宋" w:hAnsi="仿宋" w:eastAsia="仿宋" w:cs="仿宋"/>
                <w:color w:val="000000" w:themeColor="text1"/>
                <w:spacing w:val="-1"/>
                <w:sz w:val="18"/>
                <w:szCs w:val="18"/>
              </w:rPr>
              <w:t>能正常作业，未及时修复或</w:t>
            </w:r>
            <w:r>
              <w:rPr>
                <w:rFonts w:ascii="仿宋" w:hAnsi="仿宋" w:eastAsia="仿宋" w:cs="仿宋"/>
                <w:color w:val="000000" w:themeColor="text1"/>
                <w:spacing w:val="-3"/>
                <w:sz w:val="18"/>
                <w:szCs w:val="18"/>
              </w:rPr>
              <w:t>者更新的</w:t>
            </w:r>
          </w:p>
        </w:tc>
        <w:tc>
          <w:tcPr>
            <w:tcW w:w="1183" w:type="dxa"/>
            <w:tcBorders>
              <w:left w:val="single" w:color="auto" w:sz="4" w:space="0"/>
              <w:bottom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建成区内</w:t>
            </w:r>
          </w:p>
        </w:tc>
        <w:tc>
          <w:tcPr>
            <w:tcW w:w="75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54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09" w:type="dxa"/>
            <w:vMerge w:val="continue"/>
            <w:vAlign w:val="center"/>
          </w:tcPr>
          <w:p>
            <w:pPr>
              <w:jc w:val="center"/>
              <w:rPr>
                <w:rFonts w:ascii="仿宋" w:hAnsi="仿宋" w:eastAsia="仿宋" w:cs="仿宋"/>
                <w:color w:val="000000" w:themeColor="text1"/>
                <w:spacing w:val="-3"/>
                <w:sz w:val="18"/>
                <w:szCs w:val="18"/>
              </w:rPr>
            </w:pPr>
          </w:p>
        </w:tc>
        <w:tc>
          <w:tcPr>
            <w:tcW w:w="1861" w:type="dxa"/>
            <w:vMerge w:val="continue"/>
            <w:vAlign w:val="center"/>
          </w:tcPr>
          <w:p>
            <w:pPr>
              <w:jc w:val="center"/>
              <w:rPr>
                <w:rFonts w:ascii="仿宋" w:hAnsi="仿宋" w:eastAsia="仿宋" w:cs="仿宋"/>
                <w:color w:val="000000" w:themeColor="text1"/>
                <w:spacing w:val="-3"/>
                <w:sz w:val="18"/>
                <w:szCs w:val="18"/>
              </w:rPr>
            </w:pPr>
          </w:p>
        </w:tc>
        <w:tc>
          <w:tcPr>
            <w:tcW w:w="981" w:type="dxa"/>
            <w:vMerge w:val="continue"/>
            <w:vAlign w:val="center"/>
          </w:tcPr>
          <w:p>
            <w:pPr>
              <w:spacing w:before="79" w:line="184" w:lineRule="auto"/>
              <w:jc w:val="center"/>
              <w:rPr>
                <w:rFonts w:ascii="仿宋" w:hAnsi="仿宋" w:eastAsia="仿宋" w:cs="仿宋"/>
                <w:color w:val="000000" w:themeColor="text1"/>
                <w:spacing w:val="-6"/>
                <w:sz w:val="18"/>
                <w:szCs w:val="18"/>
              </w:rPr>
            </w:pPr>
          </w:p>
        </w:tc>
        <w:tc>
          <w:tcPr>
            <w:tcW w:w="1943" w:type="dxa"/>
            <w:vMerge w:val="continue"/>
            <w:tcBorders>
              <w:right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p>
        </w:tc>
        <w:tc>
          <w:tcPr>
            <w:tcW w:w="1183" w:type="dxa"/>
            <w:tcBorders>
              <w:top w:val="single" w:color="auto" w:sz="4" w:space="0"/>
              <w:left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建成区外</w:t>
            </w:r>
          </w:p>
        </w:tc>
        <w:tc>
          <w:tcPr>
            <w:tcW w:w="756"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4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09" w:type="dxa"/>
            <w:vMerge w:val="continue"/>
            <w:tcBorders>
              <w:top w:val="nil"/>
              <w:bottom w:val="nil"/>
            </w:tcBorders>
          </w:tcPr>
          <w:p>
            <w:pPr>
              <w:jc w:val="center"/>
              <w:rPr>
                <w:rFonts w:ascii="Malgun Gothic"/>
                <w:color w:val="000000" w:themeColor="text1"/>
                <w:sz w:val="18"/>
                <w:szCs w:val="18"/>
              </w:rPr>
            </w:pPr>
          </w:p>
        </w:tc>
        <w:tc>
          <w:tcPr>
            <w:tcW w:w="1861" w:type="dxa"/>
            <w:vMerge w:val="continue"/>
            <w:tcBorders>
              <w:top w:val="nil"/>
              <w:bottom w:val="nil"/>
            </w:tcBorders>
            <w:vAlign w:val="center"/>
          </w:tcPr>
          <w:p>
            <w:pPr>
              <w:jc w:val="center"/>
              <w:rPr>
                <w:rFonts w:ascii="Malgun Gothic"/>
                <w:color w:val="000000" w:themeColor="text1"/>
                <w:sz w:val="18"/>
                <w:szCs w:val="18"/>
              </w:rPr>
            </w:pPr>
          </w:p>
        </w:tc>
        <w:tc>
          <w:tcPr>
            <w:tcW w:w="981" w:type="dxa"/>
            <w:vMerge w:val="continue"/>
            <w:tcBorders>
              <w:top w:val="nil"/>
              <w:bottom w:val="nil"/>
            </w:tcBorders>
          </w:tcPr>
          <w:p>
            <w:pPr>
              <w:jc w:val="center"/>
              <w:rPr>
                <w:rFonts w:ascii="Malgun Gothic"/>
                <w:color w:val="000000" w:themeColor="text1"/>
                <w:sz w:val="18"/>
                <w:szCs w:val="18"/>
              </w:rPr>
            </w:pPr>
          </w:p>
        </w:tc>
        <w:tc>
          <w:tcPr>
            <w:tcW w:w="1943" w:type="dxa"/>
            <w:vMerge w:val="restart"/>
            <w:tcBorders>
              <w:right w:val="single" w:color="auto" w:sz="4" w:space="0"/>
            </w:tcBorders>
            <w:vAlign w:val="center"/>
          </w:tcPr>
          <w:p>
            <w:pPr>
              <w:spacing w:before="43" w:line="212" w:lineRule="auto"/>
              <w:ind w:left="136" w:right="210" w:hanging="16"/>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不具备回收利用条件未进行</w:t>
            </w:r>
            <w:r>
              <w:rPr>
                <w:rFonts w:ascii="仿宋" w:hAnsi="仿宋" w:eastAsia="仿宋" w:cs="仿宋"/>
                <w:color w:val="000000" w:themeColor="text1"/>
                <w:spacing w:val="-5"/>
                <w:sz w:val="18"/>
                <w:szCs w:val="18"/>
              </w:rPr>
              <w:t>防治污染处理的</w:t>
            </w:r>
          </w:p>
        </w:tc>
        <w:tc>
          <w:tcPr>
            <w:tcW w:w="1183" w:type="dxa"/>
            <w:tcBorders>
              <w:left w:val="single" w:color="auto" w:sz="4" w:space="0"/>
              <w:bottom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建成区内</w:t>
            </w:r>
          </w:p>
        </w:tc>
        <w:tc>
          <w:tcPr>
            <w:tcW w:w="75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w:t>
            </w:r>
            <w:r>
              <w:rPr>
                <w:rFonts w:hint="eastAsia" w:ascii="仿宋" w:hAnsi="仿宋" w:eastAsia="仿宋" w:cs="仿宋"/>
                <w:color w:val="000000" w:themeColor="text1"/>
                <w:spacing w:val="-4"/>
                <w:sz w:val="18"/>
                <w:szCs w:val="18"/>
              </w:rPr>
              <w:t>5</w:t>
            </w:r>
            <w:r>
              <w:rPr>
                <w:rFonts w:ascii="仿宋" w:hAnsi="仿宋" w:eastAsia="仿宋" w:cs="仿宋"/>
                <w:color w:val="000000" w:themeColor="text1"/>
                <w:spacing w:val="-4"/>
                <w:sz w:val="18"/>
                <w:szCs w:val="18"/>
              </w:rPr>
              <w:t>%</w:t>
            </w:r>
          </w:p>
        </w:tc>
        <w:tc>
          <w:tcPr>
            <w:tcW w:w="54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09" w:type="dxa"/>
            <w:vMerge w:val="continue"/>
            <w:tcBorders>
              <w:top w:val="nil"/>
              <w:bottom w:val="nil"/>
            </w:tcBorders>
          </w:tcPr>
          <w:p>
            <w:pPr>
              <w:jc w:val="center"/>
              <w:rPr>
                <w:rFonts w:ascii="Malgun Gothic"/>
                <w:color w:val="000000" w:themeColor="text1"/>
                <w:sz w:val="18"/>
                <w:szCs w:val="18"/>
              </w:rPr>
            </w:pPr>
          </w:p>
        </w:tc>
        <w:tc>
          <w:tcPr>
            <w:tcW w:w="1861" w:type="dxa"/>
            <w:vMerge w:val="continue"/>
            <w:tcBorders>
              <w:top w:val="nil"/>
              <w:bottom w:val="nil"/>
            </w:tcBorders>
            <w:vAlign w:val="center"/>
          </w:tcPr>
          <w:p>
            <w:pPr>
              <w:jc w:val="center"/>
              <w:rPr>
                <w:rFonts w:ascii="Malgun Gothic"/>
                <w:color w:val="000000" w:themeColor="text1"/>
                <w:sz w:val="18"/>
                <w:szCs w:val="18"/>
              </w:rPr>
            </w:pPr>
          </w:p>
        </w:tc>
        <w:tc>
          <w:tcPr>
            <w:tcW w:w="981" w:type="dxa"/>
            <w:vMerge w:val="continue"/>
            <w:tcBorders>
              <w:top w:val="nil"/>
              <w:bottom w:val="nil"/>
            </w:tcBorders>
          </w:tcPr>
          <w:p>
            <w:pPr>
              <w:jc w:val="center"/>
              <w:rPr>
                <w:rFonts w:ascii="Malgun Gothic"/>
                <w:color w:val="000000" w:themeColor="text1"/>
                <w:sz w:val="18"/>
                <w:szCs w:val="18"/>
              </w:rPr>
            </w:pPr>
          </w:p>
        </w:tc>
        <w:tc>
          <w:tcPr>
            <w:tcW w:w="1943" w:type="dxa"/>
            <w:vMerge w:val="continue"/>
            <w:tcBorders>
              <w:right w:val="single" w:color="auto" w:sz="4" w:space="0"/>
            </w:tcBorders>
            <w:vAlign w:val="center"/>
          </w:tcPr>
          <w:p>
            <w:pPr>
              <w:spacing w:before="43" w:line="212" w:lineRule="auto"/>
              <w:ind w:left="136" w:right="210" w:hanging="16"/>
              <w:rPr>
                <w:rFonts w:ascii="仿宋" w:hAnsi="仿宋" w:eastAsia="仿宋" w:cs="仿宋"/>
                <w:color w:val="000000" w:themeColor="text1"/>
                <w:spacing w:val="-2"/>
                <w:sz w:val="18"/>
                <w:szCs w:val="18"/>
              </w:rPr>
            </w:pPr>
          </w:p>
        </w:tc>
        <w:tc>
          <w:tcPr>
            <w:tcW w:w="1183" w:type="dxa"/>
            <w:tcBorders>
              <w:top w:val="single" w:color="auto" w:sz="4" w:space="0"/>
              <w:left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建成区外</w:t>
            </w:r>
          </w:p>
        </w:tc>
        <w:tc>
          <w:tcPr>
            <w:tcW w:w="756"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20%</w:t>
            </w:r>
          </w:p>
        </w:tc>
        <w:tc>
          <w:tcPr>
            <w:tcW w:w="54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09" w:type="dxa"/>
            <w:vMerge w:val="continue"/>
            <w:tcBorders>
              <w:top w:val="nil"/>
            </w:tcBorders>
          </w:tcPr>
          <w:p>
            <w:pPr>
              <w:jc w:val="center"/>
              <w:rPr>
                <w:rFonts w:ascii="Malgun Gothic"/>
                <w:color w:val="000000" w:themeColor="text1"/>
                <w:sz w:val="18"/>
                <w:szCs w:val="18"/>
              </w:rPr>
            </w:pPr>
          </w:p>
        </w:tc>
        <w:tc>
          <w:tcPr>
            <w:tcW w:w="1861" w:type="dxa"/>
            <w:vMerge w:val="continue"/>
            <w:tcBorders>
              <w:top w:val="nil"/>
            </w:tcBorders>
            <w:vAlign w:val="center"/>
          </w:tcPr>
          <w:p>
            <w:pPr>
              <w:jc w:val="center"/>
              <w:rPr>
                <w:rFonts w:ascii="Malgun Gothic"/>
                <w:color w:val="000000" w:themeColor="text1"/>
                <w:sz w:val="18"/>
                <w:szCs w:val="18"/>
              </w:rPr>
            </w:pPr>
          </w:p>
        </w:tc>
        <w:tc>
          <w:tcPr>
            <w:tcW w:w="981" w:type="dxa"/>
            <w:vMerge w:val="continue"/>
            <w:tcBorders>
              <w:top w:val="nil"/>
            </w:tcBorders>
          </w:tcPr>
          <w:p>
            <w:pPr>
              <w:jc w:val="center"/>
              <w:rPr>
                <w:rFonts w:ascii="Malgun Gothic"/>
                <w:color w:val="000000" w:themeColor="text1"/>
                <w:sz w:val="18"/>
                <w:szCs w:val="18"/>
              </w:rPr>
            </w:pPr>
          </w:p>
        </w:tc>
        <w:tc>
          <w:tcPr>
            <w:tcW w:w="1943" w:type="dxa"/>
            <w:vMerge w:val="restart"/>
            <w:tcBorders>
              <w:right w:val="single" w:color="auto" w:sz="4" w:space="0"/>
            </w:tcBorders>
            <w:vAlign w:val="center"/>
          </w:tcPr>
          <w:p>
            <w:pPr>
              <w:spacing w:before="43" w:line="184" w:lineRule="auto"/>
              <w:ind w:firstLine="125"/>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可燃性气体未回收利用的</w:t>
            </w:r>
          </w:p>
        </w:tc>
        <w:tc>
          <w:tcPr>
            <w:tcW w:w="1183" w:type="dxa"/>
            <w:tcBorders>
              <w:left w:val="single" w:color="auto" w:sz="4" w:space="0"/>
              <w:bottom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建成区内</w:t>
            </w:r>
          </w:p>
        </w:tc>
        <w:tc>
          <w:tcPr>
            <w:tcW w:w="75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3</w:t>
            </w:r>
            <w:r>
              <w:rPr>
                <w:rFonts w:ascii="仿宋" w:hAnsi="仿宋" w:eastAsia="仿宋" w:cs="仿宋"/>
                <w:color w:val="000000" w:themeColor="text1"/>
                <w:spacing w:val="-3"/>
                <w:sz w:val="18"/>
                <w:szCs w:val="18"/>
              </w:rPr>
              <w:t>0%</w:t>
            </w:r>
          </w:p>
        </w:tc>
        <w:tc>
          <w:tcPr>
            <w:tcW w:w="54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09" w:type="dxa"/>
            <w:vMerge w:val="continue"/>
          </w:tcPr>
          <w:p>
            <w:pPr>
              <w:jc w:val="center"/>
              <w:rPr>
                <w:rFonts w:ascii="Malgun Gothic"/>
                <w:color w:val="000000" w:themeColor="text1"/>
                <w:sz w:val="18"/>
                <w:szCs w:val="18"/>
              </w:rPr>
            </w:pPr>
          </w:p>
        </w:tc>
        <w:tc>
          <w:tcPr>
            <w:tcW w:w="1861" w:type="dxa"/>
            <w:vMerge w:val="continue"/>
            <w:vAlign w:val="center"/>
          </w:tcPr>
          <w:p>
            <w:pPr>
              <w:jc w:val="center"/>
              <w:rPr>
                <w:rFonts w:ascii="Malgun Gothic"/>
                <w:color w:val="000000" w:themeColor="text1"/>
                <w:sz w:val="18"/>
                <w:szCs w:val="18"/>
              </w:rPr>
            </w:pPr>
          </w:p>
        </w:tc>
        <w:tc>
          <w:tcPr>
            <w:tcW w:w="981" w:type="dxa"/>
            <w:vMerge w:val="continue"/>
          </w:tcPr>
          <w:p>
            <w:pPr>
              <w:jc w:val="center"/>
              <w:rPr>
                <w:rFonts w:ascii="Malgun Gothic"/>
                <w:color w:val="000000" w:themeColor="text1"/>
                <w:sz w:val="18"/>
                <w:szCs w:val="18"/>
              </w:rPr>
            </w:pPr>
          </w:p>
        </w:tc>
        <w:tc>
          <w:tcPr>
            <w:tcW w:w="1943" w:type="dxa"/>
            <w:vMerge w:val="continue"/>
            <w:tcBorders>
              <w:right w:val="single" w:color="auto" w:sz="4" w:space="0"/>
            </w:tcBorders>
            <w:vAlign w:val="center"/>
          </w:tcPr>
          <w:p>
            <w:pPr>
              <w:spacing w:before="43" w:line="184" w:lineRule="auto"/>
              <w:ind w:firstLine="125"/>
              <w:rPr>
                <w:rFonts w:ascii="仿宋" w:hAnsi="仿宋" w:eastAsia="仿宋" w:cs="仿宋"/>
                <w:color w:val="000000" w:themeColor="text1"/>
                <w:spacing w:val="-2"/>
                <w:sz w:val="18"/>
                <w:szCs w:val="18"/>
              </w:rPr>
            </w:pPr>
          </w:p>
        </w:tc>
        <w:tc>
          <w:tcPr>
            <w:tcW w:w="1183" w:type="dxa"/>
            <w:tcBorders>
              <w:top w:val="single" w:color="auto" w:sz="4" w:space="0"/>
              <w:left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建成区外</w:t>
            </w:r>
          </w:p>
        </w:tc>
        <w:tc>
          <w:tcPr>
            <w:tcW w:w="756"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54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违法频次</w:t>
            </w:r>
          </w:p>
        </w:tc>
        <w:tc>
          <w:tcPr>
            <w:tcW w:w="1861"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981"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7"/>
                <w:sz w:val="18"/>
                <w:szCs w:val="18"/>
              </w:rPr>
              <w:t>20%</w:t>
            </w:r>
          </w:p>
        </w:tc>
        <w:tc>
          <w:tcPr>
            <w:tcW w:w="3126" w:type="dxa"/>
            <w:gridSpan w:val="2"/>
            <w:tcBorders>
              <w:bottom w:val="single" w:color="000000" w:sz="2" w:space="0"/>
            </w:tcBorders>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56"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546"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vAlign w:val="center"/>
          </w:tcPr>
          <w:p>
            <w:pPr>
              <w:jc w:val="center"/>
              <w:rPr>
                <w:rFonts w:ascii="Malgun Gothic"/>
                <w:color w:val="000000" w:themeColor="text1"/>
                <w:sz w:val="18"/>
                <w:szCs w:val="18"/>
              </w:rPr>
            </w:pPr>
          </w:p>
        </w:tc>
        <w:tc>
          <w:tcPr>
            <w:tcW w:w="1861" w:type="dxa"/>
            <w:vMerge w:val="continue"/>
            <w:vAlign w:val="center"/>
          </w:tcPr>
          <w:p>
            <w:pPr>
              <w:jc w:val="center"/>
              <w:rPr>
                <w:rFonts w:ascii="仿宋" w:hAnsi="仿宋" w:eastAsia="仿宋" w:cs="仿宋"/>
                <w:color w:val="000000" w:themeColor="text1"/>
                <w:sz w:val="18"/>
                <w:szCs w:val="18"/>
              </w:rPr>
            </w:pPr>
          </w:p>
        </w:tc>
        <w:tc>
          <w:tcPr>
            <w:tcW w:w="981" w:type="dxa"/>
            <w:vMerge w:val="continue"/>
            <w:vAlign w:val="center"/>
          </w:tcPr>
          <w:p>
            <w:pPr>
              <w:jc w:val="center"/>
              <w:rPr>
                <w:rFonts w:ascii="Malgun Gothic"/>
                <w:color w:val="000000" w:themeColor="text1"/>
                <w:sz w:val="18"/>
                <w:szCs w:val="18"/>
              </w:rPr>
            </w:pPr>
          </w:p>
        </w:tc>
        <w:tc>
          <w:tcPr>
            <w:tcW w:w="3126" w:type="dxa"/>
            <w:gridSpan w:val="2"/>
            <w:tcBorders>
              <w:top w:val="single" w:color="000000" w:sz="2" w:space="0"/>
            </w:tcBorders>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756" w:type="dxa"/>
            <w:tcBorders>
              <w:top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546"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tcPr>
          <w:p>
            <w:pPr>
              <w:jc w:val="center"/>
              <w:rPr>
                <w:rFonts w:ascii="Malgun Gothic"/>
                <w:color w:val="000000" w:themeColor="text1"/>
                <w:sz w:val="18"/>
                <w:szCs w:val="18"/>
              </w:rPr>
            </w:pPr>
          </w:p>
        </w:tc>
        <w:tc>
          <w:tcPr>
            <w:tcW w:w="1861" w:type="dxa"/>
            <w:vMerge w:val="continue"/>
            <w:vAlign w:val="center"/>
          </w:tcPr>
          <w:p>
            <w:pPr>
              <w:jc w:val="center"/>
              <w:rPr>
                <w:rFonts w:ascii="Malgun Gothic"/>
                <w:color w:val="000000" w:themeColor="text1"/>
                <w:sz w:val="18"/>
                <w:szCs w:val="18"/>
              </w:rPr>
            </w:pPr>
          </w:p>
        </w:tc>
        <w:tc>
          <w:tcPr>
            <w:tcW w:w="981" w:type="dxa"/>
            <w:vMerge w:val="continue"/>
          </w:tcPr>
          <w:p>
            <w:pPr>
              <w:jc w:val="center"/>
              <w:rPr>
                <w:rFonts w:ascii="Malgun Gothic"/>
                <w:color w:val="000000" w:themeColor="text1"/>
                <w:sz w:val="18"/>
                <w:szCs w:val="18"/>
              </w:rPr>
            </w:pPr>
          </w:p>
        </w:tc>
        <w:tc>
          <w:tcPr>
            <w:tcW w:w="3126" w:type="dxa"/>
            <w:gridSpan w:val="2"/>
            <w:vAlign w:val="center"/>
          </w:tcPr>
          <w:p>
            <w:pPr>
              <w:spacing w:before="37"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54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tcPr>
          <w:p>
            <w:pPr>
              <w:jc w:val="center"/>
              <w:rPr>
                <w:rFonts w:ascii="Malgun Gothic"/>
                <w:color w:val="000000" w:themeColor="text1"/>
                <w:sz w:val="18"/>
                <w:szCs w:val="18"/>
              </w:rPr>
            </w:pPr>
          </w:p>
        </w:tc>
        <w:tc>
          <w:tcPr>
            <w:tcW w:w="1861" w:type="dxa"/>
            <w:vMerge w:val="continue"/>
            <w:vAlign w:val="center"/>
          </w:tcPr>
          <w:p>
            <w:pPr>
              <w:jc w:val="center"/>
              <w:rPr>
                <w:rFonts w:ascii="Malgun Gothic"/>
                <w:color w:val="000000" w:themeColor="text1"/>
                <w:sz w:val="18"/>
                <w:szCs w:val="18"/>
              </w:rPr>
            </w:pPr>
          </w:p>
        </w:tc>
        <w:tc>
          <w:tcPr>
            <w:tcW w:w="981" w:type="dxa"/>
            <w:vMerge w:val="continue"/>
          </w:tcPr>
          <w:p>
            <w:pPr>
              <w:jc w:val="center"/>
              <w:rPr>
                <w:rFonts w:ascii="Malgun Gothic"/>
                <w:color w:val="000000" w:themeColor="text1"/>
                <w:sz w:val="18"/>
                <w:szCs w:val="18"/>
              </w:rPr>
            </w:pPr>
          </w:p>
        </w:tc>
        <w:tc>
          <w:tcPr>
            <w:tcW w:w="3126" w:type="dxa"/>
            <w:gridSpan w:val="2"/>
            <w:vAlign w:val="center"/>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4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981"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126" w:type="dxa"/>
            <w:gridSpan w:val="2"/>
            <w:vAlign w:val="center"/>
          </w:tcPr>
          <w:p>
            <w:pPr>
              <w:spacing w:before="37"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4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tcBorders>
              <w:top w:val="nil"/>
              <w:bottom w:val="nil"/>
            </w:tcBorders>
          </w:tcPr>
          <w:p>
            <w:pPr>
              <w:jc w:val="center"/>
              <w:rPr>
                <w:rFonts w:ascii="Malgun Gothic"/>
                <w:color w:val="000000" w:themeColor="text1"/>
                <w:sz w:val="18"/>
                <w:szCs w:val="18"/>
              </w:rPr>
            </w:pPr>
          </w:p>
        </w:tc>
        <w:tc>
          <w:tcPr>
            <w:tcW w:w="1861" w:type="dxa"/>
            <w:vMerge w:val="continue"/>
            <w:tcBorders>
              <w:top w:val="nil"/>
              <w:bottom w:val="nil"/>
            </w:tcBorders>
            <w:vAlign w:val="center"/>
          </w:tcPr>
          <w:p>
            <w:pPr>
              <w:jc w:val="center"/>
              <w:rPr>
                <w:rFonts w:ascii="Malgun Gothic"/>
                <w:color w:val="000000" w:themeColor="text1"/>
                <w:sz w:val="18"/>
                <w:szCs w:val="18"/>
              </w:rPr>
            </w:pPr>
          </w:p>
        </w:tc>
        <w:tc>
          <w:tcPr>
            <w:tcW w:w="981" w:type="dxa"/>
            <w:vMerge w:val="continue"/>
            <w:tcBorders>
              <w:top w:val="nil"/>
              <w:bottom w:val="nil"/>
            </w:tcBorders>
          </w:tcPr>
          <w:p>
            <w:pPr>
              <w:jc w:val="center"/>
              <w:rPr>
                <w:rFonts w:ascii="Malgun Gothic"/>
                <w:color w:val="000000" w:themeColor="text1"/>
                <w:sz w:val="18"/>
                <w:szCs w:val="18"/>
              </w:rPr>
            </w:pPr>
          </w:p>
        </w:tc>
        <w:tc>
          <w:tcPr>
            <w:tcW w:w="3126" w:type="dxa"/>
            <w:gridSpan w:val="2"/>
            <w:vAlign w:val="center"/>
          </w:tcPr>
          <w:p>
            <w:pPr>
              <w:spacing w:before="40"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54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tcBorders>
              <w:top w:val="nil"/>
            </w:tcBorders>
          </w:tcPr>
          <w:p>
            <w:pPr>
              <w:jc w:val="center"/>
              <w:rPr>
                <w:rFonts w:ascii="Malgun Gothic"/>
                <w:color w:val="000000" w:themeColor="text1"/>
                <w:sz w:val="18"/>
                <w:szCs w:val="18"/>
              </w:rPr>
            </w:pPr>
          </w:p>
        </w:tc>
        <w:tc>
          <w:tcPr>
            <w:tcW w:w="1861" w:type="dxa"/>
            <w:vMerge w:val="continue"/>
            <w:tcBorders>
              <w:top w:val="nil"/>
            </w:tcBorders>
            <w:vAlign w:val="center"/>
          </w:tcPr>
          <w:p>
            <w:pPr>
              <w:jc w:val="center"/>
              <w:rPr>
                <w:rFonts w:ascii="Malgun Gothic"/>
                <w:color w:val="000000" w:themeColor="text1"/>
                <w:sz w:val="18"/>
                <w:szCs w:val="18"/>
              </w:rPr>
            </w:pPr>
          </w:p>
        </w:tc>
        <w:tc>
          <w:tcPr>
            <w:tcW w:w="981" w:type="dxa"/>
            <w:vMerge w:val="continue"/>
            <w:tcBorders>
              <w:top w:val="nil"/>
            </w:tcBorders>
          </w:tcPr>
          <w:p>
            <w:pPr>
              <w:jc w:val="center"/>
              <w:rPr>
                <w:rFonts w:ascii="Malgun Gothic"/>
                <w:color w:val="000000" w:themeColor="text1"/>
                <w:sz w:val="18"/>
                <w:szCs w:val="18"/>
              </w:rPr>
            </w:pPr>
          </w:p>
        </w:tc>
        <w:tc>
          <w:tcPr>
            <w:tcW w:w="3126" w:type="dxa"/>
            <w:gridSpan w:val="2"/>
            <w:vAlign w:val="center"/>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54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restart"/>
            <w:tcBorders>
              <w:bottom w:val="nil"/>
            </w:tcBorders>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8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981" w:type="dxa"/>
            <w:vMerge w:val="restart"/>
            <w:tcBorders>
              <w:bottom w:val="nil"/>
            </w:tcBorders>
          </w:tcPr>
          <w:p>
            <w:pPr>
              <w:spacing w:before="202"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126" w:type="dxa"/>
            <w:gridSpan w:val="2"/>
            <w:vAlign w:val="center"/>
          </w:tcPr>
          <w:p>
            <w:pPr>
              <w:spacing w:before="41"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4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tcBorders>
              <w:top w:val="nil"/>
            </w:tcBorders>
          </w:tcPr>
          <w:p>
            <w:pPr>
              <w:jc w:val="center"/>
              <w:rPr>
                <w:rFonts w:ascii="Malgun Gothic"/>
                <w:color w:val="000000" w:themeColor="text1"/>
                <w:sz w:val="18"/>
                <w:szCs w:val="18"/>
              </w:rPr>
            </w:pPr>
          </w:p>
        </w:tc>
        <w:tc>
          <w:tcPr>
            <w:tcW w:w="1861" w:type="dxa"/>
            <w:vMerge w:val="continue"/>
            <w:tcBorders>
              <w:top w:val="nil"/>
            </w:tcBorders>
            <w:vAlign w:val="center"/>
          </w:tcPr>
          <w:p>
            <w:pPr>
              <w:jc w:val="center"/>
              <w:rPr>
                <w:rFonts w:ascii="Malgun Gothic"/>
                <w:color w:val="000000" w:themeColor="text1"/>
                <w:sz w:val="18"/>
                <w:szCs w:val="18"/>
              </w:rPr>
            </w:pPr>
          </w:p>
        </w:tc>
        <w:tc>
          <w:tcPr>
            <w:tcW w:w="981" w:type="dxa"/>
            <w:vMerge w:val="continue"/>
            <w:tcBorders>
              <w:top w:val="nil"/>
            </w:tcBorders>
          </w:tcPr>
          <w:p>
            <w:pPr>
              <w:jc w:val="center"/>
              <w:rPr>
                <w:rFonts w:ascii="Malgun Gothic"/>
                <w:color w:val="000000" w:themeColor="text1"/>
                <w:sz w:val="18"/>
                <w:szCs w:val="18"/>
              </w:rPr>
            </w:pPr>
          </w:p>
        </w:tc>
        <w:tc>
          <w:tcPr>
            <w:tcW w:w="3126" w:type="dxa"/>
            <w:gridSpan w:val="2"/>
            <w:vAlign w:val="center"/>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54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8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981"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126"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6"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4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vAlign w:val="center"/>
          </w:tcPr>
          <w:p>
            <w:pPr>
              <w:jc w:val="center"/>
              <w:rPr>
                <w:rFonts w:ascii="仿宋" w:hAnsi="仿宋" w:eastAsia="仿宋" w:cs="仿宋"/>
                <w:color w:val="000000" w:themeColor="text1"/>
                <w:spacing w:val="-3"/>
                <w:sz w:val="18"/>
                <w:szCs w:val="18"/>
              </w:rPr>
            </w:pPr>
          </w:p>
        </w:tc>
        <w:tc>
          <w:tcPr>
            <w:tcW w:w="1861" w:type="dxa"/>
            <w:vMerge w:val="continue"/>
            <w:vAlign w:val="center"/>
          </w:tcPr>
          <w:p>
            <w:pPr>
              <w:jc w:val="center"/>
              <w:rPr>
                <w:rFonts w:ascii="仿宋" w:hAnsi="仿宋" w:eastAsia="仿宋" w:cs="仿宋"/>
                <w:color w:val="000000" w:themeColor="text1"/>
                <w:spacing w:val="-1"/>
                <w:sz w:val="18"/>
                <w:szCs w:val="18"/>
              </w:rPr>
            </w:pPr>
          </w:p>
        </w:tc>
        <w:tc>
          <w:tcPr>
            <w:tcW w:w="981"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12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756"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4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vAlign w:val="center"/>
          </w:tcPr>
          <w:p>
            <w:pPr>
              <w:jc w:val="center"/>
              <w:rPr>
                <w:rFonts w:ascii="仿宋" w:hAnsi="仿宋" w:eastAsia="仿宋" w:cs="仿宋"/>
                <w:color w:val="000000" w:themeColor="text1"/>
                <w:spacing w:val="-3"/>
                <w:sz w:val="18"/>
                <w:szCs w:val="18"/>
              </w:rPr>
            </w:pPr>
          </w:p>
        </w:tc>
        <w:tc>
          <w:tcPr>
            <w:tcW w:w="1861" w:type="dxa"/>
            <w:vMerge w:val="continue"/>
            <w:vAlign w:val="center"/>
          </w:tcPr>
          <w:p>
            <w:pPr>
              <w:jc w:val="center"/>
              <w:rPr>
                <w:rFonts w:ascii="仿宋" w:hAnsi="仿宋" w:eastAsia="仿宋" w:cs="仿宋"/>
                <w:color w:val="000000" w:themeColor="text1"/>
                <w:spacing w:val="-1"/>
                <w:sz w:val="18"/>
                <w:szCs w:val="18"/>
              </w:rPr>
            </w:pPr>
          </w:p>
        </w:tc>
        <w:tc>
          <w:tcPr>
            <w:tcW w:w="981"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12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756"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4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vAlign w:val="center"/>
          </w:tcPr>
          <w:p>
            <w:pPr>
              <w:jc w:val="center"/>
              <w:rPr>
                <w:rFonts w:ascii="仿宋" w:hAnsi="仿宋" w:eastAsia="仿宋" w:cs="仿宋"/>
                <w:color w:val="000000" w:themeColor="text1"/>
                <w:spacing w:val="-3"/>
                <w:sz w:val="18"/>
                <w:szCs w:val="18"/>
              </w:rPr>
            </w:pPr>
          </w:p>
        </w:tc>
        <w:tc>
          <w:tcPr>
            <w:tcW w:w="1861" w:type="dxa"/>
            <w:vMerge w:val="continue"/>
            <w:vAlign w:val="center"/>
          </w:tcPr>
          <w:p>
            <w:pPr>
              <w:jc w:val="center"/>
              <w:rPr>
                <w:rFonts w:ascii="仿宋" w:hAnsi="仿宋" w:eastAsia="仿宋" w:cs="仿宋"/>
                <w:color w:val="000000" w:themeColor="text1"/>
                <w:spacing w:val="-1"/>
                <w:sz w:val="18"/>
                <w:szCs w:val="18"/>
              </w:rPr>
            </w:pPr>
          </w:p>
        </w:tc>
        <w:tc>
          <w:tcPr>
            <w:tcW w:w="981"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126"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756"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4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9" w:type="dxa"/>
            <w:vMerge w:val="continue"/>
            <w:tcBorders>
              <w:top w:val="nil"/>
              <w:bottom w:val="single" w:color="auto" w:sz="4" w:space="0"/>
            </w:tcBorders>
          </w:tcPr>
          <w:p>
            <w:pPr>
              <w:rPr>
                <w:rFonts w:ascii="Malgun Gothic"/>
                <w:color w:val="000000" w:themeColor="text1"/>
                <w:sz w:val="18"/>
                <w:szCs w:val="18"/>
              </w:rPr>
            </w:pPr>
          </w:p>
        </w:tc>
        <w:tc>
          <w:tcPr>
            <w:tcW w:w="1861" w:type="dxa"/>
            <w:vMerge w:val="continue"/>
            <w:tcBorders>
              <w:top w:val="nil"/>
              <w:bottom w:val="single" w:color="auto" w:sz="4" w:space="0"/>
            </w:tcBorders>
          </w:tcPr>
          <w:p>
            <w:pPr>
              <w:rPr>
                <w:rFonts w:ascii="Malgun Gothic"/>
                <w:color w:val="000000" w:themeColor="text1"/>
                <w:sz w:val="18"/>
                <w:szCs w:val="18"/>
              </w:rPr>
            </w:pPr>
          </w:p>
        </w:tc>
        <w:tc>
          <w:tcPr>
            <w:tcW w:w="981" w:type="dxa"/>
            <w:vMerge w:val="continue"/>
            <w:tcBorders>
              <w:top w:val="nil"/>
              <w:bottom w:val="single" w:color="auto" w:sz="4" w:space="0"/>
            </w:tcBorders>
          </w:tcPr>
          <w:p>
            <w:pPr>
              <w:rPr>
                <w:rFonts w:ascii="Malgun Gothic"/>
                <w:color w:val="000000" w:themeColor="text1"/>
                <w:sz w:val="18"/>
                <w:szCs w:val="18"/>
              </w:rPr>
            </w:pPr>
          </w:p>
        </w:tc>
        <w:tc>
          <w:tcPr>
            <w:tcW w:w="3126" w:type="dxa"/>
            <w:gridSpan w:val="2"/>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6" w:type="dxa"/>
            <w:tcBorders>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4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847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6" w:hRule="atLeast"/>
        </w:trPr>
        <w:tc>
          <w:tcPr>
            <w:tcW w:w="847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1.《中华人民共和国大气污染防治法》第四十九条工业生产、垃圾填埋或者其他活动产生的可燃性气体应当回收利用，不具备回收利用条件的，应当进行污染防治处理。</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(六)工业生产、垃圾填埋或者其他活动中产生的可燃性气体未回收利用，不具备回收利用条件未进行防治污染处理，或者可燃性气体回收利用装置不能正常作业，未及时修复或者更新的。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36" w:name="_Toc206"/>
      <w:bookmarkStart w:id="137" w:name="_Toc6290"/>
      <w:r>
        <w:rPr>
          <w:rFonts w:hint="eastAsia" w:ascii="仿宋" w:hAnsi="仿宋" w:eastAsia="仿宋" w:cs="仿宋"/>
          <w:b/>
          <w:bCs/>
          <w:color w:val="000000" w:themeColor="text1"/>
          <w:kern w:val="0"/>
          <w:sz w:val="24"/>
        </w:rPr>
        <w:t>表27生产超过污染物排放标准的机动车、非道路移动机械的罚款幅度裁定</w:t>
      </w:r>
      <w:bookmarkEnd w:id="136"/>
      <w:bookmarkEnd w:id="137"/>
    </w:p>
    <w:tbl>
      <w:tblPr>
        <w:tblStyle w:val="15"/>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248"/>
        <w:gridCol w:w="904"/>
        <w:gridCol w:w="2052"/>
        <w:gridCol w:w="1839"/>
        <w:gridCol w:w="820"/>
        <w:gridCol w:w="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9" w:hRule="atLeast"/>
        </w:trPr>
        <w:tc>
          <w:tcPr>
            <w:tcW w:w="312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1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9" w:hRule="atLeast"/>
        </w:trPr>
        <w:tc>
          <w:tcPr>
            <w:tcW w:w="96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4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0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9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2" w:hRule="atLeast"/>
        </w:trPr>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2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9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052" w:type="dxa"/>
            <w:vMerge w:val="restart"/>
            <w:tcBorders>
              <w:right w:val="single" w:color="auto" w:sz="4" w:space="0"/>
            </w:tcBorders>
            <w:vAlign w:val="center"/>
          </w:tcPr>
          <w:p>
            <w:pPr>
              <w:spacing w:before="42" w:line="221" w:lineRule="auto"/>
              <w:ind w:left="113" w:right="210" w:firstLine="1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生产超过污染物排放标准的</w:t>
            </w:r>
            <w:r>
              <w:rPr>
                <w:rFonts w:ascii="仿宋" w:hAnsi="仿宋" w:eastAsia="仿宋" w:cs="仿宋"/>
                <w:color w:val="000000" w:themeColor="text1"/>
                <w:spacing w:val="-1"/>
                <w:sz w:val="18"/>
                <w:szCs w:val="18"/>
              </w:rPr>
              <w:t>机动车、非道路移动机械，</w:t>
            </w:r>
            <w:r>
              <w:rPr>
                <w:rFonts w:ascii="仿宋" w:hAnsi="仿宋" w:eastAsia="仿宋" w:cs="仿宋"/>
                <w:color w:val="000000" w:themeColor="text1"/>
                <w:spacing w:val="-2"/>
                <w:sz w:val="18"/>
                <w:szCs w:val="18"/>
              </w:rPr>
              <w:t>但未流入市场的</w:t>
            </w:r>
          </w:p>
        </w:tc>
        <w:tc>
          <w:tcPr>
            <w:tcW w:w="1839" w:type="dxa"/>
            <w:tcBorders>
              <w:left w:val="single" w:color="auto" w:sz="4" w:space="0"/>
              <w:bottom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货值金额在100万元以下</w:t>
            </w:r>
          </w:p>
        </w:tc>
        <w:tc>
          <w:tcPr>
            <w:tcW w:w="82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70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2" w:hRule="atLeast"/>
        </w:trPr>
        <w:tc>
          <w:tcPr>
            <w:tcW w:w="969" w:type="dxa"/>
            <w:vMerge w:val="continue"/>
            <w:vAlign w:val="center"/>
          </w:tcPr>
          <w:p>
            <w:pPr>
              <w:jc w:val="center"/>
              <w:rPr>
                <w:rFonts w:ascii="仿宋" w:hAnsi="仿宋" w:eastAsia="仿宋" w:cs="仿宋"/>
                <w:color w:val="000000" w:themeColor="text1"/>
                <w:spacing w:val="-3"/>
                <w:sz w:val="18"/>
                <w:szCs w:val="18"/>
              </w:rPr>
            </w:pPr>
          </w:p>
        </w:tc>
        <w:tc>
          <w:tcPr>
            <w:tcW w:w="1248" w:type="dxa"/>
            <w:vMerge w:val="continue"/>
            <w:vAlign w:val="center"/>
          </w:tcPr>
          <w:p>
            <w:pPr>
              <w:jc w:val="center"/>
              <w:rPr>
                <w:rFonts w:ascii="仿宋" w:hAnsi="仿宋" w:eastAsia="仿宋" w:cs="仿宋"/>
                <w:color w:val="000000" w:themeColor="text1"/>
                <w:spacing w:val="-3"/>
                <w:sz w:val="18"/>
                <w:szCs w:val="18"/>
              </w:rPr>
            </w:pPr>
          </w:p>
        </w:tc>
        <w:tc>
          <w:tcPr>
            <w:tcW w:w="904" w:type="dxa"/>
            <w:vMerge w:val="continue"/>
            <w:vAlign w:val="center"/>
          </w:tcPr>
          <w:p>
            <w:pPr>
              <w:jc w:val="center"/>
              <w:rPr>
                <w:rFonts w:ascii="仿宋" w:hAnsi="仿宋" w:eastAsia="仿宋" w:cs="仿宋"/>
                <w:color w:val="000000" w:themeColor="text1"/>
                <w:spacing w:val="-6"/>
                <w:sz w:val="18"/>
                <w:szCs w:val="18"/>
              </w:rPr>
            </w:pPr>
          </w:p>
        </w:tc>
        <w:tc>
          <w:tcPr>
            <w:tcW w:w="2052" w:type="dxa"/>
            <w:vMerge w:val="continue"/>
            <w:tcBorders>
              <w:right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p>
        </w:tc>
        <w:tc>
          <w:tcPr>
            <w:tcW w:w="1839" w:type="dxa"/>
            <w:tcBorders>
              <w:top w:val="single" w:color="auto" w:sz="4" w:space="0"/>
              <w:left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货值金额在100万元以上</w:t>
            </w:r>
          </w:p>
        </w:tc>
        <w:tc>
          <w:tcPr>
            <w:tcW w:w="82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70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4"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2052" w:type="dxa"/>
            <w:vMerge w:val="restart"/>
            <w:tcBorders>
              <w:right w:val="single" w:color="auto" w:sz="4" w:space="0"/>
            </w:tcBorders>
            <w:vAlign w:val="center"/>
          </w:tcPr>
          <w:p>
            <w:pPr>
              <w:spacing w:before="135"/>
              <w:ind w:left="113" w:right="210" w:firstLine="1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生产超过污染物排放标准的</w:t>
            </w:r>
            <w:r>
              <w:rPr>
                <w:rFonts w:ascii="仿宋" w:hAnsi="仿宋" w:eastAsia="仿宋" w:cs="仿宋"/>
                <w:color w:val="000000" w:themeColor="text1"/>
                <w:spacing w:val="-1"/>
                <w:sz w:val="18"/>
                <w:szCs w:val="18"/>
              </w:rPr>
              <w:t>机动车、非道路移动机械，</w:t>
            </w:r>
            <w:r>
              <w:rPr>
                <w:rFonts w:ascii="仿宋" w:hAnsi="仿宋" w:eastAsia="仿宋" w:cs="仿宋"/>
                <w:color w:val="000000" w:themeColor="text1"/>
                <w:spacing w:val="-4"/>
                <w:sz w:val="18"/>
                <w:szCs w:val="18"/>
              </w:rPr>
              <w:t>流入市场50辆以下的</w:t>
            </w:r>
          </w:p>
        </w:tc>
        <w:tc>
          <w:tcPr>
            <w:tcW w:w="1839" w:type="dxa"/>
            <w:tcBorders>
              <w:left w:val="single" w:color="auto" w:sz="4" w:space="0"/>
              <w:bottom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货值金额在300万元以下</w:t>
            </w:r>
          </w:p>
        </w:tc>
        <w:tc>
          <w:tcPr>
            <w:tcW w:w="82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w:t>
            </w:r>
            <w:r>
              <w:rPr>
                <w:rFonts w:hint="eastAsia" w:ascii="仿宋" w:hAnsi="仿宋" w:eastAsia="仿宋" w:cs="仿宋"/>
                <w:color w:val="000000" w:themeColor="text1"/>
                <w:spacing w:val="-4"/>
                <w:sz w:val="18"/>
                <w:szCs w:val="18"/>
              </w:rPr>
              <w:t>5</w:t>
            </w:r>
            <w:r>
              <w:rPr>
                <w:rFonts w:ascii="仿宋" w:hAnsi="仿宋" w:eastAsia="仿宋" w:cs="仿宋"/>
                <w:color w:val="000000" w:themeColor="text1"/>
                <w:spacing w:val="-4"/>
                <w:sz w:val="18"/>
                <w:szCs w:val="18"/>
              </w:rPr>
              <w:t>%</w:t>
            </w:r>
          </w:p>
        </w:tc>
        <w:tc>
          <w:tcPr>
            <w:tcW w:w="70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2052" w:type="dxa"/>
            <w:vMerge w:val="continue"/>
            <w:tcBorders>
              <w:right w:val="single" w:color="auto" w:sz="4" w:space="0"/>
            </w:tcBorders>
            <w:vAlign w:val="center"/>
          </w:tcPr>
          <w:p>
            <w:pPr>
              <w:spacing w:before="135"/>
              <w:ind w:left="113" w:right="210" w:firstLine="17"/>
              <w:jc w:val="center"/>
              <w:rPr>
                <w:rFonts w:ascii="仿宋" w:hAnsi="仿宋" w:eastAsia="仿宋" w:cs="仿宋"/>
                <w:color w:val="000000" w:themeColor="text1"/>
                <w:spacing w:val="-3"/>
                <w:sz w:val="18"/>
                <w:szCs w:val="18"/>
              </w:rPr>
            </w:pPr>
          </w:p>
        </w:tc>
        <w:tc>
          <w:tcPr>
            <w:tcW w:w="1839" w:type="dxa"/>
            <w:tcBorders>
              <w:top w:val="single" w:color="auto" w:sz="4" w:space="0"/>
              <w:left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货值金额在300万元以上</w:t>
            </w:r>
          </w:p>
        </w:tc>
        <w:tc>
          <w:tcPr>
            <w:tcW w:w="820"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20%</w:t>
            </w:r>
          </w:p>
        </w:tc>
        <w:tc>
          <w:tcPr>
            <w:tcW w:w="70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1" w:hRule="atLeast"/>
        </w:trPr>
        <w:tc>
          <w:tcPr>
            <w:tcW w:w="969" w:type="dxa"/>
            <w:vMerge w:val="continue"/>
            <w:tcBorders>
              <w:top w:val="nil"/>
            </w:tcBorders>
            <w:vAlign w:val="center"/>
          </w:tcPr>
          <w:p>
            <w:pPr>
              <w:jc w:val="center"/>
              <w:rPr>
                <w:rFonts w:ascii="Malgun Gothic"/>
                <w:color w:val="000000" w:themeColor="text1"/>
                <w:sz w:val="18"/>
                <w:szCs w:val="18"/>
              </w:rPr>
            </w:pPr>
          </w:p>
        </w:tc>
        <w:tc>
          <w:tcPr>
            <w:tcW w:w="1248" w:type="dxa"/>
            <w:vMerge w:val="continue"/>
            <w:tcBorders>
              <w:top w:val="nil"/>
            </w:tcBorders>
            <w:vAlign w:val="center"/>
          </w:tcPr>
          <w:p>
            <w:pPr>
              <w:jc w:val="center"/>
              <w:rPr>
                <w:rFonts w:ascii="Malgun Gothic"/>
                <w:color w:val="000000" w:themeColor="text1"/>
                <w:sz w:val="18"/>
                <w:szCs w:val="18"/>
              </w:rPr>
            </w:pPr>
          </w:p>
        </w:tc>
        <w:tc>
          <w:tcPr>
            <w:tcW w:w="904" w:type="dxa"/>
            <w:vMerge w:val="continue"/>
            <w:tcBorders>
              <w:top w:val="nil"/>
            </w:tcBorders>
            <w:vAlign w:val="center"/>
          </w:tcPr>
          <w:p>
            <w:pPr>
              <w:jc w:val="center"/>
              <w:rPr>
                <w:rFonts w:ascii="Malgun Gothic"/>
                <w:color w:val="000000" w:themeColor="text1"/>
                <w:sz w:val="18"/>
                <w:szCs w:val="18"/>
              </w:rPr>
            </w:pPr>
          </w:p>
        </w:tc>
        <w:tc>
          <w:tcPr>
            <w:tcW w:w="2052" w:type="dxa"/>
            <w:vMerge w:val="restart"/>
            <w:tcBorders>
              <w:right w:val="single" w:color="auto" w:sz="4" w:space="0"/>
            </w:tcBorders>
            <w:vAlign w:val="center"/>
          </w:tcPr>
          <w:p>
            <w:pPr>
              <w:spacing w:before="44" w:line="221" w:lineRule="auto"/>
              <w:ind w:left="113" w:right="210" w:firstLine="1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生产超过污染物排放标准的</w:t>
            </w:r>
            <w:r>
              <w:rPr>
                <w:rFonts w:ascii="仿宋" w:hAnsi="仿宋" w:eastAsia="仿宋" w:cs="仿宋"/>
                <w:color w:val="000000" w:themeColor="text1"/>
                <w:spacing w:val="-1"/>
                <w:sz w:val="18"/>
                <w:szCs w:val="18"/>
              </w:rPr>
              <w:t>机动车、非道路移动机械，</w:t>
            </w:r>
            <w:r>
              <w:rPr>
                <w:rFonts w:ascii="仿宋" w:hAnsi="仿宋" w:eastAsia="仿宋" w:cs="仿宋"/>
                <w:color w:val="000000" w:themeColor="text1"/>
                <w:spacing w:val="-4"/>
                <w:sz w:val="18"/>
                <w:szCs w:val="18"/>
              </w:rPr>
              <w:t>流入市场50辆以上的</w:t>
            </w:r>
          </w:p>
        </w:tc>
        <w:tc>
          <w:tcPr>
            <w:tcW w:w="1839" w:type="dxa"/>
            <w:tcBorders>
              <w:left w:val="single" w:color="auto" w:sz="4" w:space="0"/>
              <w:bottom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货值金额在500万元以下</w:t>
            </w:r>
          </w:p>
        </w:tc>
        <w:tc>
          <w:tcPr>
            <w:tcW w:w="82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30</w:t>
            </w:r>
            <w:r>
              <w:rPr>
                <w:rFonts w:ascii="仿宋" w:hAnsi="仿宋" w:eastAsia="仿宋" w:cs="仿宋"/>
                <w:color w:val="000000" w:themeColor="text1"/>
                <w:spacing w:val="-3"/>
                <w:sz w:val="18"/>
                <w:szCs w:val="18"/>
              </w:rPr>
              <w:t>%</w:t>
            </w:r>
          </w:p>
        </w:tc>
        <w:tc>
          <w:tcPr>
            <w:tcW w:w="70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3" w:hRule="atLeast"/>
        </w:trPr>
        <w:tc>
          <w:tcPr>
            <w:tcW w:w="969" w:type="dxa"/>
            <w:vMerge w:val="continue"/>
            <w:vAlign w:val="center"/>
          </w:tcPr>
          <w:p>
            <w:pPr>
              <w:jc w:val="center"/>
              <w:rPr>
                <w:rFonts w:ascii="Malgun Gothic"/>
                <w:color w:val="000000" w:themeColor="text1"/>
                <w:sz w:val="18"/>
                <w:szCs w:val="18"/>
              </w:rPr>
            </w:pPr>
          </w:p>
        </w:tc>
        <w:tc>
          <w:tcPr>
            <w:tcW w:w="1248" w:type="dxa"/>
            <w:vMerge w:val="continue"/>
            <w:vAlign w:val="center"/>
          </w:tcPr>
          <w:p>
            <w:pPr>
              <w:jc w:val="center"/>
              <w:rPr>
                <w:rFonts w:ascii="Malgun Gothic"/>
                <w:color w:val="000000" w:themeColor="text1"/>
                <w:sz w:val="18"/>
                <w:szCs w:val="18"/>
              </w:rPr>
            </w:pPr>
          </w:p>
        </w:tc>
        <w:tc>
          <w:tcPr>
            <w:tcW w:w="904" w:type="dxa"/>
            <w:vMerge w:val="continue"/>
            <w:vAlign w:val="center"/>
          </w:tcPr>
          <w:p>
            <w:pPr>
              <w:jc w:val="center"/>
              <w:rPr>
                <w:rFonts w:ascii="Malgun Gothic"/>
                <w:color w:val="000000" w:themeColor="text1"/>
                <w:sz w:val="18"/>
                <w:szCs w:val="18"/>
              </w:rPr>
            </w:pPr>
          </w:p>
        </w:tc>
        <w:tc>
          <w:tcPr>
            <w:tcW w:w="2052" w:type="dxa"/>
            <w:vMerge w:val="continue"/>
            <w:tcBorders>
              <w:right w:val="single" w:color="auto" w:sz="4" w:space="0"/>
            </w:tcBorders>
            <w:vAlign w:val="center"/>
          </w:tcPr>
          <w:p>
            <w:pPr>
              <w:spacing w:before="44" w:line="221" w:lineRule="auto"/>
              <w:ind w:left="113" w:right="210" w:firstLine="17"/>
              <w:jc w:val="center"/>
              <w:rPr>
                <w:rFonts w:ascii="仿宋" w:hAnsi="仿宋" w:eastAsia="仿宋" w:cs="仿宋"/>
                <w:color w:val="000000" w:themeColor="text1"/>
                <w:spacing w:val="-3"/>
                <w:sz w:val="18"/>
                <w:szCs w:val="18"/>
              </w:rPr>
            </w:pPr>
          </w:p>
        </w:tc>
        <w:tc>
          <w:tcPr>
            <w:tcW w:w="1839" w:type="dxa"/>
            <w:tcBorders>
              <w:top w:val="single" w:color="auto" w:sz="4" w:space="0"/>
              <w:left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货值金额在500万元以上</w:t>
            </w:r>
          </w:p>
        </w:tc>
        <w:tc>
          <w:tcPr>
            <w:tcW w:w="82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70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9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91" w:type="dxa"/>
            <w:gridSpan w:val="2"/>
            <w:vAlign w:val="center"/>
          </w:tcPr>
          <w:p>
            <w:pPr>
              <w:spacing w:before="43"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70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3891"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70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3891" w:type="dxa"/>
            <w:gridSpan w:val="2"/>
            <w:vAlign w:val="center"/>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70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tcBorders>
              <w:top w:val="nil"/>
            </w:tcBorders>
            <w:vAlign w:val="center"/>
          </w:tcPr>
          <w:p>
            <w:pPr>
              <w:jc w:val="center"/>
              <w:rPr>
                <w:rFonts w:ascii="Malgun Gothic"/>
                <w:color w:val="000000" w:themeColor="text1"/>
                <w:sz w:val="18"/>
                <w:szCs w:val="18"/>
              </w:rPr>
            </w:pPr>
          </w:p>
        </w:tc>
        <w:tc>
          <w:tcPr>
            <w:tcW w:w="1248" w:type="dxa"/>
            <w:vMerge w:val="continue"/>
            <w:tcBorders>
              <w:top w:val="nil"/>
            </w:tcBorders>
            <w:vAlign w:val="center"/>
          </w:tcPr>
          <w:p>
            <w:pPr>
              <w:jc w:val="center"/>
              <w:rPr>
                <w:rFonts w:ascii="Malgun Gothic"/>
                <w:color w:val="000000" w:themeColor="text1"/>
                <w:sz w:val="18"/>
                <w:szCs w:val="18"/>
              </w:rPr>
            </w:pPr>
          </w:p>
        </w:tc>
        <w:tc>
          <w:tcPr>
            <w:tcW w:w="904" w:type="dxa"/>
            <w:vMerge w:val="continue"/>
            <w:tcBorders>
              <w:top w:val="nil"/>
            </w:tcBorders>
            <w:vAlign w:val="center"/>
          </w:tcPr>
          <w:p>
            <w:pPr>
              <w:jc w:val="center"/>
              <w:rPr>
                <w:rFonts w:ascii="Malgun Gothic"/>
                <w:color w:val="000000" w:themeColor="text1"/>
                <w:sz w:val="18"/>
                <w:szCs w:val="18"/>
              </w:rPr>
            </w:pPr>
          </w:p>
        </w:tc>
        <w:tc>
          <w:tcPr>
            <w:tcW w:w="3891" w:type="dxa"/>
            <w:gridSpan w:val="2"/>
            <w:vAlign w:val="center"/>
          </w:tcPr>
          <w:p>
            <w:pPr>
              <w:spacing w:before="42"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70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9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91" w:type="dxa"/>
            <w:gridSpan w:val="2"/>
            <w:vAlign w:val="center"/>
          </w:tcPr>
          <w:p>
            <w:pPr>
              <w:spacing w:before="44"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70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3891" w:type="dxa"/>
            <w:gridSpan w:val="2"/>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70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tcBorders>
              <w:top w:val="nil"/>
            </w:tcBorders>
            <w:vAlign w:val="center"/>
          </w:tcPr>
          <w:p>
            <w:pPr>
              <w:jc w:val="center"/>
              <w:rPr>
                <w:rFonts w:ascii="Malgun Gothic"/>
                <w:color w:val="000000" w:themeColor="text1"/>
                <w:sz w:val="18"/>
                <w:szCs w:val="18"/>
              </w:rPr>
            </w:pPr>
          </w:p>
        </w:tc>
        <w:tc>
          <w:tcPr>
            <w:tcW w:w="1248" w:type="dxa"/>
            <w:vMerge w:val="continue"/>
            <w:tcBorders>
              <w:top w:val="nil"/>
            </w:tcBorders>
            <w:vAlign w:val="center"/>
          </w:tcPr>
          <w:p>
            <w:pPr>
              <w:jc w:val="center"/>
              <w:rPr>
                <w:rFonts w:ascii="Malgun Gothic"/>
                <w:color w:val="000000" w:themeColor="text1"/>
                <w:sz w:val="18"/>
                <w:szCs w:val="18"/>
              </w:rPr>
            </w:pPr>
          </w:p>
        </w:tc>
        <w:tc>
          <w:tcPr>
            <w:tcW w:w="904" w:type="dxa"/>
            <w:vMerge w:val="continue"/>
            <w:tcBorders>
              <w:top w:val="nil"/>
            </w:tcBorders>
            <w:vAlign w:val="center"/>
          </w:tcPr>
          <w:p>
            <w:pPr>
              <w:jc w:val="center"/>
              <w:rPr>
                <w:rFonts w:ascii="Malgun Gothic"/>
                <w:color w:val="000000" w:themeColor="text1"/>
                <w:sz w:val="18"/>
                <w:szCs w:val="18"/>
              </w:rPr>
            </w:pPr>
          </w:p>
        </w:tc>
        <w:tc>
          <w:tcPr>
            <w:tcW w:w="3891" w:type="dxa"/>
            <w:gridSpan w:val="2"/>
            <w:vAlign w:val="center"/>
          </w:tcPr>
          <w:p>
            <w:pPr>
              <w:spacing w:before="43"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70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9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91" w:type="dxa"/>
            <w:gridSpan w:val="2"/>
            <w:vAlign w:val="center"/>
          </w:tcPr>
          <w:p>
            <w:pPr>
              <w:spacing w:before="42"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70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tcBorders>
              <w:top w:val="nil"/>
            </w:tcBorders>
            <w:vAlign w:val="center"/>
          </w:tcPr>
          <w:p>
            <w:pPr>
              <w:jc w:val="center"/>
              <w:rPr>
                <w:rFonts w:ascii="Malgun Gothic"/>
                <w:color w:val="000000" w:themeColor="text1"/>
                <w:sz w:val="18"/>
                <w:szCs w:val="18"/>
              </w:rPr>
            </w:pPr>
          </w:p>
        </w:tc>
        <w:tc>
          <w:tcPr>
            <w:tcW w:w="1248" w:type="dxa"/>
            <w:vMerge w:val="continue"/>
            <w:tcBorders>
              <w:top w:val="nil"/>
            </w:tcBorders>
            <w:vAlign w:val="center"/>
          </w:tcPr>
          <w:p>
            <w:pPr>
              <w:jc w:val="center"/>
              <w:rPr>
                <w:rFonts w:ascii="Malgun Gothic"/>
                <w:color w:val="000000" w:themeColor="text1"/>
                <w:sz w:val="18"/>
                <w:szCs w:val="18"/>
              </w:rPr>
            </w:pPr>
          </w:p>
        </w:tc>
        <w:tc>
          <w:tcPr>
            <w:tcW w:w="904" w:type="dxa"/>
            <w:vMerge w:val="continue"/>
            <w:tcBorders>
              <w:top w:val="nil"/>
            </w:tcBorders>
            <w:vAlign w:val="center"/>
          </w:tcPr>
          <w:p>
            <w:pPr>
              <w:jc w:val="center"/>
              <w:rPr>
                <w:rFonts w:ascii="Malgun Gothic"/>
                <w:color w:val="000000" w:themeColor="text1"/>
                <w:sz w:val="18"/>
                <w:szCs w:val="18"/>
              </w:rPr>
            </w:pPr>
          </w:p>
        </w:tc>
        <w:tc>
          <w:tcPr>
            <w:tcW w:w="3891" w:type="dxa"/>
            <w:gridSpan w:val="2"/>
            <w:vAlign w:val="center"/>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70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4"/>
                <w:sz w:val="18"/>
                <w:szCs w:val="18"/>
              </w:rPr>
              <w:t>响或生态</w:t>
            </w:r>
            <w:r>
              <w:rPr>
                <w:rFonts w:ascii="仿宋" w:hAnsi="仿宋" w:eastAsia="仿宋" w:cs="仿宋"/>
                <w:color w:val="000000" w:themeColor="text1"/>
                <w:spacing w:val="-1"/>
                <w:sz w:val="18"/>
                <w:szCs w:val="18"/>
              </w:rPr>
              <w:t>破坏程度</w:t>
            </w:r>
          </w:p>
        </w:tc>
        <w:tc>
          <w:tcPr>
            <w:tcW w:w="1248" w:type="dxa"/>
            <w:vMerge w:val="restart"/>
            <w:vAlign w:val="center"/>
          </w:tcPr>
          <w:p>
            <w:pPr>
              <w:ind w:firstLine="19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904"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91" w:type="dxa"/>
            <w:gridSpan w:val="2"/>
            <w:tcBorders>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无</w:t>
            </w:r>
          </w:p>
        </w:tc>
        <w:tc>
          <w:tcPr>
            <w:tcW w:w="820"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70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vAlign w:val="center"/>
          </w:tcPr>
          <w:p>
            <w:pPr>
              <w:jc w:val="center"/>
              <w:rPr>
                <w:rFonts w:ascii="仿宋" w:hAnsi="仿宋" w:eastAsia="仿宋" w:cs="仿宋"/>
                <w:color w:val="000000" w:themeColor="text1"/>
                <w:spacing w:val="-3"/>
                <w:sz w:val="18"/>
                <w:szCs w:val="18"/>
              </w:rPr>
            </w:pPr>
          </w:p>
        </w:tc>
        <w:tc>
          <w:tcPr>
            <w:tcW w:w="1248" w:type="dxa"/>
            <w:vMerge w:val="continue"/>
            <w:vAlign w:val="center"/>
          </w:tcPr>
          <w:p>
            <w:pPr>
              <w:ind w:firstLine="194"/>
              <w:jc w:val="center"/>
              <w:rPr>
                <w:rFonts w:ascii="仿宋" w:hAnsi="仿宋" w:eastAsia="仿宋" w:cs="仿宋"/>
                <w:color w:val="000000" w:themeColor="text1"/>
                <w:spacing w:val="-1"/>
                <w:sz w:val="18"/>
                <w:szCs w:val="18"/>
              </w:rPr>
            </w:pPr>
          </w:p>
        </w:tc>
        <w:tc>
          <w:tcPr>
            <w:tcW w:w="904" w:type="dxa"/>
            <w:vMerge w:val="continue"/>
            <w:vAlign w:val="center"/>
          </w:tcPr>
          <w:p>
            <w:pPr>
              <w:jc w:val="center"/>
              <w:rPr>
                <w:rFonts w:ascii="仿宋" w:hAnsi="仿宋" w:eastAsia="仿宋" w:cs="仿宋"/>
                <w:color w:val="000000" w:themeColor="text1"/>
                <w:spacing w:val="-7"/>
                <w:sz w:val="18"/>
                <w:szCs w:val="18"/>
              </w:rPr>
            </w:pPr>
          </w:p>
        </w:tc>
        <w:tc>
          <w:tcPr>
            <w:tcW w:w="389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82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70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vAlign w:val="center"/>
          </w:tcPr>
          <w:p>
            <w:pPr>
              <w:jc w:val="center"/>
              <w:rPr>
                <w:rFonts w:ascii="仿宋" w:hAnsi="仿宋" w:eastAsia="仿宋" w:cs="仿宋"/>
                <w:color w:val="000000" w:themeColor="text1"/>
                <w:spacing w:val="-3"/>
                <w:sz w:val="18"/>
                <w:szCs w:val="18"/>
              </w:rPr>
            </w:pPr>
          </w:p>
        </w:tc>
        <w:tc>
          <w:tcPr>
            <w:tcW w:w="1248" w:type="dxa"/>
            <w:vMerge w:val="continue"/>
            <w:vAlign w:val="center"/>
          </w:tcPr>
          <w:p>
            <w:pPr>
              <w:ind w:firstLine="194"/>
              <w:jc w:val="center"/>
              <w:rPr>
                <w:rFonts w:ascii="仿宋" w:hAnsi="仿宋" w:eastAsia="仿宋" w:cs="仿宋"/>
                <w:color w:val="000000" w:themeColor="text1"/>
                <w:spacing w:val="-1"/>
                <w:sz w:val="18"/>
                <w:szCs w:val="18"/>
              </w:rPr>
            </w:pPr>
          </w:p>
        </w:tc>
        <w:tc>
          <w:tcPr>
            <w:tcW w:w="904" w:type="dxa"/>
            <w:vMerge w:val="continue"/>
            <w:vAlign w:val="center"/>
          </w:tcPr>
          <w:p>
            <w:pPr>
              <w:jc w:val="center"/>
              <w:rPr>
                <w:rFonts w:ascii="仿宋" w:hAnsi="仿宋" w:eastAsia="仿宋" w:cs="仿宋"/>
                <w:color w:val="000000" w:themeColor="text1"/>
                <w:spacing w:val="-7"/>
                <w:sz w:val="18"/>
                <w:szCs w:val="18"/>
              </w:rPr>
            </w:pPr>
          </w:p>
        </w:tc>
        <w:tc>
          <w:tcPr>
            <w:tcW w:w="389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82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70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vAlign w:val="center"/>
          </w:tcPr>
          <w:p>
            <w:pPr>
              <w:jc w:val="center"/>
              <w:rPr>
                <w:rFonts w:ascii="仿宋" w:hAnsi="仿宋" w:eastAsia="仿宋" w:cs="仿宋"/>
                <w:color w:val="000000" w:themeColor="text1"/>
                <w:spacing w:val="-3"/>
                <w:sz w:val="18"/>
                <w:szCs w:val="18"/>
              </w:rPr>
            </w:pPr>
          </w:p>
        </w:tc>
        <w:tc>
          <w:tcPr>
            <w:tcW w:w="1248" w:type="dxa"/>
            <w:vMerge w:val="continue"/>
            <w:vAlign w:val="center"/>
          </w:tcPr>
          <w:p>
            <w:pPr>
              <w:ind w:firstLine="194"/>
              <w:jc w:val="center"/>
              <w:rPr>
                <w:rFonts w:ascii="仿宋" w:hAnsi="仿宋" w:eastAsia="仿宋" w:cs="仿宋"/>
                <w:color w:val="000000" w:themeColor="text1"/>
                <w:spacing w:val="-1"/>
                <w:sz w:val="18"/>
                <w:szCs w:val="18"/>
              </w:rPr>
            </w:pPr>
          </w:p>
        </w:tc>
        <w:tc>
          <w:tcPr>
            <w:tcW w:w="904" w:type="dxa"/>
            <w:vMerge w:val="continue"/>
            <w:vAlign w:val="center"/>
          </w:tcPr>
          <w:p>
            <w:pPr>
              <w:jc w:val="center"/>
              <w:rPr>
                <w:rFonts w:ascii="仿宋" w:hAnsi="仿宋" w:eastAsia="仿宋" w:cs="仿宋"/>
                <w:color w:val="000000" w:themeColor="text1"/>
                <w:spacing w:val="-7"/>
                <w:sz w:val="18"/>
                <w:szCs w:val="18"/>
              </w:rPr>
            </w:pPr>
          </w:p>
        </w:tc>
        <w:tc>
          <w:tcPr>
            <w:tcW w:w="389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820"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70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969" w:type="dxa"/>
            <w:vMerge w:val="continue"/>
            <w:vAlign w:val="center"/>
          </w:tcPr>
          <w:p>
            <w:pPr>
              <w:spacing w:before="42" w:line="184" w:lineRule="auto"/>
              <w:ind w:firstLine="139"/>
              <w:jc w:val="center"/>
              <w:rPr>
                <w:rFonts w:ascii="仿宋" w:hAnsi="仿宋" w:eastAsia="仿宋" w:cs="仿宋"/>
                <w:color w:val="000000" w:themeColor="text1"/>
                <w:spacing w:val="-3"/>
                <w:sz w:val="18"/>
                <w:szCs w:val="18"/>
              </w:rPr>
            </w:pPr>
          </w:p>
        </w:tc>
        <w:tc>
          <w:tcPr>
            <w:tcW w:w="1248" w:type="dxa"/>
            <w:vMerge w:val="continue"/>
            <w:vAlign w:val="center"/>
          </w:tcPr>
          <w:p>
            <w:pPr>
              <w:spacing w:before="42" w:line="184" w:lineRule="auto"/>
              <w:ind w:firstLine="194"/>
              <w:jc w:val="center"/>
              <w:rPr>
                <w:rFonts w:ascii="仿宋" w:hAnsi="仿宋" w:eastAsia="仿宋" w:cs="仿宋"/>
                <w:color w:val="000000" w:themeColor="text1"/>
                <w:spacing w:val="-1"/>
                <w:sz w:val="18"/>
                <w:szCs w:val="18"/>
              </w:rPr>
            </w:pPr>
          </w:p>
        </w:tc>
        <w:tc>
          <w:tcPr>
            <w:tcW w:w="904" w:type="dxa"/>
            <w:vMerge w:val="continue"/>
            <w:vAlign w:val="center"/>
          </w:tcPr>
          <w:p>
            <w:pPr>
              <w:spacing w:before="42" w:line="184" w:lineRule="auto"/>
              <w:ind w:firstLine="348"/>
              <w:jc w:val="center"/>
              <w:rPr>
                <w:rFonts w:ascii="仿宋" w:hAnsi="仿宋" w:eastAsia="仿宋" w:cs="仿宋"/>
                <w:color w:val="000000" w:themeColor="text1"/>
                <w:spacing w:val="-7"/>
                <w:sz w:val="18"/>
                <w:szCs w:val="18"/>
              </w:rPr>
            </w:pPr>
          </w:p>
        </w:tc>
        <w:tc>
          <w:tcPr>
            <w:tcW w:w="3891"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严重（4 级）</w:t>
            </w:r>
          </w:p>
        </w:tc>
        <w:tc>
          <w:tcPr>
            <w:tcW w:w="82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70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8539" w:type="dxa"/>
            <w:gridSpan w:val="7"/>
            <w:vAlign w:val="center"/>
          </w:tcPr>
          <w:p>
            <w:pPr>
              <w:spacing w:before="73"/>
              <w:ind w:right="108"/>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公式：罚款金额=货值金额×1～3（由总百分值确定），但罚款金额不能低于收取费用额的1倍。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8539"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b/>
          <w:bCs/>
          <w:color w:val="000000" w:themeColor="text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1.《中华人民共和国大气污染防治法》第五十一条机动车船、非道路移动机械不得超过标准排放大气污染物。禁止生产、进口或者销售大气污染物排放超过标准的机动车船、非道路移动机械。</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九条第一款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spacing w:before="73"/>
        <w:ind w:right="108" w:firstLine="360" w:firstLineChars="20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总百分值表</w:t>
      </w:r>
    </w:p>
    <w:tbl>
      <w:tblPr>
        <w:tblStyle w:val="12"/>
        <w:tblpPr w:leftFromText="180" w:rightFromText="180" w:vertAnchor="text" w:horzAnchor="page" w:tblpX="3279" w:tblpY="1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w:t>
            </w:r>
            <w:r>
              <w:rPr>
                <w:rFonts w:hint="eastAsia" w:ascii="仿宋_GB2312" w:hAnsi="仿宋_GB2312" w:eastAsia="仿宋_GB2312" w:cs="仿宋_GB2312"/>
                <w:color w:val="000000" w:themeColor="text1"/>
                <w:sz w:val="18"/>
                <w:szCs w:val="18"/>
              </w:rPr>
              <w:t>额×</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3</w:t>
            </w:r>
          </w:p>
        </w:tc>
      </w:tr>
    </w:tbl>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8"/>
          <w:szCs w:val="28"/>
        </w:rPr>
      </w:pPr>
      <w:bookmarkStart w:id="138" w:name="_Toc23854"/>
      <w:bookmarkStart w:id="139" w:name="_Toc7679"/>
      <w:r>
        <w:rPr>
          <w:rFonts w:hint="eastAsia" w:ascii="仿宋" w:hAnsi="仿宋" w:eastAsia="仿宋" w:cs="仿宋"/>
          <w:b/>
          <w:bCs/>
          <w:color w:val="000000" w:themeColor="text1"/>
          <w:kern w:val="0"/>
          <w:sz w:val="24"/>
        </w:rPr>
        <w:t>表28机动车、非道路移动机械生产企业对发动机、污染控制装置弄虚作假、以次充好，冒充排放检验合格产品出厂销售的罚款幅度裁定</w:t>
      </w:r>
      <w:bookmarkEnd w:id="138"/>
      <w:bookmarkEnd w:id="139"/>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438"/>
        <w:gridCol w:w="720"/>
        <w:gridCol w:w="2595"/>
        <w:gridCol w:w="1283"/>
        <w:gridCol w:w="617"/>
        <w:gridCol w:w="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3" w:hRule="atLeast"/>
        </w:trPr>
        <w:tc>
          <w:tcPr>
            <w:tcW w:w="3369" w:type="dxa"/>
            <w:gridSpan w:val="3"/>
          </w:tcPr>
          <w:p>
            <w:pPr>
              <w:spacing w:before="176"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10" w:type="dxa"/>
            <w:gridSpan w:val="4"/>
          </w:tcPr>
          <w:p>
            <w:pPr>
              <w:spacing w:before="176" w:line="184" w:lineRule="auto"/>
              <w:ind w:firstLine="1674"/>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9" w:hRule="atLeast"/>
        </w:trPr>
        <w:tc>
          <w:tcPr>
            <w:tcW w:w="121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3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7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1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595" w:type="dxa"/>
            <w:vMerge w:val="restart"/>
            <w:tcBorders>
              <w:right w:val="single" w:color="auto" w:sz="4" w:space="0"/>
            </w:tcBorders>
            <w:vAlign w:val="center"/>
          </w:tcPr>
          <w:p>
            <w:pPr>
              <w:spacing w:before="39" w:line="226" w:lineRule="auto"/>
              <w:ind w:left="127" w:right="210" w:hanging="16"/>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销售弄虚作假、以次充好，</w:t>
            </w:r>
            <w:r>
              <w:rPr>
                <w:rFonts w:ascii="仿宋" w:hAnsi="仿宋" w:eastAsia="仿宋" w:cs="仿宋"/>
                <w:color w:val="000000" w:themeColor="text1"/>
                <w:spacing w:val="-2"/>
                <w:sz w:val="18"/>
                <w:szCs w:val="18"/>
              </w:rPr>
              <w:t>冒充排放检验合格产品的发动机、污染控制装置数量在</w:t>
            </w:r>
            <w:r>
              <w:rPr>
                <w:rFonts w:ascii="仿宋" w:hAnsi="仿宋" w:eastAsia="仿宋" w:cs="仿宋"/>
                <w:color w:val="000000" w:themeColor="text1"/>
                <w:spacing w:val="-6"/>
                <w:sz w:val="18"/>
                <w:szCs w:val="18"/>
              </w:rPr>
              <w:t>50辆以内的</w:t>
            </w:r>
          </w:p>
        </w:tc>
        <w:tc>
          <w:tcPr>
            <w:tcW w:w="1283" w:type="dxa"/>
            <w:tcBorders>
              <w:lef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普通车辆</w:t>
            </w:r>
          </w:p>
        </w:tc>
        <w:tc>
          <w:tcPr>
            <w:tcW w:w="617"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1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vAlign w:val="center"/>
          </w:tcPr>
          <w:p>
            <w:pPr>
              <w:jc w:val="center"/>
              <w:rPr>
                <w:rFonts w:ascii="仿宋" w:hAnsi="仿宋" w:eastAsia="仿宋" w:cs="仿宋"/>
                <w:color w:val="000000" w:themeColor="text1"/>
                <w:spacing w:val="-3"/>
                <w:sz w:val="18"/>
                <w:szCs w:val="18"/>
              </w:rPr>
            </w:pPr>
          </w:p>
        </w:tc>
        <w:tc>
          <w:tcPr>
            <w:tcW w:w="1438"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6"/>
                <w:sz w:val="18"/>
                <w:szCs w:val="18"/>
              </w:rPr>
            </w:pPr>
          </w:p>
        </w:tc>
        <w:tc>
          <w:tcPr>
            <w:tcW w:w="2595" w:type="dxa"/>
            <w:vMerge w:val="continue"/>
            <w:tcBorders>
              <w:righ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p>
        </w:tc>
        <w:tc>
          <w:tcPr>
            <w:tcW w:w="1283" w:type="dxa"/>
            <w:tcBorders>
              <w:top w:val="single" w:color="auto" w:sz="4" w:space="0"/>
              <w:lef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7"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1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top w:val="nil"/>
            </w:tcBorders>
            <w:vAlign w:val="center"/>
          </w:tcPr>
          <w:p>
            <w:pPr>
              <w:jc w:val="center"/>
              <w:rPr>
                <w:rFonts w:ascii="Malgun Gothic"/>
                <w:color w:val="000000" w:themeColor="text1"/>
                <w:sz w:val="18"/>
                <w:szCs w:val="18"/>
              </w:rPr>
            </w:pPr>
          </w:p>
        </w:tc>
        <w:tc>
          <w:tcPr>
            <w:tcW w:w="1438"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2595" w:type="dxa"/>
            <w:vMerge w:val="restart"/>
            <w:tcBorders>
              <w:right w:val="single" w:color="auto" w:sz="4" w:space="0"/>
            </w:tcBorders>
            <w:vAlign w:val="center"/>
          </w:tcPr>
          <w:p>
            <w:pPr>
              <w:spacing w:before="42" w:line="226" w:lineRule="auto"/>
              <w:ind w:left="127" w:right="210" w:hanging="16"/>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销售弄虚作假、以次充好，</w:t>
            </w:r>
            <w:r>
              <w:rPr>
                <w:rFonts w:ascii="仿宋" w:hAnsi="仿宋" w:eastAsia="仿宋" w:cs="仿宋"/>
                <w:color w:val="000000" w:themeColor="text1"/>
                <w:spacing w:val="-2"/>
                <w:sz w:val="18"/>
                <w:szCs w:val="18"/>
              </w:rPr>
              <w:t>冒充排放检验合格产品的发动机、污染控制装置数量在</w:t>
            </w:r>
            <w:r>
              <w:rPr>
                <w:rFonts w:ascii="仿宋" w:hAnsi="仿宋" w:eastAsia="仿宋" w:cs="仿宋"/>
                <w:color w:val="000000" w:themeColor="text1"/>
                <w:spacing w:val="-6"/>
                <w:sz w:val="18"/>
                <w:szCs w:val="18"/>
              </w:rPr>
              <w:t>50辆以上的</w:t>
            </w:r>
          </w:p>
        </w:tc>
        <w:tc>
          <w:tcPr>
            <w:tcW w:w="1283" w:type="dxa"/>
            <w:tcBorders>
              <w:lef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普通车辆</w:t>
            </w:r>
          </w:p>
        </w:tc>
        <w:tc>
          <w:tcPr>
            <w:tcW w:w="617" w:type="dxa"/>
            <w:tcBorders>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1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vAlign w:val="center"/>
          </w:tcPr>
          <w:p>
            <w:pPr>
              <w:jc w:val="center"/>
              <w:rPr>
                <w:rFonts w:ascii="Malgun Gothic"/>
                <w:color w:val="000000" w:themeColor="text1"/>
                <w:sz w:val="18"/>
                <w:szCs w:val="18"/>
              </w:rPr>
            </w:pPr>
          </w:p>
        </w:tc>
        <w:tc>
          <w:tcPr>
            <w:tcW w:w="1438"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2595" w:type="dxa"/>
            <w:vMerge w:val="continue"/>
            <w:tcBorders>
              <w:right w:val="single" w:color="auto" w:sz="4" w:space="0"/>
            </w:tcBorders>
            <w:vAlign w:val="center"/>
          </w:tcPr>
          <w:p>
            <w:pPr>
              <w:spacing w:before="42" w:line="226" w:lineRule="auto"/>
              <w:ind w:left="127" w:right="210" w:hanging="16"/>
              <w:rPr>
                <w:rFonts w:ascii="仿宋" w:hAnsi="仿宋" w:eastAsia="仿宋" w:cs="仿宋"/>
                <w:color w:val="000000" w:themeColor="text1"/>
                <w:spacing w:val="-1"/>
                <w:sz w:val="18"/>
                <w:szCs w:val="18"/>
              </w:rPr>
            </w:pPr>
          </w:p>
        </w:tc>
        <w:tc>
          <w:tcPr>
            <w:tcW w:w="1283" w:type="dxa"/>
            <w:tcBorders>
              <w:top w:val="single" w:color="auto" w:sz="4" w:space="0"/>
              <w:lef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7"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1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78" w:type="dxa"/>
            <w:gridSpan w:val="2"/>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15"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top w:val="nil"/>
              <w:bottom w:val="nil"/>
            </w:tcBorders>
            <w:vAlign w:val="center"/>
          </w:tcPr>
          <w:p>
            <w:pPr>
              <w:jc w:val="center"/>
              <w:rPr>
                <w:rFonts w:ascii="Malgun Gothic"/>
                <w:color w:val="000000" w:themeColor="text1"/>
                <w:sz w:val="18"/>
                <w:szCs w:val="18"/>
              </w:rPr>
            </w:pPr>
          </w:p>
        </w:tc>
        <w:tc>
          <w:tcPr>
            <w:tcW w:w="1438" w:type="dxa"/>
            <w:vMerge w:val="continue"/>
            <w:tcBorders>
              <w:top w:val="nil"/>
              <w:bottom w:val="nil"/>
            </w:tcBorders>
            <w:vAlign w:val="center"/>
          </w:tcPr>
          <w:p>
            <w:pPr>
              <w:jc w:val="center"/>
              <w:rPr>
                <w:rFonts w:ascii="Malgun Gothic"/>
                <w:color w:val="000000" w:themeColor="text1"/>
                <w:sz w:val="18"/>
                <w:szCs w:val="18"/>
              </w:rPr>
            </w:pPr>
          </w:p>
        </w:tc>
        <w:tc>
          <w:tcPr>
            <w:tcW w:w="720" w:type="dxa"/>
            <w:vMerge w:val="continue"/>
            <w:tcBorders>
              <w:top w:val="nil"/>
              <w:bottom w:val="nil"/>
            </w:tcBorders>
            <w:vAlign w:val="center"/>
          </w:tcPr>
          <w:p>
            <w:pPr>
              <w:jc w:val="center"/>
              <w:rPr>
                <w:rFonts w:ascii="Malgun Gothic"/>
                <w:color w:val="000000" w:themeColor="text1"/>
                <w:sz w:val="18"/>
                <w:szCs w:val="18"/>
              </w:rPr>
            </w:pPr>
          </w:p>
        </w:tc>
        <w:tc>
          <w:tcPr>
            <w:tcW w:w="3878"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1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top w:val="nil"/>
              <w:bottom w:val="nil"/>
            </w:tcBorders>
            <w:vAlign w:val="center"/>
          </w:tcPr>
          <w:p>
            <w:pPr>
              <w:jc w:val="center"/>
              <w:rPr>
                <w:rFonts w:ascii="Malgun Gothic"/>
                <w:color w:val="000000" w:themeColor="text1"/>
                <w:sz w:val="18"/>
                <w:szCs w:val="18"/>
              </w:rPr>
            </w:pPr>
          </w:p>
        </w:tc>
        <w:tc>
          <w:tcPr>
            <w:tcW w:w="1438" w:type="dxa"/>
            <w:vMerge w:val="continue"/>
            <w:tcBorders>
              <w:top w:val="nil"/>
              <w:bottom w:val="nil"/>
            </w:tcBorders>
            <w:vAlign w:val="center"/>
          </w:tcPr>
          <w:p>
            <w:pPr>
              <w:jc w:val="center"/>
              <w:rPr>
                <w:rFonts w:ascii="Malgun Gothic"/>
                <w:color w:val="000000" w:themeColor="text1"/>
                <w:sz w:val="18"/>
                <w:szCs w:val="18"/>
              </w:rPr>
            </w:pPr>
          </w:p>
        </w:tc>
        <w:tc>
          <w:tcPr>
            <w:tcW w:w="720" w:type="dxa"/>
            <w:vMerge w:val="continue"/>
            <w:tcBorders>
              <w:top w:val="nil"/>
              <w:bottom w:val="nil"/>
            </w:tcBorders>
            <w:vAlign w:val="center"/>
          </w:tcPr>
          <w:p>
            <w:pPr>
              <w:jc w:val="center"/>
              <w:rPr>
                <w:rFonts w:ascii="Malgun Gothic"/>
                <w:color w:val="000000" w:themeColor="text1"/>
                <w:sz w:val="18"/>
                <w:szCs w:val="18"/>
              </w:rPr>
            </w:pPr>
          </w:p>
        </w:tc>
        <w:tc>
          <w:tcPr>
            <w:tcW w:w="3878" w:type="dxa"/>
            <w:gridSpan w:val="2"/>
            <w:vAlign w:val="center"/>
          </w:tcPr>
          <w:p>
            <w:pPr>
              <w:spacing w:before="41"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1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top w:val="nil"/>
            </w:tcBorders>
            <w:vAlign w:val="center"/>
          </w:tcPr>
          <w:p>
            <w:pPr>
              <w:jc w:val="center"/>
              <w:rPr>
                <w:rFonts w:ascii="Malgun Gothic"/>
                <w:color w:val="000000" w:themeColor="text1"/>
                <w:sz w:val="18"/>
                <w:szCs w:val="18"/>
              </w:rPr>
            </w:pPr>
          </w:p>
        </w:tc>
        <w:tc>
          <w:tcPr>
            <w:tcW w:w="1438"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3878" w:type="dxa"/>
            <w:gridSpan w:val="2"/>
            <w:vAlign w:val="center"/>
          </w:tcPr>
          <w:p>
            <w:pPr>
              <w:spacing w:before="41"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15"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78" w:type="dxa"/>
            <w:gridSpan w:val="2"/>
            <w:vAlign w:val="center"/>
          </w:tcPr>
          <w:p>
            <w:pPr>
              <w:spacing w:before="41"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1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top w:val="nil"/>
              <w:bottom w:val="nil"/>
            </w:tcBorders>
            <w:vAlign w:val="center"/>
          </w:tcPr>
          <w:p>
            <w:pPr>
              <w:jc w:val="center"/>
              <w:rPr>
                <w:rFonts w:ascii="Malgun Gothic"/>
                <w:color w:val="000000" w:themeColor="text1"/>
                <w:sz w:val="18"/>
                <w:szCs w:val="18"/>
              </w:rPr>
            </w:pPr>
          </w:p>
        </w:tc>
        <w:tc>
          <w:tcPr>
            <w:tcW w:w="1438" w:type="dxa"/>
            <w:vMerge w:val="continue"/>
            <w:tcBorders>
              <w:top w:val="nil"/>
              <w:bottom w:val="nil"/>
            </w:tcBorders>
            <w:vAlign w:val="center"/>
          </w:tcPr>
          <w:p>
            <w:pPr>
              <w:jc w:val="center"/>
              <w:rPr>
                <w:rFonts w:ascii="Malgun Gothic"/>
                <w:color w:val="000000" w:themeColor="text1"/>
                <w:sz w:val="18"/>
                <w:szCs w:val="18"/>
              </w:rPr>
            </w:pPr>
          </w:p>
        </w:tc>
        <w:tc>
          <w:tcPr>
            <w:tcW w:w="720" w:type="dxa"/>
            <w:vMerge w:val="continue"/>
            <w:tcBorders>
              <w:top w:val="nil"/>
              <w:bottom w:val="nil"/>
            </w:tcBorders>
            <w:vAlign w:val="center"/>
          </w:tcPr>
          <w:p>
            <w:pPr>
              <w:jc w:val="center"/>
              <w:rPr>
                <w:rFonts w:ascii="Malgun Gothic"/>
                <w:color w:val="000000" w:themeColor="text1"/>
                <w:sz w:val="18"/>
                <w:szCs w:val="18"/>
              </w:rPr>
            </w:pPr>
          </w:p>
        </w:tc>
        <w:tc>
          <w:tcPr>
            <w:tcW w:w="3878" w:type="dxa"/>
            <w:gridSpan w:val="2"/>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1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top w:val="nil"/>
            </w:tcBorders>
            <w:vAlign w:val="center"/>
          </w:tcPr>
          <w:p>
            <w:pPr>
              <w:jc w:val="center"/>
              <w:rPr>
                <w:rFonts w:ascii="Malgun Gothic"/>
                <w:color w:val="000000" w:themeColor="text1"/>
                <w:sz w:val="18"/>
                <w:szCs w:val="18"/>
              </w:rPr>
            </w:pPr>
          </w:p>
        </w:tc>
        <w:tc>
          <w:tcPr>
            <w:tcW w:w="1438"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3878" w:type="dxa"/>
            <w:gridSpan w:val="2"/>
            <w:vAlign w:val="center"/>
          </w:tcPr>
          <w:p>
            <w:pPr>
              <w:spacing w:before="42"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15"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3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20"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78" w:type="dxa"/>
            <w:gridSpan w:val="2"/>
            <w:tcBorders>
              <w:bottom w:val="single" w:color="000000" w:sz="2" w:space="0"/>
            </w:tcBorders>
            <w:vAlign w:val="center"/>
          </w:tcPr>
          <w:p>
            <w:pPr>
              <w:spacing w:before="42" w:line="184" w:lineRule="auto"/>
              <w:ind w:firstLine="120"/>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配合检查的</w:t>
            </w:r>
          </w:p>
        </w:tc>
        <w:tc>
          <w:tcPr>
            <w:tcW w:w="617"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615"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5"/>
                <w:sz w:val="18"/>
                <w:szCs w:val="18"/>
              </w:rPr>
            </w:pPr>
          </w:p>
        </w:tc>
        <w:tc>
          <w:tcPr>
            <w:tcW w:w="1438" w:type="dxa"/>
            <w:vMerge w:val="continue"/>
            <w:tcBorders>
              <w:top w:val="single" w:color="000000" w:sz="2" w:space="0"/>
              <w:bottom w:val="single" w:color="000000" w:sz="2" w:space="0"/>
            </w:tcBorders>
            <w:vAlign w:val="center"/>
          </w:tcPr>
          <w:p>
            <w:pPr>
              <w:ind w:firstLine="199"/>
              <w:jc w:val="center"/>
              <w:rPr>
                <w:rFonts w:ascii="仿宋" w:hAnsi="仿宋" w:eastAsia="仿宋" w:cs="仿宋"/>
                <w:color w:val="000000" w:themeColor="text1"/>
                <w:spacing w:val="-4"/>
                <w:sz w:val="18"/>
                <w:szCs w:val="18"/>
              </w:rPr>
            </w:pPr>
          </w:p>
        </w:tc>
        <w:tc>
          <w:tcPr>
            <w:tcW w:w="720" w:type="dxa"/>
            <w:vMerge w:val="continue"/>
            <w:tcBorders>
              <w:top w:val="single" w:color="000000" w:sz="2" w:space="0"/>
              <w:bottom w:val="single" w:color="000000" w:sz="2" w:space="0"/>
            </w:tcBorders>
            <w:vAlign w:val="center"/>
          </w:tcPr>
          <w:p>
            <w:pPr>
              <w:ind w:firstLine="350"/>
              <w:jc w:val="center"/>
              <w:rPr>
                <w:rFonts w:ascii="仿宋" w:hAnsi="仿宋" w:eastAsia="仿宋" w:cs="仿宋"/>
                <w:color w:val="000000" w:themeColor="text1"/>
                <w:spacing w:val="-9"/>
                <w:sz w:val="18"/>
                <w:szCs w:val="18"/>
              </w:rPr>
            </w:pPr>
          </w:p>
        </w:tc>
        <w:tc>
          <w:tcPr>
            <w:tcW w:w="3878" w:type="dxa"/>
            <w:gridSpan w:val="2"/>
            <w:tcBorders>
              <w:top w:val="single" w:color="000000" w:sz="2" w:space="0"/>
              <w:bottom w:val="single" w:color="000000" w:sz="2" w:space="0"/>
            </w:tcBorders>
            <w:vAlign w:val="center"/>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17"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615"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3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2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78" w:type="dxa"/>
            <w:gridSpan w:val="2"/>
            <w:tcBorders>
              <w:top w:val="single" w:color="000000" w:sz="2" w:space="0"/>
              <w:bottom w:val="single" w:color="000000" w:sz="2"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17" w:type="dxa"/>
            <w:tcBorders>
              <w:top w:val="single" w:color="000000" w:sz="2" w:space="0"/>
              <w:bottom w:val="single" w:color="000000" w:sz="2"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15"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1438"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720"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3878" w:type="dxa"/>
            <w:gridSpan w:val="2"/>
            <w:tcBorders>
              <w:top w:val="single" w:color="000000" w:sz="2" w:space="0"/>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617" w:type="dxa"/>
            <w:tcBorders>
              <w:top w:val="single" w:color="000000" w:sz="2" w:space="0"/>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15"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bottom w:val="single" w:color="000000" w:sz="2" w:space="0"/>
            </w:tcBorders>
          </w:tcPr>
          <w:p>
            <w:pPr>
              <w:rPr>
                <w:rFonts w:ascii="Malgun Gothic"/>
                <w:color w:val="000000" w:themeColor="text1"/>
                <w:sz w:val="18"/>
                <w:szCs w:val="18"/>
              </w:rPr>
            </w:pPr>
          </w:p>
        </w:tc>
        <w:tc>
          <w:tcPr>
            <w:tcW w:w="1438" w:type="dxa"/>
            <w:vMerge w:val="continue"/>
            <w:tcBorders>
              <w:bottom w:val="single" w:color="000000" w:sz="2" w:space="0"/>
            </w:tcBorders>
          </w:tcPr>
          <w:p>
            <w:pPr>
              <w:rPr>
                <w:rFonts w:ascii="Malgun Gothic"/>
                <w:color w:val="000000" w:themeColor="text1"/>
                <w:sz w:val="18"/>
                <w:szCs w:val="18"/>
              </w:rPr>
            </w:pPr>
          </w:p>
        </w:tc>
        <w:tc>
          <w:tcPr>
            <w:tcW w:w="720" w:type="dxa"/>
            <w:vMerge w:val="continue"/>
            <w:tcBorders>
              <w:bottom w:val="single" w:color="000000" w:sz="2" w:space="0"/>
            </w:tcBorders>
          </w:tcPr>
          <w:p>
            <w:pPr>
              <w:rPr>
                <w:rFonts w:ascii="Malgun Gothic"/>
                <w:color w:val="000000" w:themeColor="text1"/>
                <w:sz w:val="18"/>
                <w:szCs w:val="18"/>
              </w:rPr>
            </w:pPr>
          </w:p>
        </w:tc>
        <w:tc>
          <w:tcPr>
            <w:tcW w:w="3878"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1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1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bottom w:val="single" w:color="000000" w:sz="2" w:space="0"/>
            </w:tcBorders>
          </w:tcPr>
          <w:p>
            <w:pPr>
              <w:rPr>
                <w:rFonts w:ascii="Malgun Gothic"/>
                <w:color w:val="000000" w:themeColor="text1"/>
                <w:sz w:val="18"/>
                <w:szCs w:val="18"/>
              </w:rPr>
            </w:pPr>
          </w:p>
        </w:tc>
        <w:tc>
          <w:tcPr>
            <w:tcW w:w="1438" w:type="dxa"/>
            <w:vMerge w:val="continue"/>
            <w:tcBorders>
              <w:bottom w:val="single" w:color="000000" w:sz="2" w:space="0"/>
            </w:tcBorders>
          </w:tcPr>
          <w:p>
            <w:pPr>
              <w:rPr>
                <w:rFonts w:ascii="Malgun Gothic"/>
                <w:color w:val="000000" w:themeColor="text1"/>
                <w:sz w:val="18"/>
                <w:szCs w:val="18"/>
              </w:rPr>
            </w:pPr>
          </w:p>
        </w:tc>
        <w:tc>
          <w:tcPr>
            <w:tcW w:w="720" w:type="dxa"/>
            <w:vMerge w:val="continue"/>
            <w:tcBorders>
              <w:bottom w:val="single" w:color="000000" w:sz="2" w:space="0"/>
            </w:tcBorders>
          </w:tcPr>
          <w:p>
            <w:pPr>
              <w:rPr>
                <w:rFonts w:ascii="Malgun Gothic"/>
                <w:color w:val="000000" w:themeColor="text1"/>
                <w:sz w:val="18"/>
                <w:szCs w:val="18"/>
              </w:rPr>
            </w:pPr>
          </w:p>
        </w:tc>
        <w:tc>
          <w:tcPr>
            <w:tcW w:w="3878"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17"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1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1" w:type="dxa"/>
            <w:vMerge w:val="continue"/>
            <w:tcBorders>
              <w:bottom w:val="single" w:color="000000" w:sz="2" w:space="0"/>
            </w:tcBorders>
          </w:tcPr>
          <w:p>
            <w:pPr>
              <w:rPr>
                <w:rFonts w:ascii="Malgun Gothic"/>
                <w:color w:val="000000" w:themeColor="text1"/>
                <w:sz w:val="18"/>
                <w:szCs w:val="18"/>
              </w:rPr>
            </w:pPr>
          </w:p>
        </w:tc>
        <w:tc>
          <w:tcPr>
            <w:tcW w:w="1438" w:type="dxa"/>
            <w:vMerge w:val="continue"/>
            <w:tcBorders>
              <w:bottom w:val="single" w:color="000000" w:sz="2" w:space="0"/>
            </w:tcBorders>
          </w:tcPr>
          <w:p>
            <w:pPr>
              <w:rPr>
                <w:rFonts w:ascii="Malgun Gothic"/>
                <w:color w:val="000000" w:themeColor="text1"/>
                <w:sz w:val="18"/>
                <w:szCs w:val="18"/>
              </w:rPr>
            </w:pPr>
          </w:p>
        </w:tc>
        <w:tc>
          <w:tcPr>
            <w:tcW w:w="720" w:type="dxa"/>
            <w:vMerge w:val="continue"/>
            <w:tcBorders>
              <w:bottom w:val="single" w:color="000000" w:sz="2" w:space="0"/>
            </w:tcBorders>
          </w:tcPr>
          <w:p>
            <w:pPr>
              <w:rPr>
                <w:rFonts w:ascii="Malgun Gothic"/>
                <w:color w:val="000000" w:themeColor="text1"/>
                <w:sz w:val="18"/>
                <w:szCs w:val="18"/>
              </w:rPr>
            </w:pPr>
          </w:p>
        </w:tc>
        <w:tc>
          <w:tcPr>
            <w:tcW w:w="3878" w:type="dxa"/>
            <w:gridSpan w:val="2"/>
            <w:tcBorders>
              <w:top w:val="single" w:color="auto" w:sz="4" w:space="0"/>
              <w:bottom w:val="single" w:color="000000" w:sz="2"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17" w:type="dxa"/>
            <w:tcBorders>
              <w:top w:val="single" w:color="auto" w:sz="4" w:space="0"/>
              <w:bottom w:val="single" w:color="000000" w:sz="2"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15"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2" w:hRule="atLeast"/>
        </w:trPr>
        <w:tc>
          <w:tcPr>
            <w:tcW w:w="8479" w:type="dxa"/>
            <w:gridSpan w:val="7"/>
            <w:tcBorders>
              <w:top w:val="single" w:color="000000" w:sz="2" w:space="0"/>
              <w:bottom w:val="single" w:color="000000" w:sz="2" w:space="0"/>
            </w:tcBorders>
            <w:vAlign w:val="center"/>
          </w:tcPr>
          <w:p>
            <w:pPr>
              <w:spacing w:before="73"/>
              <w:ind w:right="108"/>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公式：罚款金额=货值金额×1～3（由总百分值确定），但罚款金额不能低于收取费用额的1倍。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8479" w:type="dxa"/>
            <w:gridSpan w:val="7"/>
            <w:tcBorders>
              <w:top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b/>
          <w:bCs/>
          <w:color w:val="000000" w:themeColor="text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1.《中华人民共和国大气污染防治法》第五十二条机动车、非道路移动机械生产企业应当对新生产的机动车和非道路移动机械进行排放检验。经检验合格的，方可出厂销售。检验信息应当向社会公开。</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省级以上人民政府环境保护主管部门可以通过现场检查、抽样检测等方式，加强对新生产、销售机动车和非道路移动机械大气污染物排放状况的监督检查。工业、质量监督、工商行政管理等有关部门予以配合。</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九条第二款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pPr>
        <w:spacing w:before="73"/>
        <w:ind w:right="108" w:firstLine="360" w:firstLineChars="200"/>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 w:val="18"/>
          <w:szCs w:val="18"/>
        </w:rPr>
        <w:t>总百分值表</w:t>
      </w:r>
    </w:p>
    <w:tbl>
      <w:tblPr>
        <w:tblStyle w:val="12"/>
        <w:tblpPr w:leftFromText="180" w:rightFromText="180" w:vertAnchor="text" w:horzAnchor="page" w:tblpX="3279" w:tblpY="1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w:t>
            </w:r>
            <w:r>
              <w:rPr>
                <w:rFonts w:hint="eastAsia" w:ascii="仿宋_GB2312" w:hAnsi="仿宋_GB2312" w:eastAsia="仿宋_GB2312" w:cs="仿宋_GB2312"/>
                <w:color w:val="000000" w:themeColor="text1"/>
                <w:sz w:val="18"/>
                <w:szCs w:val="18"/>
              </w:rPr>
              <w:t>额×</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3</w:t>
            </w:r>
          </w:p>
        </w:tc>
      </w:tr>
    </w:tbl>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40" w:name="_Toc27205"/>
      <w:bookmarkStart w:id="141" w:name="_Toc3214"/>
      <w:r>
        <w:rPr>
          <w:rFonts w:hint="eastAsia" w:ascii="仿宋" w:hAnsi="仿宋" w:eastAsia="仿宋" w:cs="仿宋"/>
          <w:b/>
          <w:bCs/>
          <w:color w:val="000000" w:themeColor="text1"/>
          <w:kern w:val="0"/>
          <w:sz w:val="24"/>
        </w:rPr>
        <w:t>表29机动车生产、进口企业未按照规定向社会公布其生产、进口机动车车型的排放检验信息或者污染控制技术信息的罚款幅度裁定</w:t>
      </w:r>
      <w:bookmarkEnd w:id="140"/>
      <w:bookmarkEnd w:id="141"/>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1203"/>
        <w:gridCol w:w="789"/>
        <w:gridCol w:w="1502"/>
        <w:gridCol w:w="2456"/>
        <w:gridCol w:w="702"/>
        <w:gridCol w:w="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339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2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14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8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5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6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0" w:hRule="atLeast"/>
        </w:trPr>
        <w:tc>
          <w:tcPr>
            <w:tcW w:w="14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2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8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502" w:type="dxa"/>
            <w:vMerge w:val="restart"/>
            <w:tcBorders>
              <w:right w:val="single" w:color="auto" w:sz="4" w:space="0"/>
            </w:tcBorders>
            <w:vAlign w:val="center"/>
          </w:tcPr>
          <w:p>
            <w:pPr>
              <w:spacing w:before="39" w:line="226" w:lineRule="auto"/>
              <w:ind w:left="107" w:right="210" w:firstLine="7"/>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未按规定向社会公开其生</w:t>
            </w:r>
            <w:r>
              <w:rPr>
                <w:rFonts w:ascii="仿宋" w:hAnsi="仿宋" w:eastAsia="仿宋" w:cs="仿宋"/>
                <w:color w:val="000000" w:themeColor="text1"/>
                <w:spacing w:val="-5"/>
                <w:sz w:val="18"/>
                <w:szCs w:val="18"/>
              </w:rPr>
              <w:t>产、进口机动车车型的排放</w:t>
            </w:r>
            <w:r>
              <w:rPr>
                <w:rFonts w:ascii="仿宋" w:hAnsi="仿宋" w:eastAsia="仿宋" w:cs="仿宋"/>
                <w:color w:val="000000" w:themeColor="text1"/>
                <w:spacing w:val="-1"/>
                <w:sz w:val="18"/>
                <w:szCs w:val="18"/>
              </w:rPr>
              <w:t>检验信息或者污染控制技术信息的</w:t>
            </w:r>
          </w:p>
        </w:tc>
        <w:tc>
          <w:tcPr>
            <w:tcW w:w="2457" w:type="dxa"/>
            <w:tcBorders>
              <w:left w:val="single" w:color="auto" w:sz="4" w:space="0"/>
              <w:bottom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已按规定检验或</w:t>
            </w:r>
            <w:r>
              <w:rPr>
                <w:rFonts w:ascii="仿宋" w:hAnsi="仿宋" w:eastAsia="仿宋" w:cs="仿宋"/>
                <w:color w:val="000000" w:themeColor="text1"/>
                <w:spacing w:val="-1"/>
                <w:sz w:val="18"/>
                <w:szCs w:val="18"/>
              </w:rPr>
              <w:t>污染控制技术信息</w:t>
            </w:r>
            <w:r>
              <w:rPr>
                <w:rFonts w:hint="eastAsia" w:ascii="仿宋" w:hAnsi="仿宋" w:eastAsia="仿宋" w:cs="仿宋"/>
                <w:color w:val="000000" w:themeColor="text1"/>
                <w:spacing w:val="-1"/>
                <w:sz w:val="18"/>
                <w:szCs w:val="18"/>
              </w:rPr>
              <w:t>公示，不符合要求的。</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6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5" w:hRule="atLeast"/>
        </w:trPr>
        <w:tc>
          <w:tcPr>
            <w:tcW w:w="1403"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jc w:val="center"/>
              <w:rPr>
                <w:rFonts w:ascii="仿宋" w:hAnsi="仿宋" w:eastAsia="仿宋" w:cs="仿宋"/>
                <w:color w:val="000000" w:themeColor="text1"/>
                <w:spacing w:val="-6"/>
                <w:sz w:val="18"/>
                <w:szCs w:val="18"/>
              </w:rPr>
            </w:pPr>
          </w:p>
        </w:tc>
        <w:tc>
          <w:tcPr>
            <w:tcW w:w="1502" w:type="dxa"/>
            <w:vMerge w:val="continue"/>
            <w:tcBorders>
              <w:right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p>
        </w:tc>
        <w:tc>
          <w:tcPr>
            <w:tcW w:w="2457" w:type="dxa"/>
            <w:tcBorders>
              <w:top w:val="single" w:color="auto" w:sz="4" w:space="0"/>
              <w:left w:val="single" w:color="auto" w:sz="4" w:space="0"/>
              <w:bottom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已检验但不符合检验规定，也未公示的。</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46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1" w:hRule="atLeast"/>
        </w:trPr>
        <w:tc>
          <w:tcPr>
            <w:tcW w:w="1403"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jc w:val="center"/>
              <w:rPr>
                <w:rFonts w:ascii="仿宋" w:hAnsi="仿宋" w:eastAsia="仿宋" w:cs="仿宋"/>
                <w:color w:val="000000" w:themeColor="text1"/>
                <w:spacing w:val="-6"/>
                <w:sz w:val="18"/>
                <w:szCs w:val="18"/>
              </w:rPr>
            </w:pPr>
          </w:p>
        </w:tc>
        <w:tc>
          <w:tcPr>
            <w:tcW w:w="1502" w:type="dxa"/>
            <w:vMerge w:val="continue"/>
            <w:tcBorders>
              <w:right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p>
        </w:tc>
        <w:tc>
          <w:tcPr>
            <w:tcW w:w="2457" w:type="dxa"/>
            <w:tcBorders>
              <w:top w:val="single" w:color="auto" w:sz="4" w:space="0"/>
              <w:left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未检验，也未公示的。</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46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1403" w:type="dxa"/>
            <w:vMerge w:val="continue"/>
            <w:tcBorders>
              <w:top w:val="nil"/>
            </w:tcBorders>
            <w:vAlign w:val="center"/>
          </w:tcPr>
          <w:p>
            <w:pPr>
              <w:jc w:val="center"/>
              <w:rPr>
                <w:rFonts w:ascii="Malgun Gothic"/>
                <w:color w:val="000000" w:themeColor="text1"/>
                <w:sz w:val="18"/>
                <w:szCs w:val="18"/>
              </w:rPr>
            </w:pPr>
          </w:p>
        </w:tc>
        <w:tc>
          <w:tcPr>
            <w:tcW w:w="1203" w:type="dxa"/>
            <w:vMerge w:val="continue"/>
            <w:tcBorders>
              <w:top w:val="nil"/>
            </w:tcBorders>
            <w:vAlign w:val="center"/>
          </w:tcPr>
          <w:p>
            <w:pPr>
              <w:jc w:val="center"/>
              <w:rPr>
                <w:rFonts w:ascii="Malgun Gothic"/>
                <w:color w:val="000000" w:themeColor="text1"/>
                <w:sz w:val="18"/>
                <w:szCs w:val="18"/>
              </w:rPr>
            </w:pPr>
          </w:p>
        </w:tc>
        <w:tc>
          <w:tcPr>
            <w:tcW w:w="789" w:type="dxa"/>
            <w:vMerge w:val="continue"/>
            <w:tcBorders>
              <w:top w:val="nil"/>
            </w:tcBorders>
            <w:vAlign w:val="center"/>
          </w:tcPr>
          <w:p>
            <w:pPr>
              <w:jc w:val="center"/>
              <w:rPr>
                <w:rFonts w:ascii="Malgun Gothic"/>
                <w:color w:val="000000" w:themeColor="text1"/>
                <w:sz w:val="18"/>
                <w:szCs w:val="18"/>
              </w:rPr>
            </w:pPr>
          </w:p>
        </w:tc>
        <w:tc>
          <w:tcPr>
            <w:tcW w:w="1502" w:type="dxa"/>
            <w:vMerge w:val="restart"/>
            <w:tcBorders>
              <w:right w:val="single" w:color="auto" w:sz="4" w:space="0"/>
            </w:tcBorders>
            <w:vAlign w:val="center"/>
          </w:tcPr>
          <w:p>
            <w:pPr>
              <w:spacing w:before="43" w:line="221" w:lineRule="auto"/>
              <w:ind w:left="113" w:right="210" w:firstLine="1"/>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未向社会公开其生产、进口</w:t>
            </w:r>
            <w:r>
              <w:rPr>
                <w:rFonts w:ascii="仿宋" w:hAnsi="仿宋" w:eastAsia="仿宋" w:cs="仿宋"/>
                <w:color w:val="000000" w:themeColor="text1"/>
                <w:spacing w:val="-1"/>
                <w:sz w:val="18"/>
                <w:szCs w:val="18"/>
              </w:rPr>
              <w:t>机动车车型的排放检验信息或者污染控制技术信息的</w:t>
            </w:r>
          </w:p>
        </w:tc>
        <w:tc>
          <w:tcPr>
            <w:tcW w:w="2457" w:type="dxa"/>
            <w:tcBorders>
              <w:left w:val="single" w:color="auto" w:sz="4" w:space="0"/>
              <w:bottom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污染控制技术信息</w:t>
            </w:r>
            <w:r>
              <w:rPr>
                <w:rFonts w:hint="eastAsia" w:ascii="仿宋" w:hAnsi="仿宋" w:eastAsia="仿宋" w:cs="仿宋"/>
                <w:color w:val="000000" w:themeColor="text1"/>
                <w:spacing w:val="-1"/>
                <w:sz w:val="18"/>
                <w:szCs w:val="18"/>
              </w:rPr>
              <w:t>未的。公示</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46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1" w:hRule="atLeast"/>
        </w:trPr>
        <w:tc>
          <w:tcPr>
            <w:tcW w:w="1403" w:type="dxa"/>
            <w:vMerge w:val="continue"/>
            <w:vAlign w:val="center"/>
          </w:tcPr>
          <w:p>
            <w:pPr>
              <w:jc w:val="center"/>
              <w:rPr>
                <w:rFonts w:ascii="Malgun Gothic"/>
                <w:color w:val="000000" w:themeColor="text1"/>
                <w:sz w:val="18"/>
                <w:szCs w:val="18"/>
              </w:rPr>
            </w:pPr>
          </w:p>
        </w:tc>
        <w:tc>
          <w:tcPr>
            <w:tcW w:w="1203" w:type="dxa"/>
            <w:vMerge w:val="continue"/>
            <w:vAlign w:val="center"/>
          </w:tcPr>
          <w:p>
            <w:pPr>
              <w:jc w:val="center"/>
              <w:rPr>
                <w:rFonts w:ascii="Malgun Gothic"/>
                <w:color w:val="000000" w:themeColor="text1"/>
                <w:sz w:val="18"/>
                <w:szCs w:val="18"/>
              </w:rPr>
            </w:pPr>
          </w:p>
        </w:tc>
        <w:tc>
          <w:tcPr>
            <w:tcW w:w="789" w:type="dxa"/>
            <w:vMerge w:val="continue"/>
            <w:vAlign w:val="center"/>
          </w:tcPr>
          <w:p>
            <w:pPr>
              <w:jc w:val="center"/>
              <w:rPr>
                <w:rFonts w:ascii="Malgun Gothic"/>
                <w:color w:val="000000" w:themeColor="text1"/>
                <w:sz w:val="18"/>
                <w:szCs w:val="18"/>
              </w:rPr>
            </w:pPr>
          </w:p>
        </w:tc>
        <w:tc>
          <w:tcPr>
            <w:tcW w:w="1502" w:type="dxa"/>
            <w:vMerge w:val="continue"/>
            <w:tcBorders>
              <w:right w:val="single" w:color="auto" w:sz="4" w:space="0"/>
            </w:tcBorders>
            <w:vAlign w:val="center"/>
          </w:tcPr>
          <w:p>
            <w:pPr>
              <w:spacing w:before="43" w:line="221" w:lineRule="auto"/>
              <w:ind w:left="113" w:right="210" w:firstLine="1"/>
              <w:rPr>
                <w:rFonts w:ascii="仿宋" w:hAnsi="仿宋" w:eastAsia="仿宋" w:cs="仿宋"/>
                <w:color w:val="000000" w:themeColor="text1"/>
                <w:spacing w:val="-6"/>
                <w:sz w:val="18"/>
                <w:szCs w:val="18"/>
              </w:rPr>
            </w:pPr>
          </w:p>
        </w:tc>
        <w:tc>
          <w:tcPr>
            <w:tcW w:w="2457" w:type="dxa"/>
            <w:tcBorders>
              <w:top w:val="single" w:color="auto" w:sz="4" w:space="0"/>
              <w:left w:val="single" w:color="auto" w:sz="4" w:space="0"/>
              <w:bottom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已检验，未公示的。</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46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7" w:hRule="atLeast"/>
        </w:trPr>
        <w:tc>
          <w:tcPr>
            <w:tcW w:w="1403" w:type="dxa"/>
            <w:vMerge w:val="continue"/>
            <w:vAlign w:val="center"/>
          </w:tcPr>
          <w:p>
            <w:pPr>
              <w:jc w:val="center"/>
              <w:rPr>
                <w:rFonts w:ascii="Malgun Gothic"/>
                <w:color w:val="000000" w:themeColor="text1"/>
                <w:sz w:val="18"/>
                <w:szCs w:val="18"/>
              </w:rPr>
            </w:pPr>
          </w:p>
        </w:tc>
        <w:tc>
          <w:tcPr>
            <w:tcW w:w="1203" w:type="dxa"/>
            <w:vMerge w:val="continue"/>
            <w:vAlign w:val="center"/>
          </w:tcPr>
          <w:p>
            <w:pPr>
              <w:jc w:val="center"/>
              <w:rPr>
                <w:rFonts w:ascii="Malgun Gothic"/>
                <w:color w:val="000000" w:themeColor="text1"/>
                <w:sz w:val="18"/>
                <w:szCs w:val="18"/>
              </w:rPr>
            </w:pPr>
          </w:p>
        </w:tc>
        <w:tc>
          <w:tcPr>
            <w:tcW w:w="789" w:type="dxa"/>
            <w:vMerge w:val="continue"/>
            <w:vAlign w:val="center"/>
          </w:tcPr>
          <w:p>
            <w:pPr>
              <w:jc w:val="center"/>
              <w:rPr>
                <w:rFonts w:ascii="Malgun Gothic"/>
                <w:color w:val="000000" w:themeColor="text1"/>
                <w:sz w:val="18"/>
                <w:szCs w:val="18"/>
              </w:rPr>
            </w:pPr>
          </w:p>
        </w:tc>
        <w:tc>
          <w:tcPr>
            <w:tcW w:w="1502" w:type="dxa"/>
            <w:vMerge w:val="continue"/>
            <w:tcBorders>
              <w:right w:val="single" w:color="auto" w:sz="4" w:space="0"/>
            </w:tcBorders>
            <w:vAlign w:val="center"/>
          </w:tcPr>
          <w:p>
            <w:pPr>
              <w:spacing w:before="43" w:line="221" w:lineRule="auto"/>
              <w:ind w:left="113" w:right="210" w:firstLine="1"/>
              <w:rPr>
                <w:rFonts w:ascii="仿宋" w:hAnsi="仿宋" w:eastAsia="仿宋" w:cs="仿宋"/>
                <w:color w:val="000000" w:themeColor="text1"/>
                <w:spacing w:val="-6"/>
                <w:sz w:val="18"/>
                <w:szCs w:val="18"/>
              </w:rPr>
            </w:pPr>
          </w:p>
        </w:tc>
        <w:tc>
          <w:tcPr>
            <w:tcW w:w="2457" w:type="dxa"/>
            <w:tcBorders>
              <w:top w:val="single" w:color="auto" w:sz="4" w:space="0"/>
              <w:left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未检验，也未公示的。</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46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8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59" w:type="dxa"/>
            <w:gridSpan w:val="2"/>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465"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tcBorders>
              <w:top w:val="nil"/>
              <w:bottom w:val="nil"/>
            </w:tcBorders>
            <w:vAlign w:val="center"/>
          </w:tcPr>
          <w:p>
            <w:pPr>
              <w:jc w:val="center"/>
              <w:rPr>
                <w:rFonts w:ascii="Malgun Gothic"/>
                <w:color w:val="000000" w:themeColor="text1"/>
                <w:sz w:val="18"/>
                <w:szCs w:val="18"/>
              </w:rPr>
            </w:pPr>
          </w:p>
        </w:tc>
        <w:tc>
          <w:tcPr>
            <w:tcW w:w="1203" w:type="dxa"/>
            <w:vMerge w:val="continue"/>
            <w:tcBorders>
              <w:top w:val="nil"/>
              <w:bottom w:val="nil"/>
            </w:tcBorders>
            <w:vAlign w:val="center"/>
          </w:tcPr>
          <w:p>
            <w:pPr>
              <w:jc w:val="center"/>
              <w:rPr>
                <w:rFonts w:ascii="Malgun Gothic"/>
                <w:color w:val="000000" w:themeColor="text1"/>
                <w:sz w:val="18"/>
                <w:szCs w:val="18"/>
              </w:rPr>
            </w:pPr>
          </w:p>
        </w:tc>
        <w:tc>
          <w:tcPr>
            <w:tcW w:w="789" w:type="dxa"/>
            <w:vMerge w:val="continue"/>
            <w:tcBorders>
              <w:top w:val="nil"/>
              <w:bottom w:val="nil"/>
            </w:tcBorders>
            <w:vAlign w:val="center"/>
          </w:tcPr>
          <w:p>
            <w:pPr>
              <w:jc w:val="center"/>
              <w:rPr>
                <w:rFonts w:ascii="Malgun Gothic"/>
                <w:color w:val="000000" w:themeColor="text1"/>
                <w:sz w:val="18"/>
                <w:szCs w:val="18"/>
              </w:rPr>
            </w:pPr>
          </w:p>
        </w:tc>
        <w:tc>
          <w:tcPr>
            <w:tcW w:w="3959"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6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tcBorders>
              <w:top w:val="nil"/>
              <w:bottom w:val="nil"/>
            </w:tcBorders>
            <w:vAlign w:val="center"/>
          </w:tcPr>
          <w:p>
            <w:pPr>
              <w:jc w:val="center"/>
              <w:rPr>
                <w:rFonts w:ascii="Malgun Gothic"/>
                <w:color w:val="000000" w:themeColor="text1"/>
                <w:sz w:val="18"/>
                <w:szCs w:val="18"/>
              </w:rPr>
            </w:pPr>
          </w:p>
        </w:tc>
        <w:tc>
          <w:tcPr>
            <w:tcW w:w="1203" w:type="dxa"/>
            <w:vMerge w:val="continue"/>
            <w:tcBorders>
              <w:top w:val="nil"/>
              <w:bottom w:val="nil"/>
            </w:tcBorders>
            <w:vAlign w:val="center"/>
          </w:tcPr>
          <w:p>
            <w:pPr>
              <w:jc w:val="center"/>
              <w:rPr>
                <w:rFonts w:ascii="Malgun Gothic"/>
                <w:color w:val="000000" w:themeColor="text1"/>
                <w:sz w:val="18"/>
                <w:szCs w:val="18"/>
              </w:rPr>
            </w:pPr>
          </w:p>
        </w:tc>
        <w:tc>
          <w:tcPr>
            <w:tcW w:w="789" w:type="dxa"/>
            <w:vMerge w:val="continue"/>
            <w:tcBorders>
              <w:top w:val="nil"/>
              <w:bottom w:val="nil"/>
            </w:tcBorders>
            <w:vAlign w:val="center"/>
          </w:tcPr>
          <w:p>
            <w:pPr>
              <w:jc w:val="center"/>
              <w:rPr>
                <w:rFonts w:ascii="Malgun Gothic"/>
                <w:color w:val="000000" w:themeColor="text1"/>
                <w:sz w:val="18"/>
                <w:szCs w:val="18"/>
              </w:rPr>
            </w:pPr>
          </w:p>
        </w:tc>
        <w:tc>
          <w:tcPr>
            <w:tcW w:w="3959" w:type="dxa"/>
            <w:gridSpan w:val="2"/>
            <w:vAlign w:val="center"/>
          </w:tcPr>
          <w:p>
            <w:pPr>
              <w:spacing w:before="41"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46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tcBorders>
              <w:top w:val="nil"/>
            </w:tcBorders>
            <w:vAlign w:val="center"/>
          </w:tcPr>
          <w:p>
            <w:pPr>
              <w:jc w:val="center"/>
              <w:rPr>
                <w:rFonts w:ascii="Malgun Gothic"/>
                <w:color w:val="000000" w:themeColor="text1"/>
                <w:sz w:val="18"/>
                <w:szCs w:val="18"/>
              </w:rPr>
            </w:pPr>
          </w:p>
        </w:tc>
        <w:tc>
          <w:tcPr>
            <w:tcW w:w="1203" w:type="dxa"/>
            <w:vMerge w:val="continue"/>
            <w:tcBorders>
              <w:top w:val="nil"/>
            </w:tcBorders>
            <w:vAlign w:val="center"/>
          </w:tcPr>
          <w:p>
            <w:pPr>
              <w:jc w:val="center"/>
              <w:rPr>
                <w:rFonts w:ascii="Malgun Gothic"/>
                <w:color w:val="000000" w:themeColor="text1"/>
                <w:sz w:val="18"/>
                <w:szCs w:val="18"/>
              </w:rPr>
            </w:pPr>
          </w:p>
        </w:tc>
        <w:tc>
          <w:tcPr>
            <w:tcW w:w="789" w:type="dxa"/>
            <w:vMerge w:val="continue"/>
            <w:tcBorders>
              <w:top w:val="nil"/>
            </w:tcBorders>
            <w:vAlign w:val="center"/>
          </w:tcPr>
          <w:p>
            <w:pPr>
              <w:jc w:val="center"/>
              <w:rPr>
                <w:rFonts w:ascii="Malgun Gothic"/>
                <w:color w:val="000000" w:themeColor="text1"/>
                <w:sz w:val="18"/>
                <w:szCs w:val="18"/>
              </w:rPr>
            </w:pPr>
          </w:p>
        </w:tc>
        <w:tc>
          <w:tcPr>
            <w:tcW w:w="3959" w:type="dxa"/>
            <w:gridSpan w:val="2"/>
            <w:vAlign w:val="center"/>
          </w:tcPr>
          <w:p>
            <w:pPr>
              <w:spacing w:before="41"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65"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8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959" w:type="dxa"/>
            <w:gridSpan w:val="2"/>
            <w:vAlign w:val="center"/>
          </w:tcPr>
          <w:p>
            <w:pPr>
              <w:spacing w:before="41"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46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tcBorders>
              <w:top w:val="nil"/>
              <w:bottom w:val="nil"/>
            </w:tcBorders>
            <w:vAlign w:val="center"/>
          </w:tcPr>
          <w:p>
            <w:pPr>
              <w:jc w:val="center"/>
              <w:rPr>
                <w:rFonts w:ascii="Malgun Gothic"/>
                <w:color w:val="000000" w:themeColor="text1"/>
                <w:sz w:val="18"/>
                <w:szCs w:val="18"/>
              </w:rPr>
            </w:pPr>
          </w:p>
        </w:tc>
        <w:tc>
          <w:tcPr>
            <w:tcW w:w="1203" w:type="dxa"/>
            <w:vMerge w:val="continue"/>
            <w:tcBorders>
              <w:top w:val="nil"/>
              <w:bottom w:val="nil"/>
            </w:tcBorders>
            <w:vAlign w:val="center"/>
          </w:tcPr>
          <w:p>
            <w:pPr>
              <w:jc w:val="center"/>
              <w:rPr>
                <w:rFonts w:ascii="Malgun Gothic"/>
                <w:color w:val="000000" w:themeColor="text1"/>
                <w:sz w:val="18"/>
                <w:szCs w:val="18"/>
              </w:rPr>
            </w:pPr>
          </w:p>
        </w:tc>
        <w:tc>
          <w:tcPr>
            <w:tcW w:w="789" w:type="dxa"/>
            <w:vMerge w:val="continue"/>
            <w:tcBorders>
              <w:top w:val="nil"/>
              <w:bottom w:val="nil"/>
            </w:tcBorders>
            <w:vAlign w:val="center"/>
          </w:tcPr>
          <w:p>
            <w:pPr>
              <w:jc w:val="center"/>
              <w:rPr>
                <w:rFonts w:ascii="Malgun Gothic"/>
                <w:color w:val="000000" w:themeColor="text1"/>
                <w:sz w:val="18"/>
                <w:szCs w:val="18"/>
              </w:rPr>
            </w:pPr>
          </w:p>
        </w:tc>
        <w:tc>
          <w:tcPr>
            <w:tcW w:w="3959" w:type="dxa"/>
            <w:gridSpan w:val="2"/>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46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tcBorders>
              <w:top w:val="nil"/>
            </w:tcBorders>
            <w:vAlign w:val="center"/>
          </w:tcPr>
          <w:p>
            <w:pPr>
              <w:jc w:val="center"/>
              <w:rPr>
                <w:rFonts w:ascii="Malgun Gothic"/>
                <w:color w:val="000000" w:themeColor="text1"/>
                <w:sz w:val="18"/>
                <w:szCs w:val="18"/>
              </w:rPr>
            </w:pPr>
          </w:p>
        </w:tc>
        <w:tc>
          <w:tcPr>
            <w:tcW w:w="1203" w:type="dxa"/>
            <w:vMerge w:val="continue"/>
            <w:tcBorders>
              <w:top w:val="nil"/>
            </w:tcBorders>
            <w:vAlign w:val="center"/>
          </w:tcPr>
          <w:p>
            <w:pPr>
              <w:jc w:val="center"/>
              <w:rPr>
                <w:rFonts w:ascii="Malgun Gothic"/>
                <w:color w:val="000000" w:themeColor="text1"/>
                <w:sz w:val="18"/>
                <w:szCs w:val="18"/>
              </w:rPr>
            </w:pPr>
          </w:p>
        </w:tc>
        <w:tc>
          <w:tcPr>
            <w:tcW w:w="789" w:type="dxa"/>
            <w:vMerge w:val="continue"/>
            <w:tcBorders>
              <w:top w:val="nil"/>
            </w:tcBorders>
            <w:vAlign w:val="center"/>
          </w:tcPr>
          <w:p>
            <w:pPr>
              <w:jc w:val="center"/>
              <w:rPr>
                <w:rFonts w:ascii="Malgun Gothic"/>
                <w:color w:val="000000" w:themeColor="text1"/>
                <w:sz w:val="18"/>
                <w:szCs w:val="18"/>
              </w:rPr>
            </w:pPr>
          </w:p>
        </w:tc>
        <w:tc>
          <w:tcPr>
            <w:tcW w:w="3959" w:type="dxa"/>
            <w:gridSpan w:val="2"/>
            <w:vAlign w:val="center"/>
          </w:tcPr>
          <w:p>
            <w:pPr>
              <w:spacing w:before="42"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465"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03" w:type="dxa"/>
            <w:vMerge w:val="restart"/>
            <w:tcBorders>
              <w:bottom w:val="nil"/>
            </w:tcBorders>
            <w:vAlign w:val="center"/>
          </w:tcPr>
          <w:p>
            <w:pPr>
              <w:ind w:right="222"/>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right="222"/>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8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959" w:type="dxa"/>
            <w:gridSpan w:val="2"/>
            <w:vAlign w:val="center"/>
          </w:tcPr>
          <w:p>
            <w:pPr>
              <w:spacing w:before="42"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46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tcBorders>
              <w:top w:val="nil"/>
            </w:tcBorders>
            <w:vAlign w:val="center"/>
          </w:tcPr>
          <w:p>
            <w:pPr>
              <w:jc w:val="center"/>
              <w:rPr>
                <w:rFonts w:ascii="Malgun Gothic"/>
                <w:color w:val="000000" w:themeColor="text1"/>
                <w:sz w:val="18"/>
                <w:szCs w:val="18"/>
              </w:rPr>
            </w:pPr>
          </w:p>
        </w:tc>
        <w:tc>
          <w:tcPr>
            <w:tcW w:w="1203" w:type="dxa"/>
            <w:vMerge w:val="continue"/>
            <w:tcBorders>
              <w:top w:val="nil"/>
            </w:tcBorders>
            <w:vAlign w:val="center"/>
          </w:tcPr>
          <w:p>
            <w:pPr>
              <w:jc w:val="center"/>
              <w:rPr>
                <w:rFonts w:ascii="Malgun Gothic"/>
                <w:color w:val="000000" w:themeColor="text1"/>
                <w:sz w:val="18"/>
                <w:szCs w:val="18"/>
              </w:rPr>
            </w:pPr>
          </w:p>
        </w:tc>
        <w:tc>
          <w:tcPr>
            <w:tcW w:w="789" w:type="dxa"/>
            <w:vMerge w:val="continue"/>
            <w:tcBorders>
              <w:top w:val="nil"/>
            </w:tcBorders>
            <w:vAlign w:val="center"/>
          </w:tcPr>
          <w:p>
            <w:pPr>
              <w:jc w:val="center"/>
              <w:rPr>
                <w:rFonts w:ascii="Malgun Gothic"/>
                <w:color w:val="000000" w:themeColor="text1"/>
                <w:sz w:val="18"/>
                <w:szCs w:val="18"/>
              </w:rPr>
            </w:pPr>
          </w:p>
        </w:tc>
        <w:tc>
          <w:tcPr>
            <w:tcW w:w="3959" w:type="dxa"/>
            <w:gridSpan w:val="2"/>
            <w:vAlign w:val="center"/>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46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2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8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59"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00"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46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59"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70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46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59"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70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46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59"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700"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46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03" w:type="dxa"/>
            <w:vMerge w:val="continue"/>
            <w:tcBorders>
              <w:top w:val="nil"/>
              <w:bottom w:val="single" w:color="auto" w:sz="4" w:space="0"/>
            </w:tcBorders>
          </w:tcPr>
          <w:p>
            <w:pPr>
              <w:rPr>
                <w:rFonts w:ascii="Malgun Gothic"/>
                <w:color w:val="000000" w:themeColor="text1"/>
                <w:sz w:val="18"/>
                <w:szCs w:val="18"/>
              </w:rPr>
            </w:pPr>
          </w:p>
        </w:tc>
        <w:tc>
          <w:tcPr>
            <w:tcW w:w="1203" w:type="dxa"/>
            <w:vMerge w:val="continue"/>
            <w:tcBorders>
              <w:top w:val="nil"/>
              <w:bottom w:val="single" w:color="auto" w:sz="4" w:space="0"/>
            </w:tcBorders>
          </w:tcPr>
          <w:p>
            <w:pPr>
              <w:rPr>
                <w:rFonts w:ascii="Malgun Gothic"/>
                <w:color w:val="000000" w:themeColor="text1"/>
                <w:sz w:val="18"/>
                <w:szCs w:val="18"/>
              </w:rPr>
            </w:pPr>
          </w:p>
        </w:tc>
        <w:tc>
          <w:tcPr>
            <w:tcW w:w="789" w:type="dxa"/>
            <w:vMerge w:val="continue"/>
            <w:tcBorders>
              <w:top w:val="nil"/>
              <w:bottom w:val="single" w:color="auto" w:sz="4" w:space="0"/>
            </w:tcBorders>
          </w:tcPr>
          <w:p>
            <w:pPr>
              <w:rPr>
                <w:rFonts w:ascii="Malgun Gothic"/>
                <w:color w:val="000000" w:themeColor="text1"/>
                <w:sz w:val="18"/>
                <w:szCs w:val="18"/>
              </w:rPr>
            </w:pPr>
          </w:p>
        </w:tc>
        <w:tc>
          <w:tcPr>
            <w:tcW w:w="3959" w:type="dxa"/>
            <w:gridSpan w:val="2"/>
            <w:tcBorders>
              <w:bottom w:val="single" w:color="auto" w:sz="4"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00"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465"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851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7" w:hRule="atLeast"/>
        </w:trPr>
        <w:tc>
          <w:tcPr>
            <w:tcW w:w="851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1.《中华人民共和国大气污染防治法》第五十五条第一款机动车生产、进口企业应当向社会公布其生产、进口机动车车型的排放检验信息、污染控制技术信息和有关维修技术信息。</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一条第一款违反本法规定，机动车生产、进口企业未按照规定向社会公布其生产、进口机动车车型的排放检验信息或者污染控制技术信息的，由省级以上人民政府环境保护主管部门责令改正，处5万元以上50万元以下的罚款。</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42" w:name="_Toc13320"/>
      <w:bookmarkStart w:id="143" w:name="_Toc71"/>
      <w:r>
        <w:rPr>
          <w:rFonts w:hint="eastAsia" w:ascii="仿宋" w:hAnsi="仿宋" w:eastAsia="仿宋" w:cs="仿宋"/>
          <w:b/>
          <w:bCs/>
          <w:color w:val="000000" w:themeColor="text1"/>
          <w:kern w:val="0"/>
          <w:sz w:val="24"/>
        </w:rPr>
        <w:t>表30未密闭煤炭、煤矸石、煤渣、煤灰、水泥、石灰、石膏、砂土等易产生扬尘的物料的罚款幅度裁定</w:t>
      </w:r>
      <w:bookmarkEnd w:id="142"/>
      <w:bookmarkEnd w:id="143"/>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1702"/>
        <w:gridCol w:w="660"/>
        <w:gridCol w:w="1155"/>
        <w:gridCol w:w="2473"/>
        <w:gridCol w:w="597"/>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3564" w:type="dxa"/>
            <w:gridSpan w:val="3"/>
            <w:vAlign w:val="center"/>
          </w:tcPr>
          <w:p>
            <w:pPr>
              <w:spacing w:before="177" w:line="184" w:lineRule="auto"/>
              <w:ind w:firstLine="148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875" w:type="dxa"/>
            <w:gridSpan w:val="4"/>
            <w:vAlign w:val="center"/>
          </w:tcPr>
          <w:p>
            <w:pPr>
              <w:spacing w:before="177" w:line="184" w:lineRule="auto"/>
              <w:ind w:firstLine="1629"/>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1202" w:type="dxa"/>
            <w:vAlign w:val="center"/>
          </w:tcPr>
          <w:p>
            <w:pPr>
              <w:spacing w:before="199" w:line="184" w:lineRule="auto"/>
              <w:ind w:firstLine="381"/>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702"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660"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628"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2" w:type="dxa"/>
            <w:vMerge w:val="restart"/>
            <w:tcBorders>
              <w:bottom w:val="nil"/>
            </w:tcBorders>
            <w:vAlign w:val="center"/>
          </w:tcPr>
          <w:p>
            <w:pPr>
              <w:spacing w:before="100"/>
              <w:ind w:left="261" w:right="122" w:hanging="12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7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6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40%</w:t>
            </w:r>
          </w:p>
        </w:tc>
        <w:tc>
          <w:tcPr>
            <w:tcW w:w="1155" w:type="dxa"/>
            <w:vMerge w:val="restart"/>
            <w:tcBorders>
              <w:right w:val="single" w:color="auto" w:sz="4" w:space="0"/>
            </w:tcBorders>
            <w:vAlign w:val="center"/>
          </w:tcPr>
          <w:p>
            <w:pPr>
              <w:spacing w:before="95" w:line="184" w:lineRule="auto"/>
              <w:ind w:firstLine="13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密闭不严的</w:t>
            </w:r>
          </w:p>
        </w:tc>
        <w:tc>
          <w:tcPr>
            <w:tcW w:w="2473"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6"/>
                <w:sz w:val="18"/>
                <w:szCs w:val="18"/>
              </w:rPr>
            </w:pPr>
            <w:r>
              <w:rPr>
                <w:rFonts w:hint="eastAsia" w:ascii="仿宋" w:hAnsi="仿宋" w:eastAsia="仿宋" w:cs="仿宋"/>
                <w:color w:val="000000" w:themeColor="text1"/>
                <w:kern w:val="0"/>
                <w:sz w:val="18"/>
                <w:szCs w:val="18"/>
              </w:rPr>
              <w:t>500吨以下的</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2" w:type="dxa"/>
            <w:vMerge w:val="continue"/>
            <w:vAlign w:val="center"/>
          </w:tcPr>
          <w:p>
            <w:pPr>
              <w:spacing w:before="100"/>
              <w:ind w:left="261" w:right="122" w:hanging="122"/>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3"/>
                <w:sz w:val="18"/>
                <w:szCs w:val="18"/>
              </w:rPr>
            </w:pPr>
          </w:p>
        </w:tc>
        <w:tc>
          <w:tcPr>
            <w:tcW w:w="660" w:type="dxa"/>
            <w:vMerge w:val="continue"/>
            <w:vAlign w:val="center"/>
          </w:tcPr>
          <w:p>
            <w:pPr>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95" w:line="184" w:lineRule="auto"/>
              <w:ind w:firstLine="134"/>
              <w:jc w:val="center"/>
              <w:rPr>
                <w:rFonts w:ascii="仿宋" w:hAnsi="仿宋" w:eastAsia="仿宋" w:cs="仿宋"/>
                <w:color w:val="000000" w:themeColor="text1"/>
                <w:spacing w:val="-6"/>
                <w:sz w:val="18"/>
                <w:szCs w:val="18"/>
              </w:rPr>
            </w:pPr>
          </w:p>
        </w:tc>
        <w:tc>
          <w:tcPr>
            <w:tcW w:w="2473"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6"/>
                <w:sz w:val="18"/>
                <w:szCs w:val="18"/>
              </w:rPr>
            </w:pPr>
            <w:r>
              <w:rPr>
                <w:rFonts w:hint="eastAsia" w:ascii="仿宋" w:hAnsi="仿宋" w:eastAsia="仿宋" w:cs="仿宋"/>
                <w:color w:val="000000" w:themeColor="text1"/>
                <w:kern w:val="0"/>
                <w:sz w:val="18"/>
                <w:szCs w:val="18"/>
              </w:rPr>
              <w:t>500吨以上1000吨以下的</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2" w:type="dxa"/>
            <w:vMerge w:val="continue"/>
            <w:vAlign w:val="center"/>
          </w:tcPr>
          <w:p>
            <w:pPr>
              <w:spacing w:before="100"/>
              <w:ind w:left="261" w:right="122" w:hanging="122"/>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3"/>
                <w:sz w:val="18"/>
                <w:szCs w:val="18"/>
              </w:rPr>
            </w:pPr>
          </w:p>
        </w:tc>
        <w:tc>
          <w:tcPr>
            <w:tcW w:w="660" w:type="dxa"/>
            <w:vMerge w:val="continue"/>
            <w:vAlign w:val="center"/>
          </w:tcPr>
          <w:p>
            <w:pPr>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95" w:line="184" w:lineRule="auto"/>
              <w:ind w:firstLine="134"/>
              <w:jc w:val="center"/>
              <w:rPr>
                <w:rFonts w:ascii="仿宋" w:hAnsi="仿宋" w:eastAsia="仿宋" w:cs="仿宋"/>
                <w:color w:val="000000" w:themeColor="text1"/>
                <w:spacing w:val="-6"/>
                <w:sz w:val="18"/>
                <w:szCs w:val="18"/>
              </w:rPr>
            </w:pPr>
          </w:p>
        </w:tc>
        <w:tc>
          <w:tcPr>
            <w:tcW w:w="2473"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6"/>
                <w:sz w:val="18"/>
                <w:szCs w:val="18"/>
              </w:rPr>
            </w:pPr>
            <w:r>
              <w:rPr>
                <w:rFonts w:hint="eastAsia" w:ascii="仿宋" w:hAnsi="仿宋" w:eastAsia="仿宋" w:cs="仿宋"/>
                <w:color w:val="000000" w:themeColor="text1"/>
                <w:kern w:val="0"/>
                <w:sz w:val="18"/>
                <w:szCs w:val="18"/>
              </w:rPr>
              <w:t>1000吨以上1500吨以下的</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2" w:type="dxa"/>
            <w:vMerge w:val="continue"/>
            <w:vAlign w:val="center"/>
          </w:tcPr>
          <w:p>
            <w:pPr>
              <w:spacing w:before="100"/>
              <w:ind w:left="261" w:right="122" w:hanging="122"/>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3"/>
                <w:sz w:val="18"/>
                <w:szCs w:val="18"/>
              </w:rPr>
            </w:pPr>
          </w:p>
        </w:tc>
        <w:tc>
          <w:tcPr>
            <w:tcW w:w="660" w:type="dxa"/>
            <w:vMerge w:val="continue"/>
            <w:vAlign w:val="center"/>
          </w:tcPr>
          <w:p>
            <w:pPr>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95" w:line="184" w:lineRule="auto"/>
              <w:ind w:firstLine="134"/>
              <w:jc w:val="center"/>
              <w:rPr>
                <w:rFonts w:ascii="仿宋" w:hAnsi="仿宋" w:eastAsia="仿宋" w:cs="仿宋"/>
                <w:color w:val="000000" w:themeColor="text1"/>
                <w:spacing w:val="-6"/>
                <w:sz w:val="18"/>
                <w:szCs w:val="18"/>
              </w:rPr>
            </w:pPr>
          </w:p>
        </w:tc>
        <w:tc>
          <w:tcPr>
            <w:tcW w:w="2473"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1500吨以上的</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1155" w:type="dxa"/>
            <w:vMerge w:val="restart"/>
            <w:tcBorders>
              <w:right w:val="single" w:color="auto" w:sz="4" w:space="0"/>
            </w:tcBorders>
            <w:vAlign w:val="center"/>
          </w:tcPr>
          <w:p>
            <w:pPr>
              <w:spacing w:before="41" w:line="184" w:lineRule="auto"/>
              <w:ind w:firstLine="125"/>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露天堆放的</w:t>
            </w:r>
          </w:p>
        </w:tc>
        <w:tc>
          <w:tcPr>
            <w:tcW w:w="2473"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4"/>
                <w:sz w:val="18"/>
                <w:szCs w:val="18"/>
              </w:rPr>
            </w:pPr>
            <w:r>
              <w:rPr>
                <w:rFonts w:hint="eastAsia" w:ascii="仿宋" w:hAnsi="仿宋" w:eastAsia="仿宋" w:cs="仿宋"/>
                <w:color w:val="000000" w:themeColor="text1"/>
                <w:kern w:val="0"/>
                <w:sz w:val="18"/>
                <w:szCs w:val="18"/>
              </w:rPr>
              <w:t>500吨以下的</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1155" w:type="dxa"/>
            <w:vMerge w:val="continue"/>
            <w:tcBorders>
              <w:right w:val="single" w:color="auto" w:sz="4" w:space="0"/>
            </w:tcBorders>
            <w:vAlign w:val="center"/>
          </w:tcPr>
          <w:p>
            <w:pPr>
              <w:spacing w:before="41" w:line="184" w:lineRule="auto"/>
              <w:ind w:firstLine="125"/>
              <w:jc w:val="center"/>
              <w:rPr>
                <w:rFonts w:ascii="仿宋" w:hAnsi="仿宋" w:eastAsia="仿宋" w:cs="仿宋"/>
                <w:color w:val="000000" w:themeColor="text1"/>
                <w:spacing w:val="-4"/>
                <w:sz w:val="18"/>
                <w:szCs w:val="18"/>
              </w:rPr>
            </w:pPr>
          </w:p>
        </w:tc>
        <w:tc>
          <w:tcPr>
            <w:tcW w:w="2473"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4"/>
                <w:sz w:val="18"/>
                <w:szCs w:val="18"/>
              </w:rPr>
            </w:pPr>
            <w:r>
              <w:rPr>
                <w:rFonts w:hint="eastAsia" w:ascii="仿宋" w:hAnsi="仿宋" w:eastAsia="仿宋" w:cs="仿宋"/>
                <w:color w:val="000000" w:themeColor="text1"/>
                <w:kern w:val="0"/>
                <w:sz w:val="18"/>
                <w:szCs w:val="18"/>
              </w:rPr>
              <w:t>500吨以上1000吨以下的</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1155" w:type="dxa"/>
            <w:vMerge w:val="continue"/>
            <w:tcBorders>
              <w:right w:val="single" w:color="auto" w:sz="4" w:space="0"/>
            </w:tcBorders>
            <w:vAlign w:val="center"/>
          </w:tcPr>
          <w:p>
            <w:pPr>
              <w:spacing w:before="41" w:line="184" w:lineRule="auto"/>
              <w:ind w:firstLine="125"/>
              <w:jc w:val="center"/>
              <w:rPr>
                <w:rFonts w:ascii="仿宋" w:hAnsi="仿宋" w:eastAsia="仿宋" w:cs="仿宋"/>
                <w:color w:val="000000" w:themeColor="text1"/>
                <w:spacing w:val="-4"/>
                <w:sz w:val="18"/>
                <w:szCs w:val="18"/>
              </w:rPr>
            </w:pPr>
          </w:p>
        </w:tc>
        <w:tc>
          <w:tcPr>
            <w:tcW w:w="2473"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4"/>
                <w:sz w:val="18"/>
                <w:szCs w:val="18"/>
              </w:rPr>
            </w:pPr>
            <w:r>
              <w:rPr>
                <w:rFonts w:hint="eastAsia" w:ascii="仿宋" w:hAnsi="仿宋" w:eastAsia="仿宋" w:cs="仿宋"/>
                <w:color w:val="000000" w:themeColor="text1"/>
                <w:kern w:val="0"/>
                <w:sz w:val="18"/>
                <w:szCs w:val="18"/>
              </w:rPr>
              <w:t>1000吨以上1500吨以下的</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02" w:type="dxa"/>
            <w:vMerge w:val="continue"/>
            <w:vAlign w:val="center"/>
          </w:tcPr>
          <w:p>
            <w:pPr>
              <w:jc w:val="center"/>
              <w:rPr>
                <w:rFonts w:ascii="仿宋" w:hAnsi="仿宋" w:eastAsia="仿宋" w:cs="仿宋"/>
                <w:color w:val="000000" w:themeColor="text1"/>
                <w:sz w:val="18"/>
                <w:szCs w:val="18"/>
              </w:rPr>
            </w:pPr>
          </w:p>
        </w:tc>
        <w:tc>
          <w:tcPr>
            <w:tcW w:w="660" w:type="dxa"/>
            <w:vMerge w:val="continue"/>
            <w:vAlign w:val="center"/>
          </w:tcPr>
          <w:p>
            <w:pPr>
              <w:jc w:val="center"/>
              <w:rPr>
                <w:rFonts w:ascii="仿宋" w:hAnsi="仿宋" w:eastAsia="仿宋" w:cs="仿宋"/>
                <w:color w:val="000000" w:themeColor="text1"/>
                <w:sz w:val="18"/>
                <w:szCs w:val="18"/>
              </w:rPr>
            </w:pPr>
          </w:p>
        </w:tc>
        <w:tc>
          <w:tcPr>
            <w:tcW w:w="1155" w:type="dxa"/>
            <w:vMerge w:val="continue"/>
            <w:tcBorders>
              <w:right w:val="single" w:color="auto" w:sz="4" w:space="0"/>
            </w:tcBorders>
            <w:vAlign w:val="center"/>
          </w:tcPr>
          <w:p>
            <w:pPr>
              <w:spacing w:before="41" w:line="184" w:lineRule="auto"/>
              <w:ind w:firstLine="125"/>
              <w:jc w:val="center"/>
              <w:rPr>
                <w:rFonts w:ascii="仿宋" w:hAnsi="仿宋" w:eastAsia="仿宋" w:cs="仿宋"/>
                <w:color w:val="000000" w:themeColor="text1"/>
                <w:spacing w:val="-4"/>
                <w:sz w:val="18"/>
                <w:szCs w:val="18"/>
              </w:rPr>
            </w:pPr>
          </w:p>
        </w:tc>
        <w:tc>
          <w:tcPr>
            <w:tcW w:w="2473"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4"/>
                <w:sz w:val="18"/>
                <w:szCs w:val="18"/>
              </w:rPr>
            </w:pPr>
            <w:r>
              <w:rPr>
                <w:rFonts w:hint="eastAsia" w:ascii="仿宋" w:hAnsi="仿宋" w:eastAsia="仿宋" w:cs="仿宋"/>
                <w:color w:val="000000" w:themeColor="text1"/>
                <w:kern w:val="0"/>
                <w:sz w:val="18"/>
                <w:szCs w:val="18"/>
              </w:rPr>
              <w:t>1500吨以上的</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7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一年内违法次数</w:t>
            </w:r>
          </w:p>
        </w:tc>
        <w:tc>
          <w:tcPr>
            <w:tcW w:w="6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628" w:type="dxa"/>
            <w:gridSpan w:val="2"/>
            <w:vAlign w:val="center"/>
          </w:tcPr>
          <w:p>
            <w:pPr>
              <w:spacing w:before="43" w:line="184" w:lineRule="auto"/>
              <w:ind w:firstLine="12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首次实施违法行为的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再次实施违法行为的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2" w:line="184" w:lineRule="auto"/>
              <w:ind w:firstLine="12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第三次实施违法行为的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15%</w:t>
            </w:r>
          </w:p>
        </w:tc>
        <w:tc>
          <w:tcPr>
            <w:tcW w:w="65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1" w:line="184" w:lineRule="auto"/>
              <w:ind w:firstLine="13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三次以上实施违法行为的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65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7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6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628" w:type="dxa"/>
            <w:gridSpan w:val="2"/>
            <w:vAlign w:val="center"/>
          </w:tcPr>
          <w:p>
            <w:pPr>
              <w:spacing w:before="41" w:line="184" w:lineRule="auto"/>
              <w:ind w:firstLine="11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全面整改并停止违法行为的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1" w:line="212" w:lineRule="auto"/>
              <w:ind w:left="122" w:right="21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正在整改但违法行为未完全</w:t>
            </w:r>
            <w:r>
              <w:rPr>
                <w:rFonts w:hint="eastAsia" w:ascii="仿宋" w:hAnsi="仿宋" w:eastAsia="仿宋" w:cs="仿宋"/>
                <w:color w:val="000000" w:themeColor="text1"/>
                <w:spacing w:val="-6"/>
                <w:sz w:val="18"/>
                <w:szCs w:val="18"/>
              </w:rPr>
              <w:t>消除的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3" w:line="184" w:lineRule="auto"/>
              <w:ind w:firstLine="126"/>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复查时未采取整改措施的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w:t>
            </w:r>
            <w:r>
              <w:rPr>
                <w:rFonts w:hint="eastAsia" w:ascii="仿宋" w:hAnsi="仿宋" w:eastAsia="仿宋" w:cs="仿宋"/>
                <w:color w:val="000000" w:themeColor="text1"/>
                <w:spacing w:val="-4"/>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配合调查</w:t>
            </w:r>
            <w:r>
              <w:rPr>
                <w:rFonts w:hint="eastAsia" w:ascii="仿宋" w:hAnsi="仿宋" w:eastAsia="仿宋" w:cs="仿宋"/>
                <w:color w:val="000000" w:themeColor="text1"/>
                <w:spacing w:val="-3"/>
                <w:sz w:val="18"/>
                <w:szCs w:val="18"/>
              </w:rPr>
              <w:t>取证情况</w:t>
            </w:r>
          </w:p>
        </w:tc>
        <w:tc>
          <w:tcPr>
            <w:tcW w:w="170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执法检</w:t>
            </w:r>
            <w:r>
              <w:rPr>
                <w:rFonts w:hint="eastAsia" w:ascii="仿宋" w:hAnsi="仿宋" w:eastAsia="仿宋" w:cs="仿宋"/>
                <w:color w:val="000000" w:themeColor="text1"/>
                <w:sz w:val="18"/>
                <w:szCs w:val="18"/>
              </w:rPr>
              <w:t>查</w:t>
            </w:r>
          </w:p>
        </w:tc>
        <w:tc>
          <w:tcPr>
            <w:tcW w:w="6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628" w:type="dxa"/>
            <w:gridSpan w:val="2"/>
            <w:vAlign w:val="center"/>
          </w:tcPr>
          <w:p>
            <w:pPr>
              <w:spacing w:before="42" w:line="184" w:lineRule="auto"/>
              <w:ind w:firstLine="12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配合检查的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2" w:line="184" w:lineRule="auto"/>
              <w:ind w:firstLine="125"/>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不</w:t>
            </w:r>
            <w:r>
              <w:rPr>
                <w:rFonts w:hint="eastAsia" w:ascii="仿宋" w:hAnsi="仿宋" w:eastAsia="仿宋" w:cs="仿宋"/>
                <w:color w:val="000000" w:themeColor="text1"/>
                <w:spacing w:val="-4"/>
                <w:sz w:val="18"/>
                <w:szCs w:val="18"/>
              </w:rPr>
              <w:t>配合检查的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w:t>
            </w:r>
            <w:r>
              <w:rPr>
                <w:rFonts w:hint="eastAsia" w:ascii="仿宋" w:hAnsi="仿宋" w:eastAsia="仿宋" w:cs="仿宋"/>
                <w:color w:val="000000" w:themeColor="text1"/>
                <w:spacing w:val="-11"/>
                <w:w w:val="98"/>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w:t>
            </w:r>
            <w:r>
              <w:rPr>
                <w:rFonts w:hint="eastAsia" w:ascii="仿宋" w:hAnsi="仿宋" w:eastAsia="仿宋" w:cs="仿宋"/>
                <w:color w:val="000000" w:themeColor="text1"/>
                <w:spacing w:val="-1"/>
                <w:sz w:val="18"/>
                <w:szCs w:val="18"/>
              </w:rPr>
              <w:t>响或生态破坏程度</w:t>
            </w:r>
          </w:p>
        </w:tc>
        <w:tc>
          <w:tcPr>
            <w:tcW w:w="17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w:t>
            </w:r>
            <w:r>
              <w:rPr>
                <w:rFonts w:hint="eastAsia" w:ascii="仿宋" w:hAnsi="仿宋" w:eastAsia="仿宋" w:cs="仿宋"/>
                <w:color w:val="000000" w:themeColor="text1"/>
                <w:spacing w:val="-3"/>
                <w:sz w:val="18"/>
                <w:szCs w:val="18"/>
              </w:rPr>
              <w:t>影响或生态破</w:t>
            </w:r>
            <w:r>
              <w:rPr>
                <w:rFonts w:hint="eastAsia" w:ascii="仿宋" w:hAnsi="仿宋" w:eastAsia="仿宋" w:cs="仿宋"/>
                <w:color w:val="000000" w:themeColor="text1"/>
                <w:sz w:val="18"/>
                <w:szCs w:val="18"/>
              </w:rPr>
              <w:t>坏</w:t>
            </w:r>
          </w:p>
        </w:tc>
        <w:tc>
          <w:tcPr>
            <w:tcW w:w="66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628"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color w:val="000000" w:themeColor="text1"/>
                <w:sz w:val="18"/>
                <w:szCs w:val="18"/>
              </w:rPr>
              <w:t>无</w:t>
            </w:r>
          </w:p>
        </w:tc>
        <w:tc>
          <w:tcPr>
            <w:tcW w:w="597"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color w:val="000000" w:themeColor="text1"/>
                <w:sz w:val="18"/>
                <w:szCs w:val="18"/>
                <w:lang w:val="en-US"/>
              </w:rPr>
              <w:t>0%</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1"/>
                <w:sz w:val="18"/>
                <w:szCs w:val="18"/>
              </w:rPr>
            </w:pPr>
          </w:p>
        </w:tc>
        <w:tc>
          <w:tcPr>
            <w:tcW w:w="66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628"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color w:val="000000" w:themeColor="text1"/>
                <w:sz w:val="18"/>
                <w:szCs w:val="18"/>
              </w:rPr>
              <w:t>轻微（1 级）</w:t>
            </w:r>
          </w:p>
        </w:tc>
        <w:tc>
          <w:tcPr>
            <w:tcW w:w="59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color w:val="000000" w:themeColor="text1"/>
                <w:sz w:val="18"/>
                <w:szCs w:val="18"/>
                <w:lang w:val="en-US"/>
              </w:rPr>
              <w:t>5</w:t>
            </w:r>
            <w:r>
              <w:rPr>
                <w:rFonts w:hint="eastAsia"/>
                <w:color w:val="000000" w:themeColor="text1"/>
                <w:sz w:val="18"/>
                <w:szCs w:val="18"/>
              </w:rPr>
              <w:t>%</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1"/>
                <w:sz w:val="18"/>
                <w:szCs w:val="18"/>
              </w:rPr>
            </w:pPr>
          </w:p>
        </w:tc>
        <w:tc>
          <w:tcPr>
            <w:tcW w:w="66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628"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color w:val="000000" w:themeColor="text1"/>
                <w:sz w:val="18"/>
                <w:szCs w:val="18"/>
              </w:rPr>
              <w:t>一般（2 级）</w:t>
            </w:r>
          </w:p>
        </w:tc>
        <w:tc>
          <w:tcPr>
            <w:tcW w:w="597" w:type="dxa"/>
            <w:tcBorders>
              <w:top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color w:val="000000" w:themeColor="text1"/>
                <w:sz w:val="18"/>
                <w:szCs w:val="18"/>
                <w:lang w:val="en-US"/>
              </w:rPr>
              <w:t>10</w:t>
            </w:r>
            <w:r>
              <w:rPr>
                <w:rFonts w:hint="eastAsia"/>
                <w:color w:val="000000" w:themeColor="text1"/>
                <w:sz w:val="18"/>
                <w:szCs w:val="18"/>
              </w:rPr>
              <w:t>%</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bottom w:val="nil"/>
            </w:tcBorders>
            <w:vAlign w:val="center"/>
          </w:tcPr>
          <w:p>
            <w:pPr>
              <w:spacing w:before="79" w:line="184" w:lineRule="auto"/>
              <w:jc w:val="center"/>
              <w:rPr>
                <w:rFonts w:ascii="仿宋" w:hAnsi="仿宋" w:eastAsia="仿宋" w:cs="仿宋"/>
                <w:color w:val="000000" w:themeColor="text1"/>
                <w:sz w:val="18"/>
                <w:szCs w:val="18"/>
              </w:rPr>
            </w:pPr>
          </w:p>
        </w:tc>
        <w:tc>
          <w:tcPr>
            <w:tcW w:w="3628"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color w:val="000000" w:themeColor="text1"/>
                <w:sz w:val="18"/>
                <w:szCs w:val="18"/>
              </w:rPr>
              <w:t>较重（3 级）</w:t>
            </w:r>
          </w:p>
        </w:tc>
        <w:tc>
          <w:tcPr>
            <w:tcW w:w="597" w:type="dxa"/>
            <w:tcBorders>
              <w:bottom w:val="single" w:color="auto" w:sz="4" w:space="0"/>
              <w:right w:val="single" w:color="auto" w:sz="4" w:space="0"/>
            </w:tcBorders>
            <w:vAlign w:val="center"/>
          </w:tcPr>
          <w:p>
            <w:pPr>
              <w:pStyle w:val="16"/>
              <w:spacing w:before="40"/>
              <w:ind w:left="131" w:right="117"/>
              <w:jc w:val="center"/>
              <w:rPr>
                <w:color w:val="000000" w:themeColor="text1"/>
                <w:sz w:val="18"/>
                <w:szCs w:val="18"/>
              </w:rPr>
            </w:pPr>
            <w:r>
              <w:rPr>
                <w:rFonts w:hint="eastAsia"/>
                <w:color w:val="000000" w:themeColor="text1"/>
                <w:sz w:val="18"/>
                <w:szCs w:val="18"/>
                <w:lang w:val="en-US"/>
              </w:rPr>
              <w:t>15</w:t>
            </w:r>
            <w:r>
              <w:rPr>
                <w:rFonts w:hint="eastAsia"/>
                <w:color w:val="000000" w:themeColor="text1"/>
                <w:sz w:val="18"/>
                <w:szCs w:val="18"/>
              </w:rPr>
              <w:t>%</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02" w:type="dxa"/>
            <w:vMerge w:val="continue"/>
            <w:vAlign w:val="center"/>
          </w:tcPr>
          <w:p>
            <w:pPr>
              <w:jc w:val="center"/>
              <w:rPr>
                <w:rFonts w:ascii="仿宋" w:hAnsi="仿宋" w:eastAsia="仿宋" w:cs="仿宋"/>
                <w:color w:val="000000" w:themeColor="text1"/>
                <w:sz w:val="18"/>
                <w:szCs w:val="18"/>
              </w:rPr>
            </w:pPr>
          </w:p>
        </w:tc>
        <w:tc>
          <w:tcPr>
            <w:tcW w:w="660" w:type="dxa"/>
            <w:vMerge w:val="continue"/>
            <w:vAlign w:val="center"/>
          </w:tcPr>
          <w:p>
            <w:pPr>
              <w:jc w:val="center"/>
              <w:rPr>
                <w:rFonts w:ascii="仿宋" w:hAnsi="仿宋" w:eastAsia="仿宋" w:cs="仿宋"/>
                <w:color w:val="000000" w:themeColor="text1"/>
                <w:sz w:val="18"/>
                <w:szCs w:val="18"/>
              </w:rPr>
            </w:pPr>
          </w:p>
        </w:tc>
        <w:tc>
          <w:tcPr>
            <w:tcW w:w="3628"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color w:val="000000" w:themeColor="text1"/>
                <w:sz w:val="18"/>
                <w:szCs w:val="18"/>
              </w:rPr>
              <w:t>严重（4 级）</w:t>
            </w:r>
          </w:p>
        </w:tc>
        <w:tc>
          <w:tcPr>
            <w:tcW w:w="59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color w:val="000000" w:themeColor="text1"/>
                <w:sz w:val="18"/>
                <w:szCs w:val="18"/>
                <w:lang w:val="en-US"/>
              </w:rPr>
              <w:t>20</w:t>
            </w:r>
            <w:r>
              <w:rPr>
                <w:rFonts w:hint="eastAsia"/>
                <w:color w:val="000000" w:themeColor="text1"/>
                <w:sz w:val="18"/>
                <w:szCs w:val="18"/>
              </w:rPr>
              <w:t>%</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8439" w:type="dxa"/>
            <w:gridSpan w:val="7"/>
            <w:vAlign w:val="center"/>
          </w:tcPr>
          <w:p>
            <w:pPr>
              <w:jc w:val="left"/>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8439" w:type="dxa"/>
            <w:gridSpan w:val="7"/>
            <w:vAlign w:val="center"/>
          </w:tcPr>
          <w:p>
            <w:pPr>
              <w:jc w:val="left"/>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一款贮存煤炭、煤矸石、煤渣、煤灰、水泥、石灰、石膏、砂土等易产生扬尘的物料应当密闭；不能密闭的，应当设置不低于堆放物高度的严密围挡，并采取有效覆盖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(一)未密闭煤炭、煤矸石、煤渣、煤灰、水泥、石灰、石膏、砂土等易产生扬尘的物料的；</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44" w:name="_Toc23196"/>
      <w:bookmarkStart w:id="145" w:name="_Toc21781"/>
      <w:r>
        <w:rPr>
          <w:rFonts w:hint="eastAsia" w:ascii="仿宋" w:hAnsi="仿宋" w:eastAsia="仿宋" w:cs="仿宋"/>
          <w:b/>
          <w:bCs/>
          <w:color w:val="000000" w:themeColor="text1"/>
          <w:kern w:val="0"/>
          <w:sz w:val="24"/>
        </w:rPr>
        <w:t>表31对不能密闭的易产生扬尘的物料，未设置不低于堆放物高度的严密围挡，或者未采取有效覆盖措施防治扬尘污染的罚款幅度裁定</w:t>
      </w:r>
      <w:bookmarkEnd w:id="144"/>
      <w:bookmarkEnd w:id="145"/>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8"/>
        <w:gridCol w:w="1461"/>
        <w:gridCol w:w="750"/>
        <w:gridCol w:w="1365"/>
        <w:gridCol w:w="2496"/>
        <w:gridCol w:w="686"/>
        <w:gridCol w:w="578"/>
        <w:gridCol w:w="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3429"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70" w:type="dxa"/>
            <w:gridSpan w:val="5"/>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121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6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6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365" w:type="dxa"/>
            <w:vMerge w:val="restart"/>
            <w:tcBorders>
              <w:right w:val="single" w:color="auto" w:sz="4" w:space="0"/>
            </w:tcBorders>
            <w:vAlign w:val="center"/>
          </w:tcPr>
          <w:p>
            <w:pPr>
              <w:spacing w:before="42" w:line="212" w:lineRule="auto"/>
              <w:ind w:left="121" w:right="264" w:firstLine="33"/>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已采取防治扬尘污染措施，</w:t>
            </w:r>
            <w:r>
              <w:rPr>
                <w:rFonts w:ascii="仿宋" w:hAnsi="仿宋" w:eastAsia="仿宋" w:cs="仿宋"/>
                <w:color w:val="000000" w:themeColor="text1"/>
                <w:spacing w:val="-4"/>
                <w:sz w:val="18"/>
                <w:szCs w:val="18"/>
              </w:rPr>
              <w:t>效果不佳的</w:t>
            </w:r>
          </w:p>
        </w:tc>
        <w:tc>
          <w:tcPr>
            <w:tcW w:w="2496"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500吨以下的</w:t>
            </w:r>
          </w:p>
        </w:tc>
        <w:tc>
          <w:tcPr>
            <w:tcW w:w="68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23" w:type="dxa"/>
            <w:gridSpan w:val="2"/>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3"/>
                <w:sz w:val="18"/>
                <w:szCs w:val="18"/>
              </w:rPr>
            </w:pPr>
          </w:p>
        </w:tc>
        <w:tc>
          <w:tcPr>
            <w:tcW w:w="750" w:type="dxa"/>
            <w:vMerge w:val="continue"/>
            <w:vAlign w:val="center"/>
          </w:tcPr>
          <w:p>
            <w:pPr>
              <w:jc w:val="center"/>
              <w:rPr>
                <w:rFonts w:ascii="仿宋" w:hAnsi="仿宋" w:eastAsia="仿宋" w:cs="仿宋"/>
                <w:color w:val="000000" w:themeColor="text1"/>
                <w:spacing w:val="-6"/>
                <w:sz w:val="18"/>
                <w:szCs w:val="18"/>
              </w:rPr>
            </w:pPr>
          </w:p>
        </w:tc>
        <w:tc>
          <w:tcPr>
            <w:tcW w:w="1365" w:type="dxa"/>
            <w:vMerge w:val="continue"/>
            <w:tcBorders>
              <w:right w:val="single" w:color="auto" w:sz="4" w:space="0"/>
            </w:tcBorders>
            <w:vAlign w:val="center"/>
          </w:tcPr>
          <w:p>
            <w:pPr>
              <w:spacing w:before="42" w:line="212" w:lineRule="auto"/>
              <w:ind w:left="121" w:right="264" w:firstLine="33"/>
              <w:rPr>
                <w:rFonts w:ascii="仿宋" w:hAnsi="仿宋" w:eastAsia="仿宋" w:cs="仿宋"/>
                <w:color w:val="000000" w:themeColor="text1"/>
                <w:spacing w:val="-9"/>
                <w:sz w:val="18"/>
                <w:szCs w:val="18"/>
              </w:rPr>
            </w:pPr>
          </w:p>
        </w:tc>
        <w:tc>
          <w:tcPr>
            <w:tcW w:w="2496"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500吨以上1000吨以下的</w:t>
            </w:r>
          </w:p>
        </w:tc>
        <w:tc>
          <w:tcPr>
            <w:tcW w:w="6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3"/>
                <w:sz w:val="18"/>
                <w:szCs w:val="18"/>
              </w:rPr>
            </w:pPr>
          </w:p>
        </w:tc>
        <w:tc>
          <w:tcPr>
            <w:tcW w:w="750" w:type="dxa"/>
            <w:vMerge w:val="continue"/>
            <w:vAlign w:val="center"/>
          </w:tcPr>
          <w:p>
            <w:pPr>
              <w:jc w:val="center"/>
              <w:rPr>
                <w:rFonts w:ascii="仿宋" w:hAnsi="仿宋" w:eastAsia="仿宋" w:cs="仿宋"/>
                <w:color w:val="000000" w:themeColor="text1"/>
                <w:spacing w:val="-6"/>
                <w:sz w:val="18"/>
                <w:szCs w:val="18"/>
              </w:rPr>
            </w:pPr>
          </w:p>
        </w:tc>
        <w:tc>
          <w:tcPr>
            <w:tcW w:w="1365" w:type="dxa"/>
            <w:vMerge w:val="continue"/>
            <w:tcBorders>
              <w:right w:val="single" w:color="auto" w:sz="4" w:space="0"/>
            </w:tcBorders>
            <w:vAlign w:val="center"/>
          </w:tcPr>
          <w:p>
            <w:pPr>
              <w:spacing w:before="42" w:line="212" w:lineRule="auto"/>
              <w:ind w:left="121" w:right="264" w:firstLine="33"/>
              <w:rPr>
                <w:rFonts w:ascii="仿宋" w:hAnsi="仿宋" w:eastAsia="仿宋" w:cs="仿宋"/>
                <w:color w:val="000000" w:themeColor="text1"/>
                <w:spacing w:val="-9"/>
                <w:sz w:val="18"/>
                <w:szCs w:val="18"/>
              </w:rPr>
            </w:pPr>
          </w:p>
        </w:tc>
        <w:tc>
          <w:tcPr>
            <w:tcW w:w="2496"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1000吨以上1500吨以下的</w:t>
            </w:r>
          </w:p>
        </w:tc>
        <w:tc>
          <w:tcPr>
            <w:tcW w:w="6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3"/>
                <w:sz w:val="18"/>
                <w:szCs w:val="18"/>
              </w:rPr>
            </w:pPr>
          </w:p>
        </w:tc>
        <w:tc>
          <w:tcPr>
            <w:tcW w:w="750" w:type="dxa"/>
            <w:vMerge w:val="continue"/>
            <w:vAlign w:val="center"/>
          </w:tcPr>
          <w:p>
            <w:pPr>
              <w:jc w:val="center"/>
              <w:rPr>
                <w:rFonts w:ascii="仿宋" w:hAnsi="仿宋" w:eastAsia="仿宋" w:cs="仿宋"/>
                <w:color w:val="000000" w:themeColor="text1"/>
                <w:spacing w:val="-6"/>
                <w:sz w:val="18"/>
                <w:szCs w:val="18"/>
              </w:rPr>
            </w:pPr>
          </w:p>
        </w:tc>
        <w:tc>
          <w:tcPr>
            <w:tcW w:w="1365" w:type="dxa"/>
            <w:vMerge w:val="continue"/>
            <w:tcBorders>
              <w:right w:val="single" w:color="auto" w:sz="4" w:space="0"/>
            </w:tcBorders>
            <w:vAlign w:val="center"/>
          </w:tcPr>
          <w:p>
            <w:pPr>
              <w:spacing w:before="42" w:line="212" w:lineRule="auto"/>
              <w:ind w:left="121" w:right="264" w:firstLine="33"/>
              <w:rPr>
                <w:rFonts w:ascii="仿宋" w:hAnsi="仿宋" w:eastAsia="仿宋" w:cs="仿宋"/>
                <w:color w:val="000000" w:themeColor="text1"/>
                <w:spacing w:val="-9"/>
                <w:sz w:val="18"/>
                <w:szCs w:val="18"/>
              </w:rPr>
            </w:pPr>
          </w:p>
        </w:tc>
        <w:tc>
          <w:tcPr>
            <w:tcW w:w="2496"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1500吨以上的</w:t>
            </w:r>
          </w:p>
        </w:tc>
        <w:tc>
          <w:tcPr>
            <w:tcW w:w="686"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23"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1365" w:type="dxa"/>
            <w:vMerge w:val="restart"/>
            <w:tcBorders>
              <w:right w:val="single" w:color="auto" w:sz="4" w:space="0"/>
            </w:tcBorders>
            <w:vAlign w:val="center"/>
          </w:tcPr>
          <w:p>
            <w:pPr>
              <w:spacing w:before="41" w:line="212" w:lineRule="auto"/>
              <w:ind w:left="116" w:right="210" w:firstLine="1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完全未采取防治扬尘污染措</w:t>
            </w:r>
            <w:r>
              <w:rPr>
                <w:rFonts w:ascii="仿宋" w:hAnsi="仿宋" w:eastAsia="仿宋" w:cs="仿宋"/>
                <w:color w:val="000000" w:themeColor="text1"/>
                <w:spacing w:val="-6"/>
                <w:sz w:val="18"/>
                <w:szCs w:val="18"/>
              </w:rPr>
              <w:t>施的</w:t>
            </w:r>
          </w:p>
        </w:tc>
        <w:tc>
          <w:tcPr>
            <w:tcW w:w="2496"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500吨以下的</w:t>
            </w:r>
          </w:p>
        </w:tc>
        <w:tc>
          <w:tcPr>
            <w:tcW w:w="68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623" w:type="dxa"/>
            <w:gridSpan w:val="2"/>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1365"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496"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500吨以上1000吨以下的</w:t>
            </w:r>
          </w:p>
        </w:tc>
        <w:tc>
          <w:tcPr>
            <w:tcW w:w="6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1365"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496"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1000吨以上1500吨以下的</w:t>
            </w:r>
          </w:p>
        </w:tc>
        <w:tc>
          <w:tcPr>
            <w:tcW w:w="6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8" w:type="dxa"/>
            <w:vMerge w:val="continue"/>
            <w:vAlign w:val="center"/>
          </w:tcPr>
          <w:p>
            <w:pPr>
              <w:jc w:val="center"/>
              <w:rPr>
                <w:rFonts w:ascii="Malgun Gothic"/>
                <w:color w:val="000000" w:themeColor="text1"/>
                <w:sz w:val="18"/>
                <w:szCs w:val="18"/>
              </w:rPr>
            </w:pPr>
          </w:p>
        </w:tc>
        <w:tc>
          <w:tcPr>
            <w:tcW w:w="1461" w:type="dxa"/>
            <w:vMerge w:val="continue"/>
            <w:vAlign w:val="center"/>
          </w:tcPr>
          <w:p>
            <w:pPr>
              <w:jc w:val="center"/>
              <w:rPr>
                <w:rFonts w:ascii="Malgun Gothic"/>
                <w:color w:val="000000" w:themeColor="text1"/>
                <w:sz w:val="18"/>
                <w:szCs w:val="18"/>
              </w:rPr>
            </w:pPr>
          </w:p>
        </w:tc>
        <w:tc>
          <w:tcPr>
            <w:tcW w:w="750" w:type="dxa"/>
            <w:vMerge w:val="continue"/>
            <w:vAlign w:val="center"/>
          </w:tcPr>
          <w:p>
            <w:pPr>
              <w:jc w:val="center"/>
              <w:rPr>
                <w:rFonts w:ascii="Malgun Gothic"/>
                <w:color w:val="000000" w:themeColor="text1"/>
                <w:sz w:val="18"/>
                <w:szCs w:val="18"/>
              </w:rPr>
            </w:pPr>
          </w:p>
        </w:tc>
        <w:tc>
          <w:tcPr>
            <w:tcW w:w="1365"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496"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1500吨以上的</w:t>
            </w:r>
          </w:p>
        </w:tc>
        <w:tc>
          <w:tcPr>
            <w:tcW w:w="686"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61" w:type="dxa"/>
            <w:gridSpan w:val="2"/>
            <w:vAlign w:val="center"/>
          </w:tcPr>
          <w:p>
            <w:pPr>
              <w:spacing w:before="41"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23"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tcBorders>
              <w:top w:val="nil"/>
              <w:bottom w:val="nil"/>
            </w:tcBorders>
            <w:vAlign w:val="center"/>
          </w:tcPr>
          <w:p>
            <w:pPr>
              <w:jc w:val="center"/>
              <w:rPr>
                <w:rFonts w:ascii="Malgun Gothic"/>
                <w:color w:val="000000" w:themeColor="text1"/>
                <w:sz w:val="18"/>
                <w:szCs w:val="18"/>
              </w:rPr>
            </w:pPr>
          </w:p>
        </w:tc>
        <w:tc>
          <w:tcPr>
            <w:tcW w:w="1461" w:type="dxa"/>
            <w:vMerge w:val="continue"/>
            <w:tcBorders>
              <w:top w:val="nil"/>
              <w:bottom w:val="nil"/>
            </w:tcBorders>
            <w:vAlign w:val="center"/>
          </w:tcPr>
          <w:p>
            <w:pPr>
              <w:jc w:val="center"/>
              <w:rPr>
                <w:rFonts w:ascii="Malgun Gothic"/>
                <w:color w:val="000000" w:themeColor="text1"/>
                <w:sz w:val="18"/>
                <w:szCs w:val="18"/>
              </w:rPr>
            </w:pPr>
          </w:p>
        </w:tc>
        <w:tc>
          <w:tcPr>
            <w:tcW w:w="750" w:type="dxa"/>
            <w:vMerge w:val="continue"/>
            <w:tcBorders>
              <w:top w:val="nil"/>
              <w:bottom w:val="nil"/>
            </w:tcBorders>
            <w:vAlign w:val="center"/>
          </w:tcPr>
          <w:p>
            <w:pPr>
              <w:jc w:val="center"/>
              <w:rPr>
                <w:rFonts w:ascii="Malgun Gothic"/>
                <w:color w:val="000000" w:themeColor="text1"/>
                <w:sz w:val="18"/>
                <w:szCs w:val="18"/>
              </w:rPr>
            </w:pPr>
          </w:p>
        </w:tc>
        <w:tc>
          <w:tcPr>
            <w:tcW w:w="3861" w:type="dxa"/>
            <w:gridSpan w:val="2"/>
            <w:vAlign w:val="center"/>
          </w:tcPr>
          <w:p>
            <w:pPr>
              <w:spacing w:before="43"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tcBorders>
              <w:top w:val="nil"/>
              <w:bottom w:val="nil"/>
            </w:tcBorders>
            <w:vAlign w:val="center"/>
          </w:tcPr>
          <w:p>
            <w:pPr>
              <w:jc w:val="center"/>
              <w:rPr>
                <w:rFonts w:ascii="Malgun Gothic"/>
                <w:color w:val="000000" w:themeColor="text1"/>
                <w:sz w:val="18"/>
                <w:szCs w:val="18"/>
              </w:rPr>
            </w:pPr>
          </w:p>
        </w:tc>
        <w:tc>
          <w:tcPr>
            <w:tcW w:w="1461" w:type="dxa"/>
            <w:vMerge w:val="continue"/>
            <w:tcBorders>
              <w:top w:val="nil"/>
              <w:bottom w:val="nil"/>
            </w:tcBorders>
            <w:vAlign w:val="center"/>
          </w:tcPr>
          <w:p>
            <w:pPr>
              <w:jc w:val="center"/>
              <w:rPr>
                <w:rFonts w:ascii="Malgun Gothic"/>
                <w:color w:val="000000" w:themeColor="text1"/>
                <w:sz w:val="18"/>
                <w:szCs w:val="18"/>
              </w:rPr>
            </w:pPr>
          </w:p>
        </w:tc>
        <w:tc>
          <w:tcPr>
            <w:tcW w:w="750" w:type="dxa"/>
            <w:vMerge w:val="continue"/>
            <w:tcBorders>
              <w:top w:val="nil"/>
              <w:bottom w:val="nil"/>
            </w:tcBorders>
            <w:vAlign w:val="center"/>
          </w:tcPr>
          <w:p>
            <w:pPr>
              <w:jc w:val="center"/>
              <w:rPr>
                <w:rFonts w:ascii="Malgun Gothic"/>
                <w:color w:val="000000" w:themeColor="text1"/>
                <w:sz w:val="18"/>
                <w:szCs w:val="18"/>
              </w:rPr>
            </w:pPr>
          </w:p>
        </w:tc>
        <w:tc>
          <w:tcPr>
            <w:tcW w:w="3861" w:type="dxa"/>
            <w:gridSpan w:val="2"/>
            <w:vAlign w:val="center"/>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3861" w:type="dxa"/>
            <w:gridSpan w:val="2"/>
            <w:vAlign w:val="center"/>
          </w:tcPr>
          <w:p>
            <w:pPr>
              <w:spacing w:before="42"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61" w:type="dxa"/>
            <w:gridSpan w:val="2"/>
            <w:vAlign w:val="center"/>
          </w:tcPr>
          <w:p>
            <w:pPr>
              <w:spacing w:before="42"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tcBorders>
              <w:top w:val="nil"/>
              <w:bottom w:val="nil"/>
            </w:tcBorders>
            <w:vAlign w:val="center"/>
          </w:tcPr>
          <w:p>
            <w:pPr>
              <w:jc w:val="center"/>
              <w:rPr>
                <w:rFonts w:ascii="Malgun Gothic"/>
                <w:color w:val="000000" w:themeColor="text1"/>
                <w:sz w:val="18"/>
                <w:szCs w:val="18"/>
              </w:rPr>
            </w:pPr>
          </w:p>
        </w:tc>
        <w:tc>
          <w:tcPr>
            <w:tcW w:w="1461" w:type="dxa"/>
            <w:vMerge w:val="continue"/>
            <w:tcBorders>
              <w:top w:val="nil"/>
              <w:bottom w:val="nil"/>
            </w:tcBorders>
            <w:vAlign w:val="center"/>
          </w:tcPr>
          <w:p>
            <w:pPr>
              <w:jc w:val="center"/>
              <w:rPr>
                <w:rFonts w:ascii="Malgun Gothic"/>
                <w:color w:val="000000" w:themeColor="text1"/>
                <w:sz w:val="18"/>
                <w:szCs w:val="18"/>
              </w:rPr>
            </w:pPr>
          </w:p>
        </w:tc>
        <w:tc>
          <w:tcPr>
            <w:tcW w:w="750" w:type="dxa"/>
            <w:vMerge w:val="continue"/>
            <w:tcBorders>
              <w:top w:val="nil"/>
              <w:bottom w:val="nil"/>
            </w:tcBorders>
            <w:vAlign w:val="center"/>
          </w:tcPr>
          <w:p>
            <w:pPr>
              <w:jc w:val="center"/>
              <w:rPr>
                <w:rFonts w:ascii="Malgun Gothic"/>
                <w:color w:val="000000" w:themeColor="text1"/>
                <w:sz w:val="18"/>
                <w:szCs w:val="18"/>
              </w:rPr>
            </w:pPr>
          </w:p>
        </w:tc>
        <w:tc>
          <w:tcPr>
            <w:tcW w:w="3861" w:type="dxa"/>
            <w:gridSpan w:val="2"/>
            <w:vAlign w:val="center"/>
          </w:tcPr>
          <w:p>
            <w:pPr>
              <w:spacing w:before="41"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3861" w:type="dxa"/>
            <w:gridSpan w:val="2"/>
            <w:vAlign w:val="center"/>
          </w:tcPr>
          <w:p>
            <w:pPr>
              <w:spacing w:before="41"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86" w:type="dxa"/>
            <w:tcBorders>
              <w:right w:val="single" w:color="auto" w:sz="4" w:space="0"/>
            </w:tcBorders>
            <w:vAlign w:val="center"/>
          </w:tcPr>
          <w:p>
            <w:pPr>
              <w:ind w:firstLine="172" w:firstLineChars="100"/>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61" w:type="dxa"/>
            <w:vMerge w:val="restart"/>
            <w:tcBorders>
              <w:bottom w:val="nil"/>
            </w:tcBorders>
            <w:vAlign w:val="center"/>
          </w:tcPr>
          <w:p>
            <w:pPr>
              <w:ind w:left="701" w:right="218"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left="701" w:right="218"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61" w:type="dxa"/>
            <w:gridSpan w:val="2"/>
            <w:vAlign w:val="center"/>
          </w:tcPr>
          <w:p>
            <w:pPr>
              <w:spacing w:before="43"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3861" w:type="dxa"/>
            <w:gridSpan w:val="2"/>
            <w:vAlign w:val="center"/>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5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61"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86"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23" w:type="dxa"/>
            <w:gridSpan w:val="2"/>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1"/>
                <w:sz w:val="18"/>
                <w:szCs w:val="18"/>
              </w:rPr>
            </w:pPr>
          </w:p>
        </w:tc>
        <w:tc>
          <w:tcPr>
            <w:tcW w:w="75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686"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1"/>
                <w:sz w:val="18"/>
                <w:szCs w:val="18"/>
              </w:rPr>
            </w:pPr>
          </w:p>
        </w:tc>
        <w:tc>
          <w:tcPr>
            <w:tcW w:w="75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1"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686" w:type="dxa"/>
            <w:tcBorders>
              <w:top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23"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6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50" w:type="dxa"/>
            <w:vMerge w:val="continue"/>
            <w:tcBorders>
              <w:top w:val="nil"/>
              <w:bottom w:val="nil"/>
            </w:tcBorders>
            <w:vAlign w:val="center"/>
          </w:tcPr>
          <w:p>
            <w:pPr>
              <w:spacing w:before="79" w:line="184" w:lineRule="auto"/>
              <w:jc w:val="center"/>
              <w:rPr>
                <w:rFonts w:ascii="仿宋" w:hAnsi="仿宋" w:eastAsia="仿宋" w:cs="仿宋"/>
                <w:color w:val="000000" w:themeColor="text1"/>
                <w:sz w:val="18"/>
                <w:szCs w:val="18"/>
              </w:rPr>
            </w:pPr>
          </w:p>
        </w:tc>
        <w:tc>
          <w:tcPr>
            <w:tcW w:w="3861"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686" w:type="dxa"/>
            <w:tcBorders>
              <w:bottom w:val="single" w:color="auto" w:sz="4" w:space="0"/>
              <w:right w:val="single" w:color="auto" w:sz="4" w:space="0"/>
            </w:tcBorders>
            <w:vAlign w:val="center"/>
          </w:tcPr>
          <w:p>
            <w:pPr>
              <w:pStyle w:val="16"/>
              <w:spacing w:before="40"/>
              <w:ind w:left="131" w:right="117"/>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23" w:type="dxa"/>
            <w:gridSpan w:val="2"/>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218" w:type="dxa"/>
            <w:vMerge w:val="continue"/>
          </w:tcPr>
          <w:p>
            <w:pPr>
              <w:rPr>
                <w:rFonts w:ascii="仿宋" w:hAnsi="仿宋" w:eastAsia="仿宋" w:cs="仿宋"/>
                <w:color w:val="000000" w:themeColor="text1"/>
                <w:sz w:val="18"/>
                <w:szCs w:val="18"/>
              </w:rPr>
            </w:pPr>
          </w:p>
        </w:tc>
        <w:tc>
          <w:tcPr>
            <w:tcW w:w="1461" w:type="dxa"/>
            <w:vMerge w:val="continue"/>
          </w:tcPr>
          <w:p>
            <w:pPr>
              <w:rPr>
                <w:rFonts w:ascii="仿宋" w:hAnsi="仿宋" w:eastAsia="仿宋" w:cs="仿宋"/>
                <w:color w:val="000000" w:themeColor="text1"/>
                <w:sz w:val="18"/>
                <w:szCs w:val="18"/>
              </w:rPr>
            </w:pPr>
          </w:p>
        </w:tc>
        <w:tc>
          <w:tcPr>
            <w:tcW w:w="750" w:type="dxa"/>
            <w:vMerge w:val="continue"/>
          </w:tcPr>
          <w:p>
            <w:pPr>
              <w:rPr>
                <w:rFonts w:ascii="仿宋" w:hAnsi="仿宋" w:eastAsia="仿宋" w:cs="仿宋"/>
                <w:color w:val="000000" w:themeColor="text1"/>
                <w:sz w:val="18"/>
                <w:szCs w:val="18"/>
              </w:rPr>
            </w:pPr>
          </w:p>
        </w:tc>
        <w:tc>
          <w:tcPr>
            <w:tcW w:w="3861"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86"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45" w:type="dxa"/>
          <w:trHeight w:val="539" w:hRule="atLeast"/>
        </w:trPr>
        <w:tc>
          <w:tcPr>
            <w:tcW w:w="8554"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45" w:type="dxa"/>
          <w:trHeight w:val="584" w:hRule="atLeast"/>
        </w:trPr>
        <w:tc>
          <w:tcPr>
            <w:tcW w:w="8554"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一款贮存煤炭、煤矸石、煤渣、煤灰、水泥、石灰、石膏、砂土等易产生扬尘的物料应当密闭；不能密闭的，应当设置不低于堆放物高度的严密围挡，并采取有效覆盖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(二)对不能密闭的易产生扬尘的物料，未设置不低于堆放物高度的严密围挡，或者未采取有效覆盖措施防治扬尘污染的；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46" w:name="_Toc6322"/>
      <w:bookmarkStart w:id="147" w:name="_Toc14847"/>
      <w:r>
        <w:rPr>
          <w:rFonts w:hint="eastAsia" w:ascii="仿宋" w:hAnsi="仿宋" w:eastAsia="仿宋" w:cs="仿宋"/>
          <w:b/>
          <w:bCs/>
          <w:color w:val="000000" w:themeColor="text1"/>
          <w:kern w:val="0"/>
          <w:sz w:val="24"/>
        </w:rPr>
        <w:t>表32装卸物料未采取密闭或者喷淋等方式控制扬尘排放的罚款幅度裁定</w:t>
      </w:r>
      <w:bookmarkEnd w:id="146"/>
      <w:bookmarkEnd w:id="147"/>
    </w:p>
    <w:tbl>
      <w:tblPr>
        <w:tblStyle w:val="15"/>
        <w:tblW w:w="84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464"/>
        <w:gridCol w:w="765"/>
        <w:gridCol w:w="1260"/>
        <w:gridCol w:w="2565"/>
        <w:gridCol w:w="639"/>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344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1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6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2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260" w:type="dxa"/>
            <w:vMerge w:val="restart"/>
            <w:tcBorders>
              <w:right w:val="single" w:color="auto" w:sz="4" w:space="0"/>
            </w:tcBorders>
            <w:vAlign w:val="center"/>
          </w:tcPr>
          <w:p>
            <w:pPr>
              <w:spacing w:before="40" w:line="212" w:lineRule="auto"/>
              <w:ind w:left="121" w:right="264" w:firstLine="33"/>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已采取控制扬尘污染措施，</w:t>
            </w:r>
            <w:r>
              <w:rPr>
                <w:rFonts w:ascii="仿宋" w:hAnsi="仿宋" w:eastAsia="仿宋" w:cs="仿宋"/>
                <w:color w:val="000000" w:themeColor="text1"/>
                <w:spacing w:val="-4"/>
                <w:sz w:val="18"/>
                <w:szCs w:val="18"/>
              </w:rPr>
              <w:t>效果不佳的</w:t>
            </w:r>
          </w:p>
        </w:tc>
        <w:tc>
          <w:tcPr>
            <w:tcW w:w="2565"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涉及500吨以下的</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53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464"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6"/>
                <w:sz w:val="18"/>
                <w:szCs w:val="18"/>
              </w:rPr>
            </w:pPr>
          </w:p>
        </w:tc>
        <w:tc>
          <w:tcPr>
            <w:tcW w:w="126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565"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涉及500吨以上1000吨以下的</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464"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6"/>
                <w:sz w:val="18"/>
                <w:szCs w:val="18"/>
              </w:rPr>
            </w:pPr>
          </w:p>
        </w:tc>
        <w:tc>
          <w:tcPr>
            <w:tcW w:w="126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565"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涉及1000吨以上1500吨以下的</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464"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6"/>
                <w:sz w:val="18"/>
                <w:szCs w:val="18"/>
              </w:rPr>
            </w:pPr>
          </w:p>
        </w:tc>
        <w:tc>
          <w:tcPr>
            <w:tcW w:w="126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565"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涉及1500吨以上的</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3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1260" w:type="dxa"/>
            <w:vMerge w:val="restart"/>
            <w:tcBorders>
              <w:right w:val="single" w:color="auto" w:sz="4" w:space="0"/>
            </w:tcBorders>
            <w:vAlign w:val="center"/>
          </w:tcPr>
          <w:p>
            <w:pPr>
              <w:spacing w:before="41" w:line="212" w:lineRule="auto"/>
              <w:ind w:left="116" w:right="210" w:firstLine="1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完全未采取控制扬尘污染措</w:t>
            </w:r>
            <w:r>
              <w:rPr>
                <w:rFonts w:ascii="仿宋" w:hAnsi="仿宋" w:eastAsia="仿宋" w:cs="仿宋"/>
                <w:color w:val="000000" w:themeColor="text1"/>
                <w:spacing w:val="-6"/>
                <w:sz w:val="18"/>
                <w:szCs w:val="18"/>
              </w:rPr>
              <w:t>施的</w:t>
            </w:r>
          </w:p>
        </w:tc>
        <w:tc>
          <w:tcPr>
            <w:tcW w:w="2565"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涉及500吨以下的</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53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1260"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565"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涉及500吨以上1000吨以下的</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vAlign w:val="center"/>
          </w:tcPr>
          <w:p>
            <w:pPr>
              <w:jc w:val="center"/>
              <w:rPr>
                <w:rFonts w:ascii="Malgun Gothic"/>
                <w:color w:val="000000" w:themeColor="text1"/>
                <w:sz w:val="18"/>
                <w:szCs w:val="18"/>
              </w:rPr>
            </w:pPr>
          </w:p>
        </w:tc>
        <w:tc>
          <w:tcPr>
            <w:tcW w:w="1464" w:type="dxa"/>
            <w:vMerge w:val="continue"/>
            <w:vAlign w:val="center"/>
          </w:tcPr>
          <w:p>
            <w:pPr>
              <w:jc w:val="center"/>
              <w:rPr>
                <w:rFonts w:ascii="Malgun Gothic"/>
                <w:color w:val="000000" w:themeColor="text1"/>
                <w:sz w:val="18"/>
                <w:szCs w:val="18"/>
              </w:rPr>
            </w:pPr>
          </w:p>
        </w:tc>
        <w:tc>
          <w:tcPr>
            <w:tcW w:w="765" w:type="dxa"/>
            <w:vMerge w:val="continue"/>
            <w:vAlign w:val="center"/>
          </w:tcPr>
          <w:p>
            <w:pPr>
              <w:jc w:val="center"/>
              <w:rPr>
                <w:rFonts w:ascii="Malgun Gothic"/>
                <w:color w:val="000000" w:themeColor="text1"/>
                <w:sz w:val="18"/>
                <w:szCs w:val="18"/>
              </w:rPr>
            </w:pPr>
          </w:p>
        </w:tc>
        <w:tc>
          <w:tcPr>
            <w:tcW w:w="1260"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565"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涉及1000吨以上1500吨以下的</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vAlign w:val="center"/>
          </w:tcPr>
          <w:p>
            <w:pPr>
              <w:jc w:val="center"/>
              <w:rPr>
                <w:rFonts w:ascii="Malgun Gothic"/>
                <w:color w:val="000000" w:themeColor="text1"/>
                <w:sz w:val="18"/>
                <w:szCs w:val="18"/>
              </w:rPr>
            </w:pPr>
          </w:p>
        </w:tc>
        <w:tc>
          <w:tcPr>
            <w:tcW w:w="1464" w:type="dxa"/>
            <w:vMerge w:val="continue"/>
            <w:vAlign w:val="center"/>
          </w:tcPr>
          <w:p>
            <w:pPr>
              <w:jc w:val="center"/>
              <w:rPr>
                <w:rFonts w:ascii="Malgun Gothic"/>
                <w:color w:val="000000" w:themeColor="text1"/>
                <w:sz w:val="18"/>
                <w:szCs w:val="18"/>
              </w:rPr>
            </w:pPr>
          </w:p>
        </w:tc>
        <w:tc>
          <w:tcPr>
            <w:tcW w:w="765" w:type="dxa"/>
            <w:vMerge w:val="continue"/>
            <w:vAlign w:val="center"/>
          </w:tcPr>
          <w:p>
            <w:pPr>
              <w:jc w:val="center"/>
              <w:rPr>
                <w:rFonts w:ascii="Malgun Gothic"/>
                <w:color w:val="000000" w:themeColor="text1"/>
                <w:sz w:val="18"/>
                <w:szCs w:val="18"/>
              </w:rPr>
            </w:pPr>
          </w:p>
        </w:tc>
        <w:tc>
          <w:tcPr>
            <w:tcW w:w="1260"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565"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涉及1500吨以上的</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53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25" w:type="dxa"/>
            <w:gridSpan w:val="2"/>
            <w:vAlign w:val="center"/>
          </w:tcPr>
          <w:p>
            <w:pPr>
              <w:spacing w:before="43"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53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464"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825"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53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464"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825" w:type="dxa"/>
            <w:gridSpan w:val="2"/>
            <w:vAlign w:val="center"/>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53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825" w:type="dxa"/>
            <w:gridSpan w:val="2"/>
            <w:vAlign w:val="center"/>
          </w:tcPr>
          <w:p>
            <w:pPr>
              <w:spacing w:before="41"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3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25" w:type="dxa"/>
            <w:gridSpan w:val="2"/>
            <w:vAlign w:val="center"/>
          </w:tcPr>
          <w:p>
            <w:pPr>
              <w:spacing w:before="41"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3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464"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825" w:type="dxa"/>
            <w:gridSpan w:val="2"/>
            <w:vAlign w:val="center"/>
          </w:tcPr>
          <w:p>
            <w:pPr>
              <w:spacing w:before="41"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53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825" w:type="dxa"/>
            <w:gridSpan w:val="2"/>
            <w:vAlign w:val="center"/>
          </w:tcPr>
          <w:p>
            <w:pPr>
              <w:spacing w:before="43"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53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64" w:type="dxa"/>
            <w:vMerge w:val="restart"/>
            <w:tcBorders>
              <w:bottom w:val="nil"/>
            </w:tcBorders>
            <w:vAlign w:val="center"/>
          </w:tcPr>
          <w:p>
            <w:pPr>
              <w:ind w:left="706" w:right="224"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left="706" w:right="224"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25" w:type="dxa"/>
            <w:gridSpan w:val="2"/>
            <w:vAlign w:val="center"/>
          </w:tcPr>
          <w:p>
            <w:pPr>
              <w:spacing w:before="42"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3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825" w:type="dxa"/>
            <w:gridSpan w:val="2"/>
            <w:vAlign w:val="center"/>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53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6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25" w:type="dxa"/>
            <w:gridSpan w:val="2"/>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39" w:type="dxa"/>
            <w:tcBorders>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3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464"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spacing w:before="79" w:line="184" w:lineRule="auto"/>
              <w:jc w:val="center"/>
              <w:rPr>
                <w:rFonts w:ascii="Malgun Gothic"/>
                <w:color w:val="000000" w:themeColor="text1"/>
                <w:sz w:val="18"/>
                <w:szCs w:val="18"/>
              </w:rPr>
            </w:pPr>
          </w:p>
        </w:tc>
        <w:tc>
          <w:tcPr>
            <w:tcW w:w="3825"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639"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39"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vAlign w:val="center"/>
          </w:tcPr>
          <w:p>
            <w:pPr>
              <w:jc w:val="center"/>
              <w:rPr>
                <w:rFonts w:ascii="Malgun Gothic"/>
                <w:color w:val="000000" w:themeColor="text1"/>
                <w:sz w:val="18"/>
                <w:szCs w:val="18"/>
              </w:rPr>
            </w:pPr>
          </w:p>
        </w:tc>
        <w:tc>
          <w:tcPr>
            <w:tcW w:w="1464" w:type="dxa"/>
            <w:vMerge w:val="continue"/>
            <w:vAlign w:val="center"/>
          </w:tcPr>
          <w:p>
            <w:pPr>
              <w:jc w:val="center"/>
              <w:rPr>
                <w:rFonts w:ascii="Malgun Gothic"/>
                <w:color w:val="000000" w:themeColor="text1"/>
                <w:sz w:val="18"/>
                <w:szCs w:val="18"/>
              </w:rPr>
            </w:pPr>
          </w:p>
        </w:tc>
        <w:tc>
          <w:tcPr>
            <w:tcW w:w="765" w:type="dxa"/>
            <w:vMerge w:val="continue"/>
            <w:vAlign w:val="center"/>
          </w:tcPr>
          <w:p>
            <w:pPr>
              <w:spacing w:before="79" w:line="184" w:lineRule="auto"/>
              <w:jc w:val="center"/>
              <w:rPr>
                <w:rFonts w:ascii="Malgun Gothic"/>
                <w:color w:val="000000" w:themeColor="text1"/>
                <w:sz w:val="18"/>
                <w:szCs w:val="18"/>
              </w:rPr>
            </w:pPr>
          </w:p>
        </w:tc>
        <w:tc>
          <w:tcPr>
            <w:tcW w:w="3825"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39"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vAlign w:val="center"/>
          </w:tcPr>
          <w:p>
            <w:pPr>
              <w:jc w:val="center"/>
              <w:rPr>
                <w:rFonts w:ascii="Malgun Gothic"/>
                <w:color w:val="000000" w:themeColor="text1"/>
                <w:sz w:val="18"/>
                <w:szCs w:val="18"/>
              </w:rPr>
            </w:pPr>
          </w:p>
        </w:tc>
        <w:tc>
          <w:tcPr>
            <w:tcW w:w="1464" w:type="dxa"/>
            <w:vMerge w:val="continue"/>
            <w:vAlign w:val="center"/>
          </w:tcPr>
          <w:p>
            <w:pPr>
              <w:jc w:val="center"/>
              <w:rPr>
                <w:rFonts w:ascii="Malgun Gothic"/>
                <w:color w:val="000000" w:themeColor="text1"/>
                <w:sz w:val="18"/>
                <w:szCs w:val="18"/>
              </w:rPr>
            </w:pPr>
          </w:p>
        </w:tc>
        <w:tc>
          <w:tcPr>
            <w:tcW w:w="765" w:type="dxa"/>
            <w:vMerge w:val="continue"/>
            <w:vAlign w:val="center"/>
          </w:tcPr>
          <w:p>
            <w:pPr>
              <w:spacing w:before="79" w:line="184" w:lineRule="auto"/>
              <w:jc w:val="center"/>
              <w:rPr>
                <w:rFonts w:ascii="Malgun Gothic"/>
                <w:color w:val="000000" w:themeColor="text1"/>
                <w:sz w:val="18"/>
                <w:szCs w:val="18"/>
              </w:rPr>
            </w:pPr>
          </w:p>
        </w:tc>
        <w:tc>
          <w:tcPr>
            <w:tcW w:w="3825"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39"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5" w:type="dxa"/>
            <w:vMerge w:val="continue"/>
          </w:tcPr>
          <w:p>
            <w:pPr>
              <w:rPr>
                <w:rFonts w:ascii="Malgun Gothic"/>
                <w:color w:val="000000" w:themeColor="text1"/>
                <w:sz w:val="18"/>
                <w:szCs w:val="18"/>
              </w:rPr>
            </w:pPr>
          </w:p>
        </w:tc>
        <w:tc>
          <w:tcPr>
            <w:tcW w:w="1464" w:type="dxa"/>
            <w:vMerge w:val="continue"/>
          </w:tcPr>
          <w:p>
            <w:pPr>
              <w:rPr>
                <w:rFonts w:ascii="Malgun Gothic"/>
                <w:color w:val="000000" w:themeColor="text1"/>
                <w:sz w:val="18"/>
                <w:szCs w:val="18"/>
              </w:rPr>
            </w:pPr>
          </w:p>
        </w:tc>
        <w:tc>
          <w:tcPr>
            <w:tcW w:w="765" w:type="dxa"/>
            <w:vMerge w:val="continue"/>
          </w:tcPr>
          <w:p>
            <w:pPr>
              <w:rPr>
                <w:rFonts w:ascii="Malgun Gothic"/>
                <w:color w:val="000000" w:themeColor="text1"/>
                <w:sz w:val="18"/>
                <w:szCs w:val="18"/>
              </w:rPr>
            </w:pPr>
          </w:p>
        </w:tc>
        <w:tc>
          <w:tcPr>
            <w:tcW w:w="3825"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39"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8447"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8447"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1.《中华人民共和国大气污染防治法》第七十条第二款装卸物料应当采取密闭或者喷淋等方式防治扬尘污染。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sectPr>
          <w:footerReference r:id="rId3" w:type="default"/>
          <w:pgSz w:w="11906" w:h="16839"/>
          <w:pgMar w:top="1431" w:right="1673" w:bottom="1149" w:left="1780" w:header="0" w:footer="1012" w:gutter="0"/>
          <w:cols w:space="720" w:num="1"/>
        </w:sectPr>
      </w:pPr>
      <w:r>
        <w:rPr>
          <w:rFonts w:hint="eastAsia" w:ascii="仿宋_GB2312" w:hAnsi="仿宋_GB2312" w:eastAsia="仿宋_GB2312" w:cs="仿宋_GB2312"/>
          <w:color w:val="000000" w:themeColor="text1"/>
          <w:szCs w:val="21"/>
        </w:rPr>
        <w:t>(三)装卸物料未采取密闭或者喷淋等方式控制扬尘排放的</w:t>
      </w:r>
    </w:p>
    <w:p>
      <w:pPr>
        <w:spacing w:before="73"/>
        <w:ind w:right="108"/>
        <w:jc w:val="center"/>
        <w:outlineLvl w:val="1"/>
        <w:rPr>
          <w:rFonts w:ascii="仿宋" w:hAnsi="仿宋" w:eastAsia="仿宋" w:cs="仿宋"/>
          <w:b/>
          <w:bCs/>
          <w:color w:val="000000" w:themeColor="text1"/>
          <w:kern w:val="0"/>
          <w:sz w:val="24"/>
        </w:rPr>
      </w:pPr>
      <w:bookmarkStart w:id="148" w:name="_Toc18017"/>
      <w:bookmarkStart w:id="149" w:name="_Toc20993"/>
      <w:r>
        <w:rPr>
          <w:rFonts w:hint="eastAsia" w:ascii="仿宋" w:hAnsi="仿宋" w:eastAsia="仿宋" w:cs="仿宋"/>
          <w:b/>
          <w:bCs/>
          <w:color w:val="000000" w:themeColor="text1"/>
          <w:kern w:val="0"/>
          <w:sz w:val="24"/>
        </w:rPr>
        <w:t>表33存放煤炭、煤矸石、煤渣、煤灰等物料，未采取防燃措施的罚款幅度裁定</w:t>
      </w:r>
      <w:bookmarkEnd w:id="148"/>
      <w:bookmarkEnd w:id="149"/>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430"/>
        <w:gridCol w:w="735"/>
        <w:gridCol w:w="1215"/>
        <w:gridCol w:w="2671"/>
        <w:gridCol w:w="678"/>
        <w:gridCol w:w="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3379"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20"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7" w:hRule="atLeast"/>
        </w:trPr>
        <w:tc>
          <w:tcPr>
            <w:tcW w:w="121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8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215" w:type="dxa"/>
            <w:vMerge w:val="restart"/>
            <w:tcBorders>
              <w:right w:val="single" w:color="auto" w:sz="4" w:space="0"/>
            </w:tcBorders>
            <w:vAlign w:val="center"/>
          </w:tcPr>
          <w:p>
            <w:pPr>
              <w:spacing w:before="43" w:line="212" w:lineRule="auto"/>
              <w:ind w:left="135" w:right="210" w:firstLine="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已采取防燃措施，效果不佳</w:t>
            </w:r>
            <w:r>
              <w:rPr>
                <w:rFonts w:ascii="仿宋" w:hAnsi="仿宋" w:eastAsia="仿宋" w:cs="仿宋"/>
                <w:color w:val="000000" w:themeColor="text1"/>
                <w:sz w:val="18"/>
                <w:szCs w:val="18"/>
              </w:rPr>
              <w:t>的</w:t>
            </w:r>
          </w:p>
        </w:tc>
        <w:tc>
          <w:tcPr>
            <w:tcW w:w="2671"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5"/>
                <w:sz w:val="18"/>
                <w:szCs w:val="18"/>
              </w:rPr>
            </w:pPr>
            <w:r>
              <w:rPr>
                <w:rFonts w:hint="eastAsia" w:ascii="仿宋" w:hAnsi="仿宋" w:eastAsia="仿宋" w:cs="仿宋"/>
                <w:color w:val="000000" w:themeColor="text1"/>
                <w:kern w:val="0"/>
                <w:sz w:val="18"/>
                <w:szCs w:val="18"/>
              </w:rPr>
              <w:t>500吨以下的</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6"/>
                <w:sz w:val="18"/>
                <w:szCs w:val="18"/>
              </w:rPr>
            </w:pPr>
          </w:p>
        </w:tc>
        <w:tc>
          <w:tcPr>
            <w:tcW w:w="1215" w:type="dxa"/>
            <w:vMerge w:val="continue"/>
            <w:tcBorders>
              <w:right w:val="single" w:color="auto" w:sz="4" w:space="0"/>
            </w:tcBorders>
            <w:vAlign w:val="center"/>
          </w:tcPr>
          <w:p>
            <w:pPr>
              <w:spacing w:before="43" w:line="212" w:lineRule="auto"/>
              <w:ind w:left="135" w:right="210" w:firstLine="19"/>
              <w:rPr>
                <w:rFonts w:ascii="仿宋" w:hAnsi="仿宋" w:eastAsia="仿宋" w:cs="仿宋"/>
                <w:color w:val="000000" w:themeColor="text1"/>
                <w:spacing w:val="-5"/>
                <w:sz w:val="18"/>
                <w:szCs w:val="18"/>
              </w:rPr>
            </w:pPr>
          </w:p>
        </w:tc>
        <w:tc>
          <w:tcPr>
            <w:tcW w:w="267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5"/>
                <w:sz w:val="18"/>
                <w:szCs w:val="18"/>
              </w:rPr>
            </w:pPr>
            <w:r>
              <w:rPr>
                <w:rFonts w:hint="eastAsia" w:ascii="仿宋" w:hAnsi="仿宋" w:eastAsia="仿宋" w:cs="仿宋"/>
                <w:color w:val="000000" w:themeColor="text1"/>
                <w:kern w:val="0"/>
                <w:sz w:val="18"/>
                <w:szCs w:val="18"/>
              </w:rPr>
              <w:t>500吨以上1000吨以下的</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6"/>
                <w:sz w:val="18"/>
                <w:szCs w:val="18"/>
              </w:rPr>
            </w:pPr>
          </w:p>
        </w:tc>
        <w:tc>
          <w:tcPr>
            <w:tcW w:w="1215" w:type="dxa"/>
            <w:vMerge w:val="continue"/>
            <w:tcBorders>
              <w:right w:val="single" w:color="auto" w:sz="4" w:space="0"/>
            </w:tcBorders>
            <w:vAlign w:val="center"/>
          </w:tcPr>
          <w:p>
            <w:pPr>
              <w:spacing w:before="43" w:line="212" w:lineRule="auto"/>
              <w:ind w:left="135" w:right="210" w:firstLine="19"/>
              <w:rPr>
                <w:rFonts w:ascii="仿宋" w:hAnsi="仿宋" w:eastAsia="仿宋" w:cs="仿宋"/>
                <w:color w:val="000000" w:themeColor="text1"/>
                <w:spacing w:val="-5"/>
                <w:sz w:val="18"/>
                <w:szCs w:val="18"/>
              </w:rPr>
            </w:pPr>
          </w:p>
        </w:tc>
        <w:tc>
          <w:tcPr>
            <w:tcW w:w="267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5"/>
                <w:sz w:val="18"/>
                <w:szCs w:val="18"/>
              </w:rPr>
            </w:pPr>
            <w:r>
              <w:rPr>
                <w:rFonts w:hint="eastAsia" w:ascii="仿宋" w:hAnsi="仿宋" w:eastAsia="仿宋" w:cs="仿宋"/>
                <w:color w:val="000000" w:themeColor="text1"/>
                <w:kern w:val="0"/>
                <w:sz w:val="18"/>
                <w:szCs w:val="18"/>
              </w:rPr>
              <w:t>1000吨以上1500吨以下的</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6"/>
                <w:sz w:val="18"/>
                <w:szCs w:val="18"/>
              </w:rPr>
            </w:pPr>
          </w:p>
        </w:tc>
        <w:tc>
          <w:tcPr>
            <w:tcW w:w="1215" w:type="dxa"/>
            <w:vMerge w:val="continue"/>
            <w:tcBorders>
              <w:right w:val="single" w:color="auto" w:sz="4" w:space="0"/>
            </w:tcBorders>
            <w:vAlign w:val="center"/>
          </w:tcPr>
          <w:p>
            <w:pPr>
              <w:spacing w:before="43" w:line="212" w:lineRule="auto"/>
              <w:ind w:left="135" w:right="210" w:firstLine="19"/>
              <w:rPr>
                <w:rFonts w:ascii="仿宋" w:hAnsi="仿宋" w:eastAsia="仿宋" w:cs="仿宋"/>
                <w:color w:val="000000" w:themeColor="text1"/>
                <w:spacing w:val="-5"/>
                <w:sz w:val="18"/>
                <w:szCs w:val="18"/>
              </w:rPr>
            </w:pPr>
          </w:p>
        </w:tc>
        <w:tc>
          <w:tcPr>
            <w:tcW w:w="2671"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5"/>
                <w:sz w:val="18"/>
                <w:szCs w:val="18"/>
              </w:rPr>
            </w:pPr>
            <w:r>
              <w:rPr>
                <w:rFonts w:hint="eastAsia" w:ascii="仿宋" w:hAnsi="仿宋" w:eastAsia="仿宋" w:cs="仿宋"/>
                <w:color w:val="000000" w:themeColor="text1"/>
                <w:kern w:val="0"/>
                <w:sz w:val="18"/>
                <w:szCs w:val="18"/>
              </w:rPr>
              <w:t>1500吨以上的</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215" w:type="dxa"/>
            <w:vMerge w:val="restart"/>
            <w:tcBorders>
              <w:right w:val="single" w:color="auto" w:sz="4" w:space="0"/>
            </w:tcBorders>
            <w:vAlign w:val="center"/>
          </w:tcPr>
          <w:p>
            <w:pPr>
              <w:spacing w:before="129" w:line="184" w:lineRule="auto"/>
              <w:ind w:firstLine="128"/>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完全未采取防燃措施的</w:t>
            </w:r>
          </w:p>
        </w:tc>
        <w:tc>
          <w:tcPr>
            <w:tcW w:w="2671"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3"/>
                <w:sz w:val="18"/>
                <w:szCs w:val="18"/>
              </w:rPr>
            </w:pPr>
            <w:r>
              <w:rPr>
                <w:rFonts w:hint="eastAsia" w:ascii="仿宋" w:hAnsi="仿宋" w:eastAsia="仿宋" w:cs="仿宋"/>
                <w:color w:val="000000" w:themeColor="text1"/>
                <w:kern w:val="0"/>
                <w:sz w:val="18"/>
                <w:szCs w:val="18"/>
              </w:rPr>
              <w:t>500吨以下的</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215" w:type="dxa"/>
            <w:vMerge w:val="continue"/>
            <w:tcBorders>
              <w:right w:val="single" w:color="auto" w:sz="4" w:space="0"/>
            </w:tcBorders>
            <w:vAlign w:val="center"/>
          </w:tcPr>
          <w:p>
            <w:pPr>
              <w:spacing w:before="129" w:line="184" w:lineRule="auto"/>
              <w:ind w:firstLine="128"/>
              <w:rPr>
                <w:rFonts w:ascii="仿宋" w:hAnsi="仿宋" w:eastAsia="仿宋" w:cs="仿宋"/>
                <w:color w:val="000000" w:themeColor="text1"/>
                <w:spacing w:val="-3"/>
                <w:sz w:val="18"/>
                <w:szCs w:val="18"/>
              </w:rPr>
            </w:pPr>
          </w:p>
        </w:tc>
        <w:tc>
          <w:tcPr>
            <w:tcW w:w="267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3"/>
                <w:sz w:val="18"/>
                <w:szCs w:val="18"/>
              </w:rPr>
            </w:pPr>
            <w:r>
              <w:rPr>
                <w:rFonts w:hint="eastAsia" w:ascii="仿宋" w:hAnsi="仿宋" w:eastAsia="仿宋" w:cs="仿宋"/>
                <w:color w:val="000000" w:themeColor="text1"/>
                <w:kern w:val="0"/>
                <w:sz w:val="18"/>
                <w:szCs w:val="18"/>
              </w:rPr>
              <w:t>500吨以上1000吨以下的</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vAlign w:val="center"/>
          </w:tcPr>
          <w:p>
            <w:pPr>
              <w:jc w:val="center"/>
              <w:rPr>
                <w:rFonts w:ascii="Malgun Gothic"/>
                <w:color w:val="000000" w:themeColor="text1"/>
                <w:sz w:val="18"/>
                <w:szCs w:val="18"/>
              </w:rPr>
            </w:pPr>
          </w:p>
        </w:tc>
        <w:tc>
          <w:tcPr>
            <w:tcW w:w="1430" w:type="dxa"/>
            <w:vMerge w:val="continue"/>
            <w:vAlign w:val="center"/>
          </w:tcPr>
          <w:p>
            <w:pPr>
              <w:jc w:val="center"/>
              <w:rPr>
                <w:rFonts w:ascii="Malgun Gothic"/>
                <w:color w:val="000000" w:themeColor="text1"/>
                <w:sz w:val="18"/>
                <w:szCs w:val="18"/>
              </w:rPr>
            </w:pPr>
          </w:p>
        </w:tc>
        <w:tc>
          <w:tcPr>
            <w:tcW w:w="735" w:type="dxa"/>
            <w:vMerge w:val="continue"/>
            <w:vAlign w:val="center"/>
          </w:tcPr>
          <w:p>
            <w:pPr>
              <w:jc w:val="center"/>
              <w:rPr>
                <w:rFonts w:ascii="Malgun Gothic"/>
                <w:color w:val="000000" w:themeColor="text1"/>
                <w:sz w:val="18"/>
                <w:szCs w:val="18"/>
              </w:rPr>
            </w:pPr>
          </w:p>
        </w:tc>
        <w:tc>
          <w:tcPr>
            <w:tcW w:w="1215" w:type="dxa"/>
            <w:vMerge w:val="continue"/>
            <w:tcBorders>
              <w:right w:val="single" w:color="auto" w:sz="4" w:space="0"/>
            </w:tcBorders>
            <w:vAlign w:val="center"/>
          </w:tcPr>
          <w:p>
            <w:pPr>
              <w:spacing w:before="129" w:line="184" w:lineRule="auto"/>
              <w:ind w:firstLine="128"/>
              <w:rPr>
                <w:rFonts w:ascii="仿宋" w:hAnsi="仿宋" w:eastAsia="仿宋" w:cs="仿宋"/>
                <w:color w:val="000000" w:themeColor="text1"/>
                <w:spacing w:val="-3"/>
                <w:sz w:val="18"/>
                <w:szCs w:val="18"/>
              </w:rPr>
            </w:pPr>
          </w:p>
        </w:tc>
        <w:tc>
          <w:tcPr>
            <w:tcW w:w="267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3"/>
                <w:sz w:val="18"/>
                <w:szCs w:val="18"/>
              </w:rPr>
            </w:pPr>
            <w:r>
              <w:rPr>
                <w:rFonts w:hint="eastAsia" w:ascii="仿宋" w:hAnsi="仿宋" w:eastAsia="仿宋" w:cs="仿宋"/>
                <w:color w:val="000000" w:themeColor="text1"/>
                <w:kern w:val="0"/>
                <w:sz w:val="18"/>
                <w:szCs w:val="18"/>
              </w:rPr>
              <w:t>1000吨以上1500吨以下的</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vAlign w:val="center"/>
          </w:tcPr>
          <w:p>
            <w:pPr>
              <w:jc w:val="center"/>
              <w:rPr>
                <w:rFonts w:ascii="Malgun Gothic"/>
                <w:color w:val="000000" w:themeColor="text1"/>
                <w:sz w:val="18"/>
                <w:szCs w:val="18"/>
              </w:rPr>
            </w:pPr>
          </w:p>
        </w:tc>
        <w:tc>
          <w:tcPr>
            <w:tcW w:w="1430" w:type="dxa"/>
            <w:vMerge w:val="continue"/>
            <w:vAlign w:val="center"/>
          </w:tcPr>
          <w:p>
            <w:pPr>
              <w:jc w:val="center"/>
              <w:rPr>
                <w:rFonts w:ascii="Malgun Gothic"/>
                <w:color w:val="000000" w:themeColor="text1"/>
                <w:sz w:val="18"/>
                <w:szCs w:val="18"/>
              </w:rPr>
            </w:pPr>
          </w:p>
        </w:tc>
        <w:tc>
          <w:tcPr>
            <w:tcW w:w="735" w:type="dxa"/>
            <w:vMerge w:val="continue"/>
            <w:vAlign w:val="center"/>
          </w:tcPr>
          <w:p>
            <w:pPr>
              <w:jc w:val="center"/>
              <w:rPr>
                <w:rFonts w:ascii="Malgun Gothic"/>
                <w:color w:val="000000" w:themeColor="text1"/>
                <w:sz w:val="18"/>
                <w:szCs w:val="18"/>
              </w:rPr>
            </w:pPr>
          </w:p>
        </w:tc>
        <w:tc>
          <w:tcPr>
            <w:tcW w:w="1215" w:type="dxa"/>
            <w:vMerge w:val="continue"/>
            <w:tcBorders>
              <w:right w:val="single" w:color="auto" w:sz="4" w:space="0"/>
            </w:tcBorders>
            <w:vAlign w:val="center"/>
          </w:tcPr>
          <w:p>
            <w:pPr>
              <w:spacing w:before="129" w:line="184" w:lineRule="auto"/>
              <w:ind w:firstLine="128"/>
              <w:rPr>
                <w:rFonts w:ascii="仿宋" w:hAnsi="仿宋" w:eastAsia="仿宋" w:cs="仿宋"/>
                <w:color w:val="000000" w:themeColor="text1"/>
                <w:spacing w:val="-3"/>
                <w:sz w:val="18"/>
                <w:szCs w:val="18"/>
              </w:rPr>
            </w:pPr>
          </w:p>
        </w:tc>
        <w:tc>
          <w:tcPr>
            <w:tcW w:w="2671"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3"/>
                <w:sz w:val="18"/>
                <w:szCs w:val="18"/>
              </w:rPr>
            </w:pPr>
            <w:r>
              <w:rPr>
                <w:rFonts w:hint="eastAsia" w:ascii="仿宋" w:hAnsi="仿宋" w:eastAsia="仿宋" w:cs="仿宋"/>
                <w:color w:val="000000" w:themeColor="text1"/>
                <w:kern w:val="0"/>
                <w:sz w:val="18"/>
                <w:szCs w:val="18"/>
              </w:rPr>
              <w:t>1500吨以上的</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86" w:type="dxa"/>
            <w:gridSpan w:val="2"/>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5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430"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3886" w:type="dxa"/>
            <w:gridSpan w:val="2"/>
            <w:vAlign w:val="center"/>
          </w:tcPr>
          <w:p>
            <w:pPr>
              <w:spacing w:before="41"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430"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3886" w:type="dxa"/>
            <w:gridSpan w:val="2"/>
            <w:vAlign w:val="center"/>
          </w:tcPr>
          <w:p>
            <w:pPr>
              <w:spacing w:before="41"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5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3886" w:type="dxa"/>
            <w:gridSpan w:val="2"/>
            <w:vAlign w:val="center"/>
          </w:tcPr>
          <w:p>
            <w:pPr>
              <w:spacing w:before="43"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5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86" w:type="dxa"/>
            <w:gridSpan w:val="2"/>
            <w:vAlign w:val="center"/>
          </w:tcPr>
          <w:p>
            <w:pPr>
              <w:spacing w:before="42"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430"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3886" w:type="dxa"/>
            <w:gridSpan w:val="2"/>
            <w:vAlign w:val="center"/>
          </w:tcPr>
          <w:p>
            <w:pPr>
              <w:spacing w:before="42"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5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3886" w:type="dxa"/>
            <w:gridSpan w:val="2"/>
            <w:vAlign w:val="center"/>
          </w:tcPr>
          <w:p>
            <w:pPr>
              <w:spacing w:before="42"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30" w:type="dxa"/>
            <w:vMerge w:val="restart"/>
            <w:tcBorders>
              <w:bottom w:val="nil"/>
            </w:tcBorders>
            <w:vAlign w:val="center"/>
          </w:tcPr>
          <w:p>
            <w:pPr>
              <w:ind w:left="706" w:right="224"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left="706" w:right="224"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86" w:type="dxa"/>
            <w:gridSpan w:val="2"/>
            <w:vAlign w:val="center"/>
          </w:tcPr>
          <w:p>
            <w:pPr>
              <w:spacing w:before="41"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3886" w:type="dxa"/>
            <w:gridSpan w:val="2"/>
            <w:vAlign w:val="center"/>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3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86"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78"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1"/>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8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678"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1"/>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8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678"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1"/>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86"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678"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14" w:type="dxa"/>
            <w:vMerge w:val="continue"/>
            <w:tcBorders>
              <w:top w:val="nil"/>
              <w:bottom w:val="single" w:color="auto" w:sz="4" w:space="0"/>
            </w:tcBorders>
          </w:tcPr>
          <w:p>
            <w:pPr>
              <w:rPr>
                <w:rFonts w:ascii="Malgun Gothic"/>
                <w:color w:val="000000" w:themeColor="text1"/>
                <w:sz w:val="18"/>
                <w:szCs w:val="18"/>
              </w:rPr>
            </w:pPr>
          </w:p>
        </w:tc>
        <w:tc>
          <w:tcPr>
            <w:tcW w:w="1430" w:type="dxa"/>
            <w:vMerge w:val="continue"/>
            <w:tcBorders>
              <w:top w:val="nil"/>
              <w:bottom w:val="single" w:color="auto" w:sz="4" w:space="0"/>
            </w:tcBorders>
          </w:tcPr>
          <w:p>
            <w:pPr>
              <w:rPr>
                <w:rFonts w:ascii="Malgun Gothic"/>
                <w:color w:val="000000" w:themeColor="text1"/>
                <w:sz w:val="18"/>
                <w:szCs w:val="18"/>
              </w:rPr>
            </w:pPr>
          </w:p>
        </w:tc>
        <w:tc>
          <w:tcPr>
            <w:tcW w:w="735" w:type="dxa"/>
            <w:vMerge w:val="continue"/>
            <w:tcBorders>
              <w:top w:val="nil"/>
              <w:bottom w:val="single" w:color="auto" w:sz="4" w:space="0"/>
            </w:tcBorders>
          </w:tcPr>
          <w:p>
            <w:pPr>
              <w:rPr>
                <w:rFonts w:ascii="Malgun Gothic"/>
                <w:color w:val="000000" w:themeColor="text1"/>
                <w:sz w:val="18"/>
                <w:szCs w:val="18"/>
              </w:rPr>
            </w:pPr>
          </w:p>
        </w:tc>
        <w:tc>
          <w:tcPr>
            <w:tcW w:w="3886" w:type="dxa"/>
            <w:gridSpan w:val="2"/>
            <w:tcBorders>
              <w:bottom w:val="single" w:color="auto" w:sz="4"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678"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859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859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1.《中华人民共和国大气污染防治法》第三十五条第二款单位存放煤炭、煤矸石、煤渣、煤灰等物料，应当采取防燃措施，防止大气污染。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(四)存放煤炭、煤矸石、煤渣、煤灰等物料，未采取防燃措施的；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50" w:name="_Toc28755"/>
      <w:bookmarkStart w:id="151" w:name="_Toc137"/>
      <w:r>
        <w:rPr>
          <w:rFonts w:hint="eastAsia" w:ascii="仿宋" w:hAnsi="仿宋" w:eastAsia="仿宋" w:cs="仿宋"/>
          <w:b/>
          <w:bCs/>
          <w:color w:val="000000" w:themeColor="text1"/>
          <w:kern w:val="0"/>
          <w:sz w:val="24"/>
        </w:rPr>
        <w:t>表34码头、矿山、填埋场和消纳场未采取有效措施防治扬尘污染的罚款幅度裁定</w:t>
      </w:r>
      <w:bookmarkEnd w:id="150"/>
      <w:bookmarkEnd w:id="151"/>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305"/>
        <w:gridCol w:w="765"/>
        <w:gridCol w:w="1590"/>
        <w:gridCol w:w="2342"/>
        <w:gridCol w:w="613"/>
        <w:gridCol w:w="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3" w:hRule="atLeast"/>
        </w:trPr>
        <w:tc>
          <w:tcPr>
            <w:tcW w:w="3274" w:type="dxa"/>
            <w:gridSpan w:val="3"/>
            <w:tcBorders>
              <w:top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85" w:type="dxa"/>
            <w:gridSpan w:val="4"/>
            <w:tcBorders>
              <w:top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4" w:hRule="atLeast"/>
        </w:trPr>
        <w:tc>
          <w:tcPr>
            <w:tcW w:w="120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0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3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4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30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6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590" w:type="dxa"/>
            <w:vMerge w:val="restart"/>
            <w:tcBorders>
              <w:right w:val="single" w:color="auto" w:sz="4" w:space="0"/>
            </w:tcBorders>
            <w:vAlign w:val="center"/>
          </w:tcPr>
          <w:p>
            <w:pPr>
              <w:spacing w:before="40" w:line="212" w:lineRule="auto"/>
              <w:ind w:left="121" w:right="264" w:firstLine="33"/>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已采取防治扬尘污染措施，</w:t>
            </w:r>
            <w:r>
              <w:rPr>
                <w:rFonts w:ascii="仿宋" w:hAnsi="仿宋" w:eastAsia="仿宋" w:cs="仿宋"/>
                <w:color w:val="000000" w:themeColor="text1"/>
                <w:spacing w:val="-4"/>
                <w:sz w:val="18"/>
                <w:szCs w:val="18"/>
              </w:rPr>
              <w:t>效果不佳的</w:t>
            </w:r>
          </w:p>
        </w:tc>
        <w:tc>
          <w:tcPr>
            <w:tcW w:w="2342" w:type="dxa"/>
            <w:tcBorders>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场所面积1000平方米以下的</w:t>
            </w:r>
          </w:p>
        </w:tc>
        <w:tc>
          <w:tcPr>
            <w:tcW w:w="61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74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765"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59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342" w:type="dxa"/>
            <w:tcBorders>
              <w:top w:val="single" w:color="auto" w:sz="4" w:space="0"/>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场所面积1000平方米以上5000平方米以下的</w:t>
            </w:r>
          </w:p>
        </w:tc>
        <w:tc>
          <w:tcPr>
            <w:tcW w:w="61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7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765"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59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342" w:type="dxa"/>
            <w:tcBorders>
              <w:top w:val="single" w:color="auto" w:sz="4" w:space="0"/>
              <w:left w:val="single" w:color="auto" w:sz="4" w:space="0"/>
            </w:tcBorders>
            <w:vAlign w:val="center"/>
          </w:tcPr>
          <w:p>
            <w:pPr>
              <w:widowControl/>
              <w:jc w:val="left"/>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场所面积5000平方米以上的</w:t>
            </w:r>
          </w:p>
        </w:tc>
        <w:tc>
          <w:tcPr>
            <w:tcW w:w="61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74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1590" w:type="dxa"/>
            <w:vMerge w:val="restart"/>
            <w:tcBorders>
              <w:right w:val="single" w:color="auto" w:sz="4" w:space="0"/>
            </w:tcBorders>
            <w:vAlign w:val="center"/>
          </w:tcPr>
          <w:p>
            <w:pPr>
              <w:spacing w:before="40" w:line="212" w:lineRule="auto"/>
              <w:ind w:left="116" w:right="210" w:firstLine="1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完全未采取防治扬尘污染措</w:t>
            </w:r>
            <w:r>
              <w:rPr>
                <w:rFonts w:ascii="仿宋" w:hAnsi="仿宋" w:eastAsia="仿宋" w:cs="仿宋"/>
                <w:color w:val="000000" w:themeColor="text1"/>
                <w:spacing w:val="-6"/>
                <w:sz w:val="18"/>
                <w:szCs w:val="18"/>
              </w:rPr>
              <w:t>施的</w:t>
            </w:r>
          </w:p>
        </w:tc>
        <w:tc>
          <w:tcPr>
            <w:tcW w:w="2342" w:type="dxa"/>
            <w:tcBorders>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场所面积1000平方米以下的</w:t>
            </w:r>
          </w:p>
        </w:tc>
        <w:tc>
          <w:tcPr>
            <w:tcW w:w="61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2</w:t>
            </w:r>
            <w:r>
              <w:rPr>
                <w:rFonts w:hint="eastAsia" w:ascii="仿宋" w:hAnsi="仿宋" w:eastAsia="仿宋" w:cs="仿宋"/>
                <w:color w:val="000000" w:themeColor="text1"/>
                <w:spacing w:val="-3"/>
                <w:sz w:val="18"/>
                <w:szCs w:val="18"/>
              </w:rPr>
              <w:t>5</w:t>
            </w:r>
            <w:r>
              <w:rPr>
                <w:rFonts w:ascii="仿宋" w:hAnsi="仿宋" w:eastAsia="仿宋" w:cs="仿宋"/>
                <w:color w:val="000000" w:themeColor="text1"/>
                <w:spacing w:val="-3"/>
                <w:sz w:val="18"/>
                <w:szCs w:val="18"/>
              </w:rPr>
              <w:t>%</w:t>
            </w:r>
          </w:p>
        </w:tc>
        <w:tc>
          <w:tcPr>
            <w:tcW w:w="74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1590" w:type="dxa"/>
            <w:vMerge w:val="continue"/>
            <w:tcBorders>
              <w:right w:val="single" w:color="auto" w:sz="4" w:space="0"/>
            </w:tcBorders>
            <w:vAlign w:val="center"/>
          </w:tcPr>
          <w:p>
            <w:pPr>
              <w:spacing w:before="40" w:line="212" w:lineRule="auto"/>
              <w:ind w:left="116" w:right="210" w:firstLine="12"/>
              <w:rPr>
                <w:rFonts w:ascii="仿宋" w:hAnsi="仿宋" w:eastAsia="仿宋" w:cs="仿宋"/>
                <w:color w:val="000000" w:themeColor="text1"/>
                <w:spacing w:val="-2"/>
                <w:sz w:val="18"/>
                <w:szCs w:val="18"/>
              </w:rPr>
            </w:pPr>
          </w:p>
        </w:tc>
        <w:tc>
          <w:tcPr>
            <w:tcW w:w="2342" w:type="dxa"/>
            <w:tcBorders>
              <w:top w:val="single" w:color="auto" w:sz="4" w:space="0"/>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场所面积1000平方米以上5000平方米以下的</w:t>
            </w:r>
          </w:p>
        </w:tc>
        <w:tc>
          <w:tcPr>
            <w:tcW w:w="61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7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vAlign w:val="center"/>
          </w:tcPr>
          <w:p>
            <w:pPr>
              <w:jc w:val="center"/>
              <w:rPr>
                <w:rFonts w:ascii="Malgun Gothic"/>
                <w:color w:val="000000" w:themeColor="text1"/>
                <w:sz w:val="18"/>
                <w:szCs w:val="18"/>
              </w:rPr>
            </w:pPr>
          </w:p>
        </w:tc>
        <w:tc>
          <w:tcPr>
            <w:tcW w:w="1305" w:type="dxa"/>
            <w:vMerge w:val="continue"/>
            <w:vAlign w:val="center"/>
          </w:tcPr>
          <w:p>
            <w:pPr>
              <w:jc w:val="center"/>
              <w:rPr>
                <w:rFonts w:ascii="Malgun Gothic"/>
                <w:color w:val="000000" w:themeColor="text1"/>
                <w:sz w:val="18"/>
                <w:szCs w:val="18"/>
              </w:rPr>
            </w:pPr>
          </w:p>
        </w:tc>
        <w:tc>
          <w:tcPr>
            <w:tcW w:w="765" w:type="dxa"/>
            <w:vMerge w:val="continue"/>
            <w:vAlign w:val="center"/>
          </w:tcPr>
          <w:p>
            <w:pPr>
              <w:jc w:val="center"/>
              <w:rPr>
                <w:rFonts w:ascii="Malgun Gothic"/>
                <w:color w:val="000000" w:themeColor="text1"/>
                <w:sz w:val="18"/>
                <w:szCs w:val="18"/>
              </w:rPr>
            </w:pPr>
          </w:p>
        </w:tc>
        <w:tc>
          <w:tcPr>
            <w:tcW w:w="1590" w:type="dxa"/>
            <w:vMerge w:val="continue"/>
            <w:tcBorders>
              <w:right w:val="single" w:color="auto" w:sz="4" w:space="0"/>
            </w:tcBorders>
            <w:vAlign w:val="center"/>
          </w:tcPr>
          <w:p>
            <w:pPr>
              <w:spacing w:before="40" w:line="212" w:lineRule="auto"/>
              <w:ind w:left="116" w:right="210" w:firstLine="12"/>
              <w:rPr>
                <w:rFonts w:ascii="仿宋" w:hAnsi="仿宋" w:eastAsia="仿宋" w:cs="仿宋"/>
                <w:color w:val="000000" w:themeColor="text1"/>
                <w:spacing w:val="-2"/>
                <w:sz w:val="18"/>
                <w:szCs w:val="18"/>
              </w:rPr>
            </w:pPr>
          </w:p>
        </w:tc>
        <w:tc>
          <w:tcPr>
            <w:tcW w:w="2342" w:type="dxa"/>
            <w:tcBorders>
              <w:top w:val="single" w:color="auto" w:sz="4" w:space="0"/>
              <w:left w:val="single" w:color="auto" w:sz="4" w:space="0"/>
            </w:tcBorders>
            <w:vAlign w:val="center"/>
          </w:tcPr>
          <w:p>
            <w:pPr>
              <w:widowControl/>
              <w:jc w:val="left"/>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场所面积5000平方米以上的</w:t>
            </w:r>
          </w:p>
        </w:tc>
        <w:tc>
          <w:tcPr>
            <w:tcW w:w="613"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74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0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6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32" w:type="dxa"/>
            <w:gridSpan w:val="2"/>
            <w:vAlign w:val="center"/>
          </w:tcPr>
          <w:p>
            <w:pPr>
              <w:spacing w:before="41"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74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bottom w:val="nil"/>
            </w:tcBorders>
            <w:vAlign w:val="center"/>
          </w:tcPr>
          <w:p>
            <w:pPr>
              <w:jc w:val="center"/>
              <w:rPr>
                <w:rFonts w:ascii="Malgun Gothic"/>
                <w:color w:val="000000" w:themeColor="text1"/>
                <w:sz w:val="18"/>
                <w:szCs w:val="18"/>
              </w:rPr>
            </w:pPr>
          </w:p>
        </w:tc>
        <w:tc>
          <w:tcPr>
            <w:tcW w:w="1305"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932" w:type="dxa"/>
            <w:gridSpan w:val="2"/>
            <w:vAlign w:val="center"/>
          </w:tcPr>
          <w:p>
            <w:pPr>
              <w:spacing w:before="41"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74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bottom w:val="nil"/>
            </w:tcBorders>
            <w:vAlign w:val="center"/>
          </w:tcPr>
          <w:p>
            <w:pPr>
              <w:jc w:val="center"/>
              <w:rPr>
                <w:rFonts w:ascii="Malgun Gothic"/>
                <w:color w:val="000000" w:themeColor="text1"/>
                <w:sz w:val="18"/>
                <w:szCs w:val="18"/>
              </w:rPr>
            </w:pPr>
          </w:p>
        </w:tc>
        <w:tc>
          <w:tcPr>
            <w:tcW w:w="1305"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932" w:type="dxa"/>
            <w:gridSpan w:val="2"/>
            <w:vAlign w:val="center"/>
          </w:tcPr>
          <w:p>
            <w:pPr>
              <w:spacing w:before="43"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74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932" w:type="dxa"/>
            <w:gridSpan w:val="2"/>
            <w:vAlign w:val="center"/>
          </w:tcPr>
          <w:p>
            <w:pPr>
              <w:spacing w:before="42"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74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0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932" w:type="dxa"/>
            <w:gridSpan w:val="2"/>
            <w:vAlign w:val="center"/>
          </w:tcPr>
          <w:p>
            <w:pPr>
              <w:spacing w:before="42"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74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bottom w:val="nil"/>
            </w:tcBorders>
            <w:vAlign w:val="center"/>
          </w:tcPr>
          <w:p>
            <w:pPr>
              <w:jc w:val="center"/>
              <w:rPr>
                <w:rFonts w:ascii="Malgun Gothic"/>
                <w:color w:val="000000" w:themeColor="text1"/>
                <w:sz w:val="18"/>
                <w:szCs w:val="18"/>
              </w:rPr>
            </w:pPr>
          </w:p>
        </w:tc>
        <w:tc>
          <w:tcPr>
            <w:tcW w:w="1305"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932" w:type="dxa"/>
            <w:gridSpan w:val="2"/>
            <w:vAlign w:val="center"/>
          </w:tcPr>
          <w:p>
            <w:pPr>
              <w:spacing w:before="41"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74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932" w:type="dxa"/>
            <w:gridSpan w:val="2"/>
            <w:vAlign w:val="center"/>
          </w:tcPr>
          <w:p>
            <w:pPr>
              <w:spacing w:before="41"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74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05" w:type="dxa"/>
            <w:vMerge w:val="restart"/>
            <w:tcBorders>
              <w:bottom w:val="nil"/>
            </w:tcBorders>
            <w:vAlign w:val="center"/>
          </w:tcPr>
          <w:p>
            <w:pPr>
              <w:spacing w:before="48" w:line="212" w:lineRule="auto"/>
              <w:ind w:left="636" w:right="154"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48" w:line="212" w:lineRule="auto"/>
              <w:ind w:left="636" w:right="154"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65" w:type="dxa"/>
            <w:vMerge w:val="restart"/>
            <w:tcBorders>
              <w:bottom w:val="nil"/>
            </w:tcBorders>
            <w:vAlign w:val="center"/>
          </w:tcPr>
          <w:p>
            <w:pPr>
              <w:spacing w:before="204"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932" w:type="dxa"/>
            <w:gridSpan w:val="2"/>
            <w:vAlign w:val="center"/>
          </w:tcPr>
          <w:p>
            <w:pPr>
              <w:spacing w:before="41"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74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932" w:type="dxa"/>
            <w:gridSpan w:val="2"/>
            <w:vAlign w:val="center"/>
          </w:tcPr>
          <w:p>
            <w:pPr>
              <w:spacing w:before="43"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74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30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6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32"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13"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74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3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613"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7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3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613"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7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32"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613"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74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04" w:type="dxa"/>
            <w:vMerge w:val="continue"/>
            <w:tcBorders>
              <w:top w:val="nil"/>
              <w:bottom w:val="single" w:color="auto" w:sz="4" w:space="0"/>
            </w:tcBorders>
          </w:tcPr>
          <w:p>
            <w:pPr>
              <w:rPr>
                <w:rFonts w:ascii="Malgun Gothic"/>
                <w:color w:val="000000" w:themeColor="text1"/>
                <w:sz w:val="18"/>
                <w:szCs w:val="18"/>
              </w:rPr>
            </w:pPr>
          </w:p>
        </w:tc>
        <w:tc>
          <w:tcPr>
            <w:tcW w:w="1305" w:type="dxa"/>
            <w:vMerge w:val="continue"/>
            <w:tcBorders>
              <w:top w:val="nil"/>
              <w:bottom w:val="single" w:color="auto" w:sz="4" w:space="0"/>
            </w:tcBorders>
          </w:tcPr>
          <w:p>
            <w:pPr>
              <w:rPr>
                <w:rFonts w:ascii="Malgun Gothic"/>
                <w:color w:val="000000" w:themeColor="text1"/>
                <w:sz w:val="18"/>
                <w:szCs w:val="18"/>
              </w:rPr>
            </w:pPr>
          </w:p>
        </w:tc>
        <w:tc>
          <w:tcPr>
            <w:tcW w:w="765" w:type="dxa"/>
            <w:vMerge w:val="continue"/>
            <w:tcBorders>
              <w:top w:val="nil"/>
              <w:bottom w:val="single" w:color="auto" w:sz="4" w:space="0"/>
            </w:tcBorders>
          </w:tcPr>
          <w:p>
            <w:pPr>
              <w:rPr>
                <w:rFonts w:ascii="Malgun Gothic"/>
                <w:color w:val="000000" w:themeColor="text1"/>
                <w:sz w:val="18"/>
                <w:szCs w:val="18"/>
              </w:rPr>
            </w:pPr>
          </w:p>
        </w:tc>
        <w:tc>
          <w:tcPr>
            <w:tcW w:w="3932" w:type="dxa"/>
            <w:gridSpan w:val="2"/>
            <w:tcBorders>
              <w:bottom w:val="single" w:color="auto" w:sz="4"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613"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74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855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9" w:hRule="atLeast"/>
        </w:trPr>
        <w:tc>
          <w:tcPr>
            <w:tcW w:w="855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1.《中华人民共和国大气污染防治法》第七十二条第二款码头、矿山、填埋场和消纳场应当实施分区作业，并采取有效措施防治扬尘污染。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(五)码头、矿山、填埋场和消纳场未采取有效措施防治扬尘污染的；</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六十六条违反本条例规定，矿山、码头、填埋场和消纳场堆放易产生扬尘物料，未采取有效防尘措施的，由生态环境等主管部门责令限期改正，处1万元罚款；情节较重的，处5万元罚款；情节严重的，处10万元罚款；逾期不改正的，责令停工整治。</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outlineLvl w:val="1"/>
        <w:rPr>
          <w:rFonts w:ascii="仿宋" w:hAnsi="仿宋" w:eastAsia="仿宋" w:cs="仿宋"/>
          <w:b/>
          <w:bCs/>
          <w:color w:val="000000" w:themeColor="text1"/>
          <w:kern w:val="0"/>
          <w:sz w:val="24"/>
        </w:rPr>
      </w:pPr>
      <w:bookmarkStart w:id="152" w:name="_Toc29329"/>
      <w:bookmarkStart w:id="153" w:name="_Toc22358"/>
      <w:r>
        <w:rPr>
          <w:rFonts w:hint="eastAsia" w:ascii="仿宋" w:hAnsi="仿宋" w:eastAsia="仿宋" w:cs="仿宋"/>
          <w:b/>
          <w:bCs/>
          <w:color w:val="000000" w:themeColor="text1"/>
          <w:kern w:val="0"/>
          <w:sz w:val="24"/>
        </w:rPr>
        <w:t>表35排放有毒有害大气污染物名录中所列有毒有害大气污染物的企业事业单位，未按照规定建设环境风险预警体系或者对排放口和周边环境进行定期监测、排查环境安全隐患并采取有效措施防范环境风险的罚款幅度裁定</w:t>
      </w:r>
      <w:bookmarkEnd w:id="152"/>
      <w:bookmarkEnd w:id="153"/>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2"/>
        <w:gridCol w:w="1437"/>
        <w:gridCol w:w="870"/>
        <w:gridCol w:w="1620"/>
        <w:gridCol w:w="1955"/>
        <w:gridCol w:w="711"/>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trPr>
        <w:tc>
          <w:tcPr>
            <w:tcW w:w="3529" w:type="dxa"/>
            <w:gridSpan w:val="3"/>
          </w:tcPr>
          <w:p>
            <w:pPr>
              <w:spacing w:before="176"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70" w:type="dxa"/>
            <w:gridSpan w:val="4"/>
          </w:tcPr>
          <w:p>
            <w:pPr>
              <w:spacing w:before="176" w:line="184" w:lineRule="auto"/>
              <w:ind w:firstLine="1645"/>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9" w:hRule="atLeast"/>
        </w:trPr>
        <w:tc>
          <w:tcPr>
            <w:tcW w:w="122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3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7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5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8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8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62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未采取有效措施防范环境风险的</w:t>
            </w:r>
          </w:p>
        </w:tc>
        <w:tc>
          <w:tcPr>
            <w:tcW w:w="19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1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8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3"/>
                <w:sz w:val="18"/>
                <w:szCs w:val="18"/>
              </w:rPr>
            </w:pPr>
          </w:p>
        </w:tc>
        <w:tc>
          <w:tcPr>
            <w:tcW w:w="870" w:type="dxa"/>
            <w:vMerge w:val="continue"/>
            <w:vAlign w:val="center"/>
          </w:tcPr>
          <w:p>
            <w:pPr>
              <w:jc w:val="center"/>
              <w:rPr>
                <w:rFonts w:ascii="仿宋" w:hAnsi="仿宋" w:eastAsia="仿宋" w:cs="仿宋"/>
                <w:color w:val="000000" w:themeColor="text1"/>
                <w:spacing w:val="-6"/>
                <w:sz w:val="18"/>
                <w:szCs w:val="18"/>
              </w:rPr>
            </w:pPr>
          </w:p>
        </w:tc>
        <w:tc>
          <w:tcPr>
            <w:tcW w:w="162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9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1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3"/>
                <w:sz w:val="18"/>
                <w:szCs w:val="18"/>
              </w:rPr>
            </w:pPr>
          </w:p>
        </w:tc>
        <w:tc>
          <w:tcPr>
            <w:tcW w:w="870" w:type="dxa"/>
            <w:vMerge w:val="continue"/>
            <w:vAlign w:val="center"/>
          </w:tcPr>
          <w:p>
            <w:pPr>
              <w:jc w:val="center"/>
              <w:rPr>
                <w:rFonts w:ascii="仿宋" w:hAnsi="仿宋" w:eastAsia="仿宋" w:cs="仿宋"/>
                <w:color w:val="000000" w:themeColor="text1"/>
                <w:spacing w:val="-6"/>
                <w:sz w:val="18"/>
                <w:szCs w:val="18"/>
              </w:rPr>
            </w:pPr>
          </w:p>
        </w:tc>
        <w:tc>
          <w:tcPr>
            <w:tcW w:w="162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9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11"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8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2" w:type="dxa"/>
            <w:vMerge w:val="continue"/>
            <w:tcBorders>
              <w:top w:val="nil"/>
            </w:tcBorders>
            <w:vAlign w:val="center"/>
          </w:tcPr>
          <w:p>
            <w:pPr>
              <w:jc w:val="center"/>
              <w:rPr>
                <w:rFonts w:ascii="Malgun Gothic"/>
                <w:color w:val="000000" w:themeColor="text1"/>
                <w:sz w:val="18"/>
                <w:szCs w:val="18"/>
              </w:rPr>
            </w:pPr>
          </w:p>
        </w:tc>
        <w:tc>
          <w:tcPr>
            <w:tcW w:w="1437" w:type="dxa"/>
            <w:vMerge w:val="continue"/>
            <w:tcBorders>
              <w:top w:val="nil"/>
            </w:tcBorders>
            <w:vAlign w:val="center"/>
          </w:tcPr>
          <w:p>
            <w:pPr>
              <w:jc w:val="center"/>
              <w:rPr>
                <w:rFonts w:ascii="Malgun Gothic"/>
                <w:color w:val="000000" w:themeColor="text1"/>
                <w:sz w:val="18"/>
                <w:szCs w:val="18"/>
              </w:rPr>
            </w:pPr>
          </w:p>
        </w:tc>
        <w:tc>
          <w:tcPr>
            <w:tcW w:w="870" w:type="dxa"/>
            <w:vMerge w:val="continue"/>
            <w:tcBorders>
              <w:top w:val="nil"/>
            </w:tcBorders>
            <w:vAlign w:val="center"/>
          </w:tcPr>
          <w:p>
            <w:pPr>
              <w:jc w:val="center"/>
              <w:rPr>
                <w:rFonts w:ascii="Malgun Gothic"/>
                <w:color w:val="000000" w:themeColor="text1"/>
                <w:sz w:val="18"/>
                <w:szCs w:val="18"/>
              </w:rPr>
            </w:pPr>
          </w:p>
        </w:tc>
        <w:tc>
          <w:tcPr>
            <w:tcW w:w="162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未建设预警体系或对排放口和周边环境定期监测、排查安全隐患的</w:t>
            </w:r>
          </w:p>
        </w:tc>
        <w:tc>
          <w:tcPr>
            <w:tcW w:w="1955" w:type="dxa"/>
            <w:tcBorders>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1"/>
                <w:sz w:val="18"/>
                <w:szCs w:val="18"/>
              </w:rPr>
            </w:pPr>
            <w:r>
              <w:rPr>
                <w:rFonts w:hint="eastAsia" w:ascii="仿宋" w:hAnsi="仿宋" w:eastAsia="仿宋" w:cs="仿宋"/>
                <w:color w:val="000000" w:themeColor="text1"/>
                <w:kern w:val="0"/>
                <w:sz w:val="18"/>
                <w:szCs w:val="18"/>
              </w:rPr>
              <w:t xml:space="preserve">未对排放口和周边环境进行定期监测的 </w:t>
            </w:r>
          </w:p>
        </w:tc>
        <w:tc>
          <w:tcPr>
            <w:tcW w:w="71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68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2" w:type="dxa"/>
            <w:vMerge w:val="continue"/>
            <w:vAlign w:val="center"/>
          </w:tcPr>
          <w:p>
            <w:pPr>
              <w:jc w:val="center"/>
              <w:rPr>
                <w:rFonts w:ascii="Malgun Gothic"/>
                <w:color w:val="000000" w:themeColor="text1"/>
                <w:sz w:val="18"/>
                <w:szCs w:val="18"/>
              </w:rPr>
            </w:pPr>
          </w:p>
        </w:tc>
        <w:tc>
          <w:tcPr>
            <w:tcW w:w="1437" w:type="dxa"/>
            <w:vMerge w:val="continue"/>
            <w:vAlign w:val="center"/>
          </w:tcPr>
          <w:p>
            <w:pPr>
              <w:jc w:val="center"/>
              <w:rPr>
                <w:rFonts w:ascii="Malgun Gothic"/>
                <w:color w:val="000000" w:themeColor="text1"/>
                <w:sz w:val="18"/>
                <w:szCs w:val="18"/>
              </w:rPr>
            </w:pPr>
          </w:p>
        </w:tc>
        <w:tc>
          <w:tcPr>
            <w:tcW w:w="870" w:type="dxa"/>
            <w:vMerge w:val="continue"/>
            <w:vAlign w:val="center"/>
          </w:tcPr>
          <w:p>
            <w:pPr>
              <w:jc w:val="center"/>
              <w:rPr>
                <w:rFonts w:ascii="Malgun Gothic"/>
                <w:color w:val="000000" w:themeColor="text1"/>
                <w:sz w:val="18"/>
                <w:szCs w:val="18"/>
              </w:rPr>
            </w:pPr>
          </w:p>
        </w:tc>
        <w:tc>
          <w:tcPr>
            <w:tcW w:w="162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955" w:type="dxa"/>
            <w:tcBorders>
              <w:top w:val="single" w:color="auto" w:sz="4" w:space="0"/>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1"/>
                <w:sz w:val="18"/>
                <w:szCs w:val="18"/>
              </w:rPr>
            </w:pPr>
            <w:r>
              <w:rPr>
                <w:rFonts w:hint="eastAsia" w:ascii="仿宋" w:hAnsi="仿宋" w:eastAsia="仿宋" w:cs="仿宋"/>
                <w:color w:val="000000" w:themeColor="text1"/>
                <w:kern w:val="0"/>
                <w:sz w:val="18"/>
                <w:szCs w:val="18"/>
              </w:rPr>
              <w:t>未排查环境安全隐患并采取有效措施防范环境风险的</w:t>
            </w:r>
          </w:p>
        </w:tc>
        <w:tc>
          <w:tcPr>
            <w:tcW w:w="71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2" w:type="dxa"/>
            <w:vMerge w:val="continue"/>
            <w:vAlign w:val="center"/>
          </w:tcPr>
          <w:p>
            <w:pPr>
              <w:jc w:val="center"/>
              <w:rPr>
                <w:rFonts w:ascii="Malgun Gothic"/>
                <w:color w:val="000000" w:themeColor="text1"/>
                <w:sz w:val="18"/>
                <w:szCs w:val="18"/>
              </w:rPr>
            </w:pPr>
          </w:p>
        </w:tc>
        <w:tc>
          <w:tcPr>
            <w:tcW w:w="1437" w:type="dxa"/>
            <w:vMerge w:val="continue"/>
            <w:vAlign w:val="center"/>
          </w:tcPr>
          <w:p>
            <w:pPr>
              <w:jc w:val="center"/>
              <w:rPr>
                <w:rFonts w:ascii="Malgun Gothic"/>
                <w:color w:val="000000" w:themeColor="text1"/>
                <w:sz w:val="18"/>
                <w:szCs w:val="18"/>
              </w:rPr>
            </w:pPr>
          </w:p>
        </w:tc>
        <w:tc>
          <w:tcPr>
            <w:tcW w:w="870" w:type="dxa"/>
            <w:vMerge w:val="continue"/>
            <w:vAlign w:val="center"/>
          </w:tcPr>
          <w:p>
            <w:pPr>
              <w:jc w:val="center"/>
              <w:rPr>
                <w:rFonts w:ascii="Malgun Gothic"/>
                <w:color w:val="000000" w:themeColor="text1"/>
                <w:sz w:val="18"/>
                <w:szCs w:val="18"/>
              </w:rPr>
            </w:pPr>
          </w:p>
        </w:tc>
        <w:tc>
          <w:tcPr>
            <w:tcW w:w="162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955" w:type="dxa"/>
            <w:tcBorders>
              <w:top w:val="single" w:color="auto" w:sz="4" w:space="0"/>
              <w:left w:val="single" w:color="auto" w:sz="4" w:space="0"/>
            </w:tcBorders>
            <w:vAlign w:val="center"/>
          </w:tcPr>
          <w:p>
            <w:pPr>
              <w:widowControl/>
              <w:jc w:val="left"/>
              <w:textAlignment w:val="center"/>
              <w:rPr>
                <w:rFonts w:ascii="仿宋" w:hAnsi="仿宋" w:eastAsia="仿宋" w:cs="仿宋"/>
                <w:color w:val="000000" w:themeColor="text1"/>
                <w:spacing w:val="-1"/>
                <w:sz w:val="18"/>
                <w:szCs w:val="18"/>
              </w:rPr>
            </w:pPr>
            <w:r>
              <w:rPr>
                <w:rFonts w:hint="eastAsia" w:ascii="仿宋" w:hAnsi="仿宋" w:eastAsia="仿宋" w:cs="仿宋"/>
                <w:color w:val="000000" w:themeColor="text1"/>
                <w:kern w:val="0"/>
                <w:sz w:val="18"/>
                <w:szCs w:val="18"/>
              </w:rPr>
              <w:t>未按照规定建设环境风险预警体系的</w:t>
            </w:r>
          </w:p>
        </w:tc>
        <w:tc>
          <w:tcPr>
            <w:tcW w:w="711"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8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8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84"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tcBorders>
              <w:top w:val="nil"/>
              <w:bottom w:val="nil"/>
            </w:tcBorders>
            <w:vAlign w:val="center"/>
          </w:tcPr>
          <w:p>
            <w:pPr>
              <w:jc w:val="center"/>
              <w:rPr>
                <w:rFonts w:ascii="Malgun Gothic"/>
                <w:color w:val="000000" w:themeColor="text1"/>
                <w:sz w:val="18"/>
                <w:szCs w:val="18"/>
              </w:rPr>
            </w:pPr>
          </w:p>
        </w:tc>
        <w:tc>
          <w:tcPr>
            <w:tcW w:w="1437" w:type="dxa"/>
            <w:vMerge w:val="continue"/>
            <w:tcBorders>
              <w:top w:val="nil"/>
              <w:bottom w:val="nil"/>
            </w:tcBorders>
            <w:vAlign w:val="center"/>
          </w:tcPr>
          <w:p>
            <w:pPr>
              <w:jc w:val="center"/>
              <w:rPr>
                <w:rFonts w:ascii="Malgun Gothic"/>
                <w:color w:val="000000" w:themeColor="text1"/>
                <w:sz w:val="18"/>
                <w:szCs w:val="18"/>
              </w:rPr>
            </w:pPr>
          </w:p>
        </w:tc>
        <w:tc>
          <w:tcPr>
            <w:tcW w:w="870" w:type="dxa"/>
            <w:vMerge w:val="continue"/>
            <w:tcBorders>
              <w:top w:val="nil"/>
              <w:bottom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8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tcBorders>
              <w:top w:val="nil"/>
              <w:bottom w:val="nil"/>
            </w:tcBorders>
            <w:vAlign w:val="center"/>
          </w:tcPr>
          <w:p>
            <w:pPr>
              <w:jc w:val="center"/>
              <w:rPr>
                <w:rFonts w:ascii="Malgun Gothic"/>
                <w:color w:val="000000" w:themeColor="text1"/>
                <w:sz w:val="18"/>
                <w:szCs w:val="18"/>
              </w:rPr>
            </w:pPr>
          </w:p>
        </w:tc>
        <w:tc>
          <w:tcPr>
            <w:tcW w:w="1437" w:type="dxa"/>
            <w:vMerge w:val="continue"/>
            <w:tcBorders>
              <w:top w:val="nil"/>
              <w:bottom w:val="nil"/>
            </w:tcBorders>
            <w:vAlign w:val="center"/>
          </w:tcPr>
          <w:p>
            <w:pPr>
              <w:jc w:val="center"/>
              <w:rPr>
                <w:rFonts w:ascii="Malgun Gothic"/>
                <w:color w:val="000000" w:themeColor="text1"/>
                <w:sz w:val="18"/>
                <w:szCs w:val="18"/>
              </w:rPr>
            </w:pPr>
          </w:p>
        </w:tc>
        <w:tc>
          <w:tcPr>
            <w:tcW w:w="870" w:type="dxa"/>
            <w:vMerge w:val="continue"/>
            <w:tcBorders>
              <w:top w:val="nil"/>
              <w:bottom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8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tcBorders>
              <w:top w:val="nil"/>
            </w:tcBorders>
            <w:vAlign w:val="center"/>
          </w:tcPr>
          <w:p>
            <w:pPr>
              <w:jc w:val="center"/>
              <w:rPr>
                <w:rFonts w:ascii="Malgun Gothic"/>
                <w:color w:val="000000" w:themeColor="text1"/>
                <w:sz w:val="18"/>
                <w:szCs w:val="18"/>
              </w:rPr>
            </w:pPr>
          </w:p>
        </w:tc>
        <w:tc>
          <w:tcPr>
            <w:tcW w:w="1437" w:type="dxa"/>
            <w:vMerge w:val="continue"/>
            <w:tcBorders>
              <w:top w:val="nil"/>
            </w:tcBorders>
            <w:vAlign w:val="center"/>
          </w:tcPr>
          <w:p>
            <w:pPr>
              <w:jc w:val="center"/>
              <w:rPr>
                <w:rFonts w:ascii="Malgun Gothic"/>
                <w:color w:val="000000" w:themeColor="text1"/>
                <w:sz w:val="18"/>
                <w:szCs w:val="18"/>
              </w:rPr>
            </w:pPr>
          </w:p>
        </w:tc>
        <w:tc>
          <w:tcPr>
            <w:tcW w:w="870" w:type="dxa"/>
            <w:vMerge w:val="continue"/>
            <w:tcBorders>
              <w:top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8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8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8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tcBorders>
              <w:top w:val="nil"/>
              <w:bottom w:val="nil"/>
            </w:tcBorders>
            <w:vAlign w:val="center"/>
          </w:tcPr>
          <w:p>
            <w:pPr>
              <w:jc w:val="center"/>
              <w:rPr>
                <w:rFonts w:ascii="Malgun Gothic"/>
                <w:color w:val="000000" w:themeColor="text1"/>
                <w:sz w:val="18"/>
                <w:szCs w:val="18"/>
              </w:rPr>
            </w:pPr>
          </w:p>
        </w:tc>
        <w:tc>
          <w:tcPr>
            <w:tcW w:w="1437" w:type="dxa"/>
            <w:vMerge w:val="continue"/>
            <w:tcBorders>
              <w:top w:val="nil"/>
              <w:bottom w:val="nil"/>
            </w:tcBorders>
            <w:vAlign w:val="center"/>
          </w:tcPr>
          <w:p>
            <w:pPr>
              <w:jc w:val="center"/>
              <w:rPr>
                <w:rFonts w:ascii="Malgun Gothic"/>
                <w:color w:val="000000" w:themeColor="text1"/>
                <w:sz w:val="18"/>
                <w:szCs w:val="18"/>
              </w:rPr>
            </w:pPr>
          </w:p>
        </w:tc>
        <w:tc>
          <w:tcPr>
            <w:tcW w:w="870" w:type="dxa"/>
            <w:vMerge w:val="continue"/>
            <w:tcBorders>
              <w:top w:val="nil"/>
              <w:bottom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8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tcBorders>
              <w:top w:val="nil"/>
            </w:tcBorders>
            <w:vAlign w:val="center"/>
          </w:tcPr>
          <w:p>
            <w:pPr>
              <w:jc w:val="center"/>
              <w:rPr>
                <w:rFonts w:ascii="Malgun Gothic"/>
                <w:color w:val="000000" w:themeColor="text1"/>
                <w:sz w:val="18"/>
                <w:szCs w:val="18"/>
              </w:rPr>
            </w:pPr>
          </w:p>
        </w:tc>
        <w:tc>
          <w:tcPr>
            <w:tcW w:w="1437" w:type="dxa"/>
            <w:vMerge w:val="continue"/>
            <w:tcBorders>
              <w:top w:val="nil"/>
            </w:tcBorders>
            <w:vAlign w:val="center"/>
          </w:tcPr>
          <w:p>
            <w:pPr>
              <w:jc w:val="center"/>
              <w:rPr>
                <w:rFonts w:ascii="Malgun Gothic"/>
                <w:color w:val="000000" w:themeColor="text1"/>
                <w:sz w:val="18"/>
                <w:szCs w:val="18"/>
              </w:rPr>
            </w:pPr>
          </w:p>
        </w:tc>
        <w:tc>
          <w:tcPr>
            <w:tcW w:w="870" w:type="dxa"/>
            <w:vMerge w:val="continue"/>
            <w:tcBorders>
              <w:top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8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8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0%</w:t>
            </w:r>
          </w:p>
        </w:tc>
        <w:tc>
          <w:tcPr>
            <w:tcW w:w="68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tcBorders>
              <w:top w:val="nil"/>
            </w:tcBorders>
            <w:vAlign w:val="center"/>
          </w:tcPr>
          <w:p>
            <w:pPr>
              <w:jc w:val="center"/>
              <w:rPr>
                <w:rFonts w:ascii="Malgun Gothic"/>
                <w:color w:val="000000" w:themeColor="text1"/>
                <w:sz w:val="18"/>
                <w:szCs w:val="18"/>
              </w:rPr>
            </w:pPr>
          </w:p>
        </w:tc>
        <w:tc>
          <w:tcPr>
            <w:tcW w:w="1437" w:type="dxa"/>
            <w:vMerge w:val="continue"/>
            <w:tcBorders>
              <w:top w:val="nil"/>
            </w:tcBorders>
            <w:vAlign w:val="center"/>
          </w:tcPr>
          <w:p>
            <w:pPr>
              <w:jc w:val="center"/>
              <w:rPr>
                <w:rFonts w:ascii="Malgun Gothic"/>
                <w:color w:val="000000" w:themeColor="text1"/>
                <w:sz w:val="18"/>
                <w:szCs w:val="18"/>
              </w:rPr>
            </w:pPr>
          </w:p>
        </w:tc>
        <w:tc>
          <w:tcPr>
            <w:tcW w:w="870" w:type="dxa"/>
            <w:vMerge w:val="continue"/>
            <w:tcBorders>
              <w:top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w:t>
            </w:r>
            <w:r>
              <w:rPr>
                <w:rFonts w:ascii="仿宋" w:hAnsi="仿宋" w:eastAsia="仿宋" w:cs="仿宋"/>
                <w:color w:val="000000" w:themeColor="text1"/>
                <w:spacing w:val="-11"/>
                <w:w w:val="98"/>
                <w:sz w:val="18"/>
                <w:szCs w:val="18"/>
              </w:rPr>
              <w:t>0%</w:t>
            </w:r>
          </w:p>
        </w:tc>
        <w:tc>
          <w:tcPr>
            <w:tcW w:w="68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87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575"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11"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8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1"/>
                <w:sz w:val="18"/>
                <w:szCs w:val="18"/>
              </w:rPr>
            </w:pPr>
          </w:p>
        </w:tc>
        <w:tc>
          <w:tcPr>
            <w:tcW w:w="87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575"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11"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1"/>
                <w:sz w:val="18"/>
                <w:szCs w:val="18"/>
              </w:rPr>
            </w:pPr>
          </w:p>
        </w:tc>
        <w:tc>
          <w:tcPr>
            <w:tcW w:w="87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575"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11"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1"/>
                <w:sz w:val="18"/>
                <w:szCs w:val="18"/>
              </w:rPr>
            </w:pPr>
          </w:p>
        </w:tc>
        <w:tc>
          <w:tcPr>
            <w:tcW w:w="87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575"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11"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8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22" w:type="dxa"/>
            <w:vMerge w:val="continue"/>
            <w:tcBorders>
              <w:top w:val="nil"/>
              <w:bottom w:val="single" w:color="auto" w:sz="4" w:space="0"/>
            </w:tcBorders>
          </w:tcPr>
          <w:p>
            <w:pPr>
              <w:rPr>
                <w:rFonts w:ascii="Malgun Gothic"/>
                <w:color w:val="000000" w:themeColor="text1"/>
                <w:sz w:val="18"/>
                <w:szCs w:val="18"/>
              </w:rPr>
            </w:pPr>
          </w:p>
        </w:tc>
        <w:tc>
          <w:tcPr>
            <w:tcW w:w="1437" w:type="dxa"/>
            <w:vMerge w:val="continue"/>
            <w:tcBorders>
              <w:top w:val="nil"/>
              <w:bottom w:val="single" w:color="auto" w:sz="4" w:space="0"/>
            </w:tcBorders>
          </w:tcPr>
          <w:p>
            <w:pPr>
              <w:rPr>
                <w:rFonts w:ascii="Malgun Gothic"/>
                <w:color w:val="000000" w:themeColor="text1"/>
                <w:sz w:val="18"/>
                <w:szCs w:val="18"/>
              </w:rPr>
            </w:pPr>
          </w:p>
        </w:tc>
        <w:tc>
          <w:tcPr>
            <w:tcW w:w="870" w:type="dxa"/>
            <w:vMerge w:val="continue"/>
            <w:tcBorders>
              <w:top w:val="nil"/>
              <w:bottom w:val="single" w:color="auto" w:sz="4" w:space="0"/>
            </w:tcBorders>
          </w:tcPr>
          <w:p>
            <w:pPr>
              <w:rPr>
                <w:rFonts w:ascii="Malgun Gothic"/>
                <w:color w:val="000000" w:themeColor="text1"/>
                <w:sz w:val="18"/>
                <w:szCs w:val="18"/>
              </w:rPr>
            </w:pPr>
          </w:p>
        </w:tc>
        <w:tc>
          <w:tcPr>
            <w:tcW w:w="3575" w:type="dxa"/>
            <w:gridSpan w:val="2"/>
            <w:tcBorders>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11"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7" w:hRule="atLeast"/>
        </w:trPr>
        <w:tc>
          <w:tcPr>
            <w:tcW w:w="849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3" w:hRule="atLeast"/>
        </w:trPr>
        <w:tc>
          <w:tcPr>
            <w:tcW w:w="849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八条第二款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54" w:name="_Toc6551"/>
      <w:bookmarkStart w:id="155" w:name="_Toc24678"/>
      <w:r>
        <w:rPr>
          <w:rFonts w:hint="eastAsia" w:ascii="仿宋" w:hAnsi="仿宋" w:eastAsia="仿宋" w:cs="仿宋"/>
          <w:b/>
          <w:bCs/>
          <w:color w:val="000000" w:themeColor="text1"/>
          <w:kern w:val="0"/>
          <w:sz w:val="24"/>
        </w:rPr>
        <w:t>表36向大气排放持久性有机污染物的企业事业单位和其他生产经营者以及废弃物焚烧设施的运营单位，未按照国家有关规定采取有利于减少持久性有机污染物排放的技术方法和工艺，配备净化装置的罚款幅度裁定</w:t>
      </w:r>
      <w:bookmarkEnd w:id="154"/>
      <w:bookmarkEnd w:id="155"/>
    </w:p>
    <w:tbl>
      <w:tblPr>
        <w:tblStyle w:val="15"/>
        <w:tblpPr w:leftFromText="180" w:rightFromText="180" w:vertAnchor="text" w:horzAnchor="page" w:tblpX="1818" w:tblpY="319"/>
        <w:tblOverlap w:val="never"/>
        <w:tblW w:w="84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175"/>
        <w:gridCol w:w="735"/>
        <w:gridCol w:w="1185"/>
        <w:gridCol w:w="2956"/>
        <w:gridCol w:w="661"/>
        <w:gridCol w:w="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312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5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1214" w:type="dxa"/>
          </w:tcPr>
          <w:p>
            <w:pPr>
              <w:spacing w:before="199"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14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53"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175"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违法行为</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类型</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118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未完全按照国家规定采取相关措施的</w:t>
            </w:r>
          </w:p>
        </w:tc>
        <w:tc>
          <w:tcPr>
            <w:tcW w:w="29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6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3</w:t>
            </w:r>
            <w:r>
              <w:rPr>
                <w:rFonts w:ascii="仿宋" w:hAnsi="仿宋" w:eastAsia="仿宋" w:cs="仿宋"/>
                <w:color w:val="000000" w:themeColor="text1"/>
                <w:spacing w:val="-5"/>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61"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18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完全没有采取污染防治措施</w:t>
            </w:r>
          </w:p>
        </w:tc>
        <w:tc>
          <w:tcPr>
            <w:tcW w:w="29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6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13</w:t>
            </w:r>
            <w:r>
              <w:rPr>
                <w:rFonts w:ascii="仿宋" w:hAnsi="仿宋" w:eastAsia="仿宋" w:cs="仿宋"/>
                <w:color w:val="000000" w:themeColor="text1"/>
                <w:spacing w:val="-5"/>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vAlign w:val="center"/>
          </w:tcPr>
          <w:p>
            <w:pPr>
              <w:jc w:val="center"/>
              <w:rPr>
                <w:rFonts w:ascii="Malgun Gothic"/>
                <w:color w:val="000000" w:themeColor="text1"/>
                <w:sz w:val="18"/>
                <w:szCs w:val="18"/>
              </w:rPr>
            </w:pPr>
          </w:p>
        </w:tc>
        <w:tc>
          <w:tcPr>
            <w:tcW w:w="735" w:type="dxa"/>
            <w:vMerge w:val="continue"/>
            <w:vAlign w:val="center"/>
          </w:tcPr>
          <w:p>
            <w:pPr>
              <w:jc w:val="center"/>
              <w:rPr>
                <w:rFonts w:ascii="Malgun Gothic"/>
                <w:color w:val="000000" w:themeColor="text1"/>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61"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5"/>
                <w:sz w:val="18"/>
                <w:szCs w:val="18"/>
              </w:rPr>
              <w:t>20%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排污企业</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性质</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118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一般排污</w:t>
            </w:r>
          </w:p>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单位</w:t>
            </w:r>
          </w:p>
        </w:tc>
        <w:tc>
          <w:tcPr>
            <w:tcW w:w="29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未采取有利于减少持久性有机污染物排放的技术方法和工艺的</w:t>
            </w:r>
          </w:p>
        </w:tc>
        <w:tc>
          <w:tcPr>
            <w:tcW w:w="66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2</w:t>
            </w:r>
            <w:r>
              <w:rPr>
                <w:rFonts w:ascii="仿宋" w:hAnsi="仿宋" w:eastAsia="仿宋" w:cs="仿宋"/>
                <w:color w:val="000000" w:themeColor="text1"/>
                <w:spacing w:val="-5"/>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配备净化装置，但未达到效果的</w:t>
            </w:r>
          </w:p>
        </w:tc>
        <w:tc>
          <w:tcPr>
            <w:tcW w:w="6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未配备净化装置</w:t>
            </w:r>
          </w:p>
        </w:tc>
        <w:tc>
          <w:tcPr>
            <w:tcW w:w="661"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18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重点排污</w:t>
            </w:r>
          </w:p>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单位</w:t>
            </w:r>
          </w:p>
        </w:tc>
        <w:tc>
          <w:tcPr>
            <w:tcW w:w="29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未采取有利于减少持久性有机污染物排放的技术方法和工艺的</w:t>
            </w:r>
          </w:p>
        </w:tc>
        <w:tc>
          <w:tcPr>
            <w:tcW w:w="66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12</w:t>
            </w:r>
            <w:r>
              <w:rPr>
                <w:rFonts w:ascii="仿宋" w:hAnsi="仿宋" w:eastAsia="仿宋" w:cs="仿宋"/>
                <w:color w:val="000000" w:themeColor="text1"/>
                <w:spacing w:val="-4"/>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配备净化装置，但未达到效果的</w:t>
            </w:r>
          </w:p>
        </w:tc>
        <w:tc>
          <w:tcPr>
            <w:tcW w:w="6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15%</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4" w:type="dxa"/>
            <w:vMerge w:val="continue"/>
            <w:vAlign w:val="center"/>
          </w:tcPr>
          <w:p>
            <w:pPr>
              <w:jc w:val="center"/>
              <w:rPr>
                <w:rFonts w:ascii="Malgun Gothic"/>
                <w:color w:val="000000" w:themeColor="text1"/>
                <w:sz w:val="18"/>
                <w:szCs w:val="18"/>
              </w:rPr>
            </w:pPr>
          </w:p>
        </w:tc>
        <w:tc>
          <w:tcPr>
            <w:tcW w:w="1175" w:type="dxa"/>
            <w:vMerge w:val="continue"/>
            <w:vAlign w:val="center"/>
          </w:tcPr>
          <w:p>
            <w:pPr>
              <w:jc w:val="center"/>
              <w:rPr>
                <w:rFonts w:ascii="Malgun Gothic"/>
                <w:color w:val="000000" w:themeColor="text1"/>
                <w:sz w:val="18"/>
                <w:szCs w:val="18"/>
              </w:rPr>
            </w:pPr>
          </w:p>
        </w:tc>
        <w:tc>
          <w:tcPr>
            <w:tcW w:w="735" w:type="dxa"/>
            <w:vMerge w:val="continue"/>
            <w:vAlign w:val="center"/>
          </w:tcPr>
          <w:p>
            <w:pPr>
              <w:jc w:val="center"/>
              <w:rPr>
                <w:rFonts w:ascii="Malgun Gothic"/>
                <w:color w:val="000000" w:themeColor="text1"/>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未配备净化装置</w:t>
            </w:r>
          </w:p>
        </w:tc>
        <w:tc>
          <w:tcPr>
            <w:tcW w:w="661"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20%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55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5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整改</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55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restart"/>
            <w:tcBorders>
              <w:bottom w:val="nil"/>
            </w:tcBorders>
            <w:vAlign w:val="center"/>
          </w:tcPr>
          <w:p>
            <w:pPr>
              <w:spacing w:before="46"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175" w:type="dxa"/>
            <w:vMerge w:val="restart"/>
            <w:tcBorders>
              <w:bottom w:val="nil"/>
            </w:tcBorders>
            <w:vAlign w:val="center"/>
          </w:tcPr>
          <w:p>
            <w:pPr>
              <w:ind w:right="218"/>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right="218"/>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3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141"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61"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14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661"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14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661"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141"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661"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14" w:type="dxa"/>
            <w:vMerge w:val="continue"/>
            <w:tcBorders>
              <w:top w:val="nil"/>
              <w:bottom w:val="single" w:color="auto" w:sz="4" w:space="0"/>
            </w:tcBorders>
          </w:tcPr>
          <w:p>
            <w:pPr>
              <w:rPr>
                <w:rFonts w:ascii="Malgun Gothic"/>
                <w:color w:val="000000" w:themeColor="text1"/>
                <w:sz w:val="18"/>
                <w:szCs w:val="18"/>
              </w:rPr>
            </w:pPr>
          </w:p>
        </w:tc>
        <w:tc>
          <w:tcPr>
            <w:tcW w:w="1175" w:type="dxa"/>
            <w:vMerge w:val="continue"/>
            <w:tcBorders>
              <w:top w:val="nil"/>
              <w:bottom w:val="single" w:color="auto" w:sz="4" w:space="0"/>
            </w:tcBorders>
          </w:tcPr>
          <w:p>
            <w:pPr>
              <w:rPr>
                <w:rFonts w:ascii="Malgun Gothic"/>
                <w:color w:val="000000" w:themeColor="text1"/>
                <w:sz w:val="18"/>
                <w:szCs w:val="18"/>
              </w:rPr>
            </w:pPr>
          </w:p>
        </w:tc>
        <w:tc>
          <w:tcPr>
            <w:tcW w:w="735" w:type="dxa"/>
            <w:vMerge w:val="continue"/>
            <w:tcBorders>
              <w:top w:val="nil"/>
              <w:bottom w:val="single" w:color="auto" w:sz="4" w:space="0"/>
            </w:tcBorders>
          </w:tcPr>
          <w:p>
            <w:pPr>
              <w:rPr>
                <w:rFonts w:ascii="Malgun Gothic"/>
                <w:color w:val="000000" w:themeColor="text1"/>
                <w:sz w:val="18"/>
                <w:szCs w:val="18"/>
              </w:rPr>
            </w:pPr>
          </w:p>
        </w:tc>
        <w:tc>
          <w:tcPr>
            <w:tcW w:w="4141" w:type="dxa"/>
            <w:gridSpan w:val="2"/>
            <w:tcBorders>
              <w:bottom w:val="single" w:color="auto" w:sz="4"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661"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47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847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九条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(七)向大气排放持久性有机污染物的企业事业单位和其他生产经营者以及废弃物焚烧设施的运营单位，未按照国家有关规定采取有利于减少持久性有机污染物排放的技术方法和工艺，配备净化装置的；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b/>
      </w: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56" w:name="_Toc21670"/>
      <w:bookmarkStart w:id="157" w:name="_Toc15245"/>
      <w:r>
        <w:rPr>
          <w:rFonts w:hint="eastAsia" w:ascii="仿宋" w:hAnsi="仿宋" w:eastAsia="仿宋" w:cs="仿宋"/>
          <w:b/>
          <w:bCs/>
          <w:color w:val="000000" w:themeColor="text1"/>
          <w:kern w:val="0"/>
          <w:sz w:val="24"/>
        </w:rPr>
        <w:t>表37未采取措施防止排放恶臭气体的罚款幅度裁定</w:t>
      </w:r>
      <w:bookmarkEnd w:id="156"/>
      <w:bookmarkEnd w:id="157"/>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3"/>
        <w:gridCol w:w="1776"/>
        <w:gridCol w:w="969"/>
        <w:gridCol w:w="1543"/>
        <w:gridCol w:w="1859"/>
        <w:gridCol w:w="748"/>
        <w:gridCol w:w="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1" w:hRule="atLeast"/>
        </w:trPr>
        <w:tc>
          <w:tcPr>
            <w:tcW w:w="3978" w:type="dxa"/>
            <w:gridSpan w:val="3"/>
          </w:tcPr>
          <w:p>
            <w:pPr>
              <w:spacing w:before="178" w:line="184" w:lineRule="auto"/>
              <w:ind w:firstLine="1405"/>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21" w:type="dxa"/>
            <w:gridSpan w:val="4"/>
          </w:tcPr>
          <w:p>
            <w:pPr>
              <w:spacing w:before="178" w:line="184" w:lineRule="auto"/>
              <w:ind w:firstLine="1733"/>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1" w:hRule="atLeast"/>
        </w:trPr>
        <w:tc>
          <w:tcPr>
            <w:tcW w:w="123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7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6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0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77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543"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没有按要求采取污染防治措施的</w:t>
            </w:r>
          </w:p>
        </w:tc>
        <w:tc>
          <w:tcPr>
            <w:tcW w:w="1859" w:type="dxa"/>
            <w:tcBorders>
              <w:left w:val="single" w:color="auto" w:sz="4" w:space="0"/>
              <w:bottom w:val="single" w:color="auto" w:sz="4" w:space="0"/>
            </w:tcBorders>
          </w:tcPr>
          <w:p>
            <w:pPr>
              <w:pStyle w:val="16"/>
              <w:spacing w:before="112"/>
              <w:ind w:left="108"/>
              <w:jc w:val="center"/>
              <w:rPr>
                <w:color w:val="000000" w:themeColor="text1"/>
                <w:sz w:val="18"/>
                <w:szCs w:val="18"/>
              </w:rPr>
            </w:pPr>
            <w:r>
              <w:rPr>
                <w:rFonts w:hint="eastAsia"/>
                <w:color w:val="000000" w:themeColor="text1"/>
                <w:sz w:val="18"/>
                <w:szCs w:val="18"/>
                <w:lang w:val="en-US"/>
              </w:rPr>
              <w:t>三</w:t>
            </w:r>
            <w:r>
              <w:rPr>
                <w:rFonts w:hint="eastAsia"/>
                <w:color w:val="000000" w:themeColor="text1"/>
                <w:sz w:val="18"/>
                <w:szCs w:val="18"/>
              </w:rPr>
              <w:t>类功能区</w:t>
            </w:r>
          </w:p>
        </w:tc>
        <w:tc>
          <w:tcPr>
            <w:tcW w:w="74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jc w:val="center"/>
              <w:rPr>
                <w:rFonts w:ascii="仿宋" w:hAnsi="仿宋" w:eastAsia="仿宋" w:cs="仿宋"/>
                <w:color w:val="000000" w:themeColor="text1"/>
                <w:spacing w:val="-6"/>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bottom w:val="single" w:color="auto" w:sz="4" w:space="0"/>
            </w:tcBorders>
          </w:tcPr>
          <w:p>
            <w:pPr>
              <w:pStyle w:val="16"/>
              <w:spacing w:before="112"/>
              <w:ind w:left="108"/>
              <w:jc w:val="center"/>
              <w:rPr>
                <w:color w:val="000000" w:themeColor="text1"/>
                <w:sz w:val="18"/>
                <w:szCs w:val="18"/>
              </w:rPr>
            </w:pPr>
            <w:r>
              <w:rPr>
                <w:rFonts w:hint="eastAsia"/>
                <w:color w:val="000000" w:themeColor="text1"/>
                <w:sz w:val="18"/>
                <w:szCs w:val="18"/>
              </w:rPr>
              <w:t>二类功能区（工业</w:t>
            </w:r>
            <w:r>
              <w:rPr>
                <w:rFonts w:hint="eastAsia"/>
                <w:color w:val="000000" w:themeColor="text1"/>
                <w:sz w:val="18"/>
                <w:szCs w:val="18"/>
                <w:lang w:val="en-US"/>
              </w:rPr>
              <w:t>区</w:t>
            </w:r>
            <w:r>
              <w:rPr>
                <w:rFonts w:hint="eastAsia"/>
                <w:color w:val="000000" w:themeColor="text1"/>
                <w:sz w:val="18"/>
                <w:szCs w:val="18"/>
              </w:rPr>
              <w:t>和农村地区）</w:t>
            </w:r>
          </w:p>
        </w:tc>
        <w:tc>
          <w:tcPr>
            <w:tcW w:w="7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jc w:val="center"/>
              <w:rPr>
                <w:rFonts w:ascii="仿宋" w:hAnsi="仿宋" w:eastAsia="仿宋" w:cs="仿宋"/>
                <w:color w:val="000000" w:themeColor="text1"/>
                <w:spacing w:val="-6"/>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bottom w:val="single" w:color="auto" w:sz="4" w:space="0"/>
            </w:tcBorders>
          </w:tcPr>
          <w:p>
            <w:pPr>
              <w:pStyle w:val="16"/>
              <w:spacing w:line="230" w:lineRule="exact"/>
              <w:ind w:left="108"/>
              <w:jc w:val="center"/>
              <w:rPr>
                <w:color w:val="000000" w:themeColor="text1"/>
                <w:spacing w:val="-1"/>
                <w:sz w:val="18"/>
                <w:szCs w:val="18"/>
              </w:rPr>
            </w:pPr>
            <w:r>
              <w:rPr>
                <w:color w:val="000000" w:themeColor="text1"/>
                <w:sz w:val="18"/>
                <w:szCs w:val="18"/>
              </w:rPr>
              <w:t>二类功能区（居民区、商业交通居民混合区、文化区</w:t>
            </w:r>
          </w:p>
        </w:tc>
        <w:tc>
          <w:tcPr>
            <w:tcW w:w="7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jc w:val="center"/>
              <w:rPr>
                <w:rFonts w:ascii="仿宋" w:hAnsi="仿宋" w:eastAsia="仿宋" w:cs="仿宋"/>
                <w:color w:val="000000" w:themeColor="text1"/>
                <w:spacing w:val="-6"/>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一类功能区</w:t>
            </w:r>
          </w:p>
        </w:tc>
        <w:tc>
          <w:tcPr>
            <w:tcW w:w="748"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1543"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完全没有采取污染防治措施的</w:t>
            </w:r>
          </w:p>
        </w:tc>
        <w:tc>
          <w:tcPr>
            <w:tcW w:w="1859" w:type="dxa"/>
            <w:tcBorders>
              <w:left w:val="single" w:color="auto" w:sz="4" w:space="0"/>
              <w:bottom w:val="single" w:color="auto" w:sz="4" w:space="0"/>
            </w:tcBorders>
          </w:tcPr>
          <w:p>
            <w:pPr>
              <w:pStyle w:val="16"/>
              <w:spacing w:before="112"/>
              <w:ind w:left="108"/>
              <w:jc w:val="center"/>
              <w:rPr>
                <w:color w:val="000000" w:themeColor="text1"/>
                <w:sz w:val="18"/>
                <w:szCs w:val="18"/>
              </w:rPr>
            </w:pPr>
            <w:r>
              <w:rPr>
                <w:rFonts w:hint="eastAsia"/>
                <w:color w:val="000000" w:themeColor="text1"/>
                <w:sz w:val="18"/>
                <w:szCs w:val="18"/>
                <w:lang w:val="en-US"/>
              </w:rPr>
              <w:t>三</w:t>
            </w:r>
            <w:r>
              <w:rPr>
                <w:rFonts w:hint="eastAsia"/>
                <w:color w:val="000000" w:themeColor="text1"/>
                <w:sz w:val="18"/>
                <w:szCs w:val="18"/>
              </w:rPr>
              <w:t>类功能区</w:t>
            </w:r>
          </w:p>
        </w:tc>
        <w:tc>
          <w:tcPr>
            <w:tcW w:w="74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bottom w:val="single" w:color="auto" w:sz="4" w:space="0"/>
            </w:tcBorders>
          </w:tcPr>
          <w:p>
            <w:pPr>
              <w:pStyle w:val="16"/>
              <w:spacing w:before="112"/>
              <w:ind w:left="108"/>
              <w:jc w:val="center"/>
              <w:rPr>
                <w:color w:val="000000" w:themeColor="text1"/>
                <w:sz w:val="18"/>
                <w:szCs w:val="18"/>
              </w:rPr>
            </w:pPr>
            <w:r>
              <w:rPr>
                <w:rFonts w:hint="eastAsia"/>
                <w:color w:val="000000" w:themeColor="text1"/>
                <w:sz w:val="18"/>
                <w:szCs w:val="18"/>
              </w:rPr>
              <w:t>二类功能区（工业</w:t>
            </w:r>
            <w:r>
              <w:rPr>
                <w:rFonts w:hint="eastAsia"/>
                <w:color w:val="000000" w:themeColor="text1"/>
                <w:sz w:val="18"/>
                <w:szCs w:val="18"/>
                <w:lang w:val="en-US"/>
              </w:rPr>
              <w:t>区</w:t>
            </w:r>
            <w:r>
              <w:rPr>
                <w:rFonts w:hint="eastAsia"/>
                <w:color w:val="000000" w:themeColor="text1"/>
                <w:sz w:val="18"/>
                <w:szCs w:val="18"/>
              </w:rPr>
              <w:t>和农村地区）</w:t>
            </w:r>
          </w:p>
        </w:tc>
        <w:tc>
          <w:tcPr>
            <w:tcW w:w="7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3" w:type="dxa"/>
            <w:vMerge w:val="continue"/>
            <w:vAlign w:val="center"/>
          </w:tcPr>
          <w:p>
            <w:pPr>
              <w:jc w:val="center"/>
              <w:rPr>
                <w:rFonts w:ascii="Malgun Gothic"/>
                <w:color w:val="000000" w:themeColor="text1"/>
                <w:sz w:val="18"/>
                <w:szCs w:val="18"/>
              </w:rPr>
            </w:pPr>
          </w:p>
        </w:tc>
        <w:tc>
          <w:tcPr>
            <w:tcW w:w="1776" w:type="dxa"/>
            <w:vMerge w:val="continue"/>
            <w:vAlign w:val="center"/>
          </w:tcPr>
          <w:p>
            <w:pPr>
              <w:jc w:val="center"/>
              <w:rPr>
                <w:rFonts w:ascii="Malgun Gothic"/>
                <w:color w:val="000000" w:themeColor="text1"/>
                <w:sz w:val="18"/>
                <w:szCs w:val="18"/>
              </w:rPr>
            </w:pPr>
          </w:p>
        </w:tc>
        <w:tc>
          <w:tcPr>
            <w:tcW w:w="969" w:type="dxa"/>
            <w:vMerge w:val="continue"/>
            <w:vAlign w:val="center"/>
          </w:tcPr>
          <w:p>
            <w:pPr>
              <w:jc w:val="center"/>
              <w:rPr>
                <w:rFonts w:ascii="Malgun Gothic"/>
                <w:color w:val="000000" w:themeColor="text1"/>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bottom w:val="single" w:color="auto" w:sz="4" w:space="0"/>
            </w:tcBorders>
          </w:tcPr>
          <w:p>
            <w:pPr>
              <w:pStyle w:val="16"/>
              <w:spacing w:line="230" w:lineRule="exact"/>
              <w:ind w:left="108"/>
              <w:jc w:val="center"/>
              <w:rPr>
                <w:color w:val="000000" w:themeColor="text1"/>
                <w:spacing w:val="-1"/>
                <w:sz w:val="18"/>
                <w:szCs w:val="18"/>
              </w:rPr>
            </w:pPr>
            <w:r>
              <w:rPr>
                <w:color w:val="000000" w:themeColor="text1"/>
                <w:sz w:val="18"/>
                <w:szCs w:val="18"/>
              </w:rPr>
              <w:t>二类功能区（居民区、商业交通居民混合区、文化区</w:t>
            </w:r>
          </w:p>
        </w:tc>
        <w:tc>
          <w:tcPr>
            <w:tcW w:w="7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3" w:type="dxa"/>
            <w:vMerge w:val="continue"/>
            <w:vAlign w:val="center"/>
          </w:tcPr>
          <w:p>
            <w:pPr>
              <w:jc w:val="center"/>
              <w:rPr>
                <w:rFonts w:ascii="Malgun Gothic"/>
                <w:color w:val="000000" w:themeColor="text1"/>
                <w:sz w:val="18"/>
                <w:szCs w:val="18"/>
              </w:rPr>
            </w:pPr>
          </w:p>
        </w:tc>
        <w:tc>
          <w:tcPr>
            <w:tcW w:w="1776" w:type="dxa"/>
            <w:vMerge w:val="continue"/>
            <w:vAlign w:val="center"/>
          </w:tcPr>
          <w:p>
            <w:pPr>
              <w:jc w:val="center"/>
              <w:rPr>
                <w:rFonts w:ascii="Malgun Gothic"/>
                <w:color w:val="000000" w:themeColor="text1"/>
                <w:sz w:val="18"/>
                <w:szCs w:val="18"/>
              </w:rPr>
            </w:pPr>
          </w:p>
        </w:tc>
        <w:tc>
          <w:tcPr>
            <w:tcW w:w="969" w:type="dxa"/>
            <w:vMerge w:val="continue"/>
            <w:vAlign w:val="center"/>
          </w:tcPr>
          <w:p>
            <w:pPr>
              <w:jc w:val="center"/>
              <w:rPr>
                <w:rFonts w:ascii="Malgun Gothic"/>
                <w:color w:val="000000" w:themeColor="text1"/>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一类功能区</w:t>
            </w:r>
          </w:p>
        </w:tc>
        <w:tc>
          <w:tcPr>
            <w:tcW w:w="748"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47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7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4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tcBorders>
              <w:top w:val="nil"/>
              <w:bottom w:val="nil"/>
            </w:tcBorders>
            <w:vAlign w:val="center"/>
          </w:tcPr>
          <w:p>
            <w:pPr>
              <w:jc w:val="center"/>
              <w:rPr>
                <w:rFonts w:ascii="Malgun Gothic"/>
                <w:color w:val="000000" w:themeColor="text1"/>
                <w:sz w:val="18"/>
                <w:szCs w:val="18"/>
              </w:rPr>
            </w:pPr>
          </w:p>
        </w:tc>
        <w:tc>
          <w:tcPr>
            <w:tcW w:w="1776" w:type="dxa"/>
            <w:vMerge w:val="continue"/>
            <w:tcBorders>
              <w:top w:val="nil"/>
              <w:bottom w:val="nil"/>
            </w:tcBorders>
            <w:vAlign w:val="center"/>
          </w:tcPr>
          <w:p>
            <w:pPr>
              <w:jc w:val="center"/>
              <w:rPr>
                <w:rFonts w:ascii="Malgun Gothic"/>
                <w:color w:val="000000" w:themeColor="text1"/>
                <w:sz w:val="18"/>
                <w:szCs w:val="18"/>
              </w:rPr>
            </w:pPr>
          </w:p>
        </w:tc>
        <w:tc>
          <w:tcPr>
            <w:tcW w:w="969" w:type="dxa"/>
            <w:vMerge w:val="continue"/>
            <w:tcBorders>
              <w:top w:val="nil"/>
              <w:bottom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tcBorders>
              <w:top w:val="nil"/>
              <w:bottom w:val="nil"/>
            </w:tcBorders>
            <w:vAlign w:val="center"/>
          </w:tcPr>
          <w:p>
            <w:pPr>
              <w:jc w:val="center"/>
              <w:rPr>
                <w:rFonts w:ascii="Malgun Gothic"/>
                <w:color w:val="000000" w:themeColor="text1"/>
                <w:sz w:val="18"/>
                <w:szCs w:val="18"/>
              </w:rPr>
            </w:pPr>
          </w:p>
        </w:tc>
        <w:tc>
          <w:tcPr>
            <w:tcW w:w="1776" w:type="dxa"/>
            <w:vMerge w:val="continue"/>
            <w:tcBorders>
              <w:top w:val="nil"/>
              <w:bottom w:val="nil"/>
            </w:tcBorders>
            <w:vAlign w:val="center"/>
          </w:tcPr>
          <w:p>
            <w:pPr>
              <w:jc w:val="center"/>
              <w:rPr>
                <w:rFonts w:ascii="Malgun Gothic"/>
                <w:color w:val="000000" w:themeColor="text1"/>
                <w:sz w:val="18"/>
                <w:szCs w:val="18"/>
              </w:rPr>
            </w:pPr>
          </w:p>
        </w:tc>
        <w:tc>
          <w:tcPr>
            <w:tcW w:w="969" w:type="dxa"/>
            <w:vMerge w:val="continue"/>
            <w:tcBorders>
              <w:top w:val="nil"/>
              <w:bottom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4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7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4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tcBorders>
              <w:top w:val="nil"/>
              <w:bottom w:val="nil"/>
            </w:tcBorders>
            <w:vAlign w:val="center"/>
          </w:tcPr>
          <w:p>
            <w:pPr>
              <w:jc w:val="center"/>
              <w:rPr>
                <w:rFonts w:ascii="Malgun Gothic"/>
                <w:color w:val="000000" w:themeColor="text1"/>
                <w:sz w:val="18"/>
                <w:szCs w:val="18"/>
              </w:rPr>
            </w:pPr>
          </w:p>
        </w:tc>
        <w:tc>
          <w:tcPr>
            <w:tcW w:w="1776" w:type="dxa"/>
            <w:vMerge w:val="continue"/>
            <w:tcBorders>
              <w:top w:val="nil"/>
              <w:bottom w:val="nil"/>
            </w:tcBorders>
            <w:vAlign w:val="center"/>
          </w:tcPr>
          <w:p>
            <w:pPr>
              <w:jc w:val="center"/>
              <w:rPr>
                <w:rFonts w:ascii="Malgun Gothic"/>
                <w:color w:val="000000" w:themeColor="text1"/>
                <w:sz w:val="18"/>
                <w:szCs w:val="18"/>
              </w:rPr>
            </w:pPr>
          </w:p>
        </w:tc>
        <w:tc>
          <w:tcPr>
            <w:tcW w:w="969" w:type="dxa"/>
            <w:vMerge w:val="continue"/>
            <w:tcBorders>
              <w:top w:val="nil"/>
              <w:bottom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4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4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76" w:type="dxa"/>
            <w:vMerge w:val="restart"/>
            <w:tcBorders>
              <w:bottom w:val="nil"/>
            </w:tcBorders>
            <w:vAlign w:val="center"/>
          </w:tcPr>
          <w:p>
            <w:pPr>
              <w:ind w:right="154"/>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right="15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4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4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77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96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402"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8"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4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40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48"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40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48"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402"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48"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4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33" w:type="dxa"/>
            <w:vMerge w:val="continue"/>
            <w:tcBorders>
              <w:top w:val="nil"/>
              <w:bottom w:val="single" w:color="auto" w:sz="4" w:space="0"/>
            </w:tcBorders>
          </w:tcPr>
          <w:p>
            <w:pPr>
              <w:rPr>
                <w:rFonts w:ascii="Malgun Gothic"/>
                <w:color w:val="000000" w:themeColor="text1"/>
                <w:sz w:val="18"/>
                <w:szCs w:val="18"/>
              </w:rPr>
            </w:pPr>
          </w:p>
        </w:tc>
        <w:tc>
          <w:tcPr>
            <w:tcW w:w="1776" w:type="dxa"/>
            <w:vMerge w:val="continue"/>
            <w:tcBorders>
              <w:top w:val="nil"/>
              <w:bottom w:val="single" w:color="auto" w:sz="4" w:space="0"/>
            </w:tcBorders>
          </w:tcPr>
          <w:p>
            <w:pPr>
              <w:rPr>
                <w:rFonts w:ascii="Malgun Gothic"/>
                <w:color w:val="000000" w:themeColor="text1"/>
                <w:sz w:val="18"/>
                <w:szCs w:val="18"/>
              </w:rPr>
            </w:pPr>
          </w:p>
        </w:tc>
        <w:tc>
          <w:tcPr>
            <w:tcW w:w="969" w:type="dxa"/>
            <w:vMerge w:val="continue"/>
            <w:tcBorders>
              <w:top w:val="nil"/>
              <w:bottom w:val="single" w:color="auto" w:sz="4" w:space="0"/>
            </w:tcBorders>
          </w:tcPr>
          <w:p>
            <w:pPr>
              <w:rPr>
                <w:rFonts w:ascii="Malgun Gothic"/>
                <w:color w:val="000000" w:themeColor="text1"/>
                <w:sz w:val="18"/>
                <w:szCs w:val="18"/>
              </w:rPr>
            </w:pPr>
          </w:p>
        </w:tc>
        <w:tc>
          <w:tcPr>
            <w:tcW w:w="3402" w:type="dxa"/>
            <w:gridSpan w:val="2"/>
            <w:tcBorders>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48"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4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859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859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tabs>
          <w:tab w:val="right" w:pos="8476"/>
        </w:tabs>
        <w:spacing w:before="73"/>
        <w:ind w:right="108"/>
        <w:jc w:val="left"/>
        <w:rPr>
          <w:rFonts w:ascii="仿宋_GB2312" w:hAnsi="仿宋_GB2312" w:eastAsia="仿宋_GB2312" w:cs="仿宋_GB2312"/>
          <w:color w:val="000000" w:themeColor="text1"/>
          <w:szCs w:val="21"/>
        </w:rPr>
      </w:pPr>
    </w:p>
    <w:p>
      <w:pPr>
        <w:tabs>
          <w:tab w:val="right" w:pos="8476"/>
        </w:tabs>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1.《中华人民共和国大气污染防治法》第七十五条畜禽养殖场、养殖小区应当及时对污水、畜禽粪便和尸体等进行收集、贮存、清运和无害化处理，防止排放恶臭气体。</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第八十条企业事业单位和其他生产经营者在生产经营活动中产生恶臭气体的，应当科学选址，设置合理的防护距离，并安装净化装置或者采取其他措施，防止排放恶臭气体。</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2.《中华人民共和国大气污染防治法》第一百一十七条违反本法规定，有下业整治：</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(八)未采取措施防止排放恶臭气体的。</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列行为之一的，由县级以上人民政府生态环境等主管部门按照职责责令改正，处1万元以上10万元以下的罚款；拒不改正的，责令停工整治或者停</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58" w:name="_Toc9580"/>
      <w:bookmarkStart w:id="159" w:name="_Toc11351"/>
      <w:r>
        <w:rPr>
          <w:rFonts w:hint="eastAsia" w:ascii="仿宋" w:hAnsi="仿宋" w:eastAsia="仿宋" w:cs="仿宋"/>
          <w:b/>
          <w:bCs/>
          <w:color w:val="000000" w:themeColor="text1"/>
          <w:kern w:val="0"/>
          <w:sz w:val="24"/>
        </w:rPr>
        <w:t>表38从事服装干洗和机动车维修等服务活动，未设置异味和废气处理装置等污染防治设施并保持正常使用，影响周边环境的罚款幅度裁定</w:t>
      </w:r>
      <w:bookmarkEnd w:id="158"/>
      <w:bookmarkEnd w:id="159"/>
    </w:p>
    <w:tbl>
      <w:tblPr>
        <w:tblStyle w:val="15"/>
        <w:tblW w:w="8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369"/>
        <w:gridCol w:w="675"/>
        <w:gridCol w:w="1545"/>
        <w:gridCol w:w="2317"/>
        <w:gridCol w:w="717"/>
        <w:gridCol w:w="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3259"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1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15" w:type="dxa"/>
          </w:tcPr>
          <w:p>
            <w:pPr>
              <w:spacing w:before="198"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6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369"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违法行为</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类型</w:t>
            </w:r>
          </w:p>
        </w:tc>
        <w:tc>
          <w:tcPr>
            <w:tcW w:w="6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54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已设置异味和废气处理装置等污染防治设施，但不能保证正常使用的</w:t>
            </w:r>
          </w:p>
        </w:tc>
        <w:tc>
          <w:tcPr>
            <w:tcW w:w="2317" w:type="dxa"/>
            <w:tcBorders>
              <w:left w:val="single" w:color="auto" w:sz="4" w:space="0"/>
              <w:bottom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lang w:val="en-US"/>
              </w:rPr>
              <w:t>三</w:t>
            </w:r>
            <w:r>
              <w:rPr>
                <w:rFonts w:hint="eastAsia"/>
                <w:color w:val="000000" w:themeColor="text1"/>
                <w:sz w:val="18"/>
                <w:szCs w:val="18"/>
              </w:rPr>
              <w:t>类功能区</w:t>
            </w:r>
          </w:p>
        </w:tc>
        <w:tc>
          <w:tcPr>
            <w:tcW w:w="71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jc w:val="center"/>
              <w:rPr>
                <w:rFonts w:ascii="仿宋" w:hAnsi="仿宋" w:eastAsia="仿宋" w:cs="仿宋"/>
                <w:color w:val="000000" w:themeColor="text1"/>
                <w:spacing w:val="-6"/>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bottom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二类功能区（工业</w:t>
            </w:r>
            <w:r>
              <w:rPr>
                <w:rFonts w:hint="eastAsia"/>
                <w:color w:val="000000" w:themeColor="text1"/>
                <w:sz w:val="18"/>
                <w:szCs w:val="18"/>
                <w:lang w:val="en-US"/>
              </w:rPr>
              <w:t>区</w:t>
            </w:r>
            <w:r>
              <w:rPr>
                <w:rFonts w:hint="eastAsia"/>
                <w:color w:val="000000" w:themeColor="text1"/>
                <w:sz w:val="18"/>
                <w:szCs w:val="18"/>
              </w:rPr>
              <w:t>和农村地区）</w:t>
            </w:r>
          </w:p>
        </w:tc>
        <w:tc>
          <w:tcPr>
            <w:tcW w:w="7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jc w:val="center"/>
              <w:rPr>
                <w:rFonts w:ascii="仿宋" w:hAnsi="仿宋" w:eastAsia="仿宋" w:cs="仿宋"/>
                <w:color w:val="000000" w:themeColor="text1"/>
                <w:spacing w:val="-6"/>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bottom w:val="single" w:color="auto" w:sz="4" w:space="0"/>
            </w:tcBorders>
          </w:tcPr>
          <w:p>
            <w:pPr>
              <w:pStyle w:val="16"/>
              <w:spacing w:line="230" w:lineRule="exact"/>
              <w:ind w:left="108"/>
              <w:jc w:val="center"/>
              <w:rPr>
                <w:color w:val="000000" w:themeColor="text1"/>
                <w:spacing w:val="-1"/>
                <w:sz w:val="18"/>
                <w:szCs w:val="18"/>
              </w:rPr>
            </w:pPr>
            <w:r>
              <w:rPr>
                <w:color w:val="000000" w:themeColor="text1"/>
                <w:sz w:val="18"/>
                <w:szCs w:val="18"/>
              </w:rPr>
              <w:t>二类功能区（居民区、商业交通居民混合区、文化区</w:t>
            </w:r>
          </w:p>
        </w:tc>
        <w:tc>
          <w:tcPr>
            <w:tcW w:w="7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jc w:val="center"/>
              <w:rPr>
                <w:rFonts w:ascii="仿宋" w:hAnsi="仿宋" w:eastAsia="仿宋" w:cs="仿宋"/>
                <w:color w:val="000000" w:themeColor="text1"/>
                <w:spacing w:val="-6"/>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一类功能区</w:t>
            </w:r>
          </w:p>
        </w:tc>
        <w:tc>
          <w:tcPr>
            <w:tcW w:w="717"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154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未设置异味和废气处理装置等污染防治设施的</w:t>
            </w:r>
          </w:p>
        </w:tc>
        <w:tc>
          <w:tcPr>
            <w:tcW w:w="2317" w:type="dxa"/>
            <w:tcBorders>
              <w:left w:val="single" w:color="auto" w:sz="4" w:space="0"/>
              <w:bottom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lang w:val="en-US"/>
              </w:rPr>
              <w:t>三</w:t>
            </w:r>
            <w:r>
              <w:rPr>
                <w:rFonts w:hint="eastAsia"/>
                <w:color w:val="000000" w:themeColor="text1"/>
                <w:sz w:val="18"/>
                <w:szCs w:val="18"/>
              </w:rPr>
              <w:t>类功能区</w:t>
            </w:r>
          </w:p>
        </w:tc>
        <w:tc>
          <w:tcPr>
            <w:tcW w:w="71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bottom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二类功能区（工业</w:t>
            </w:r>
            <w:r>
              <w:rPr>
                <w:rFonts w:hint="eastAsia"/>
                <w:color w:val="000000" w:themeColor="text1"/>
                <w:sz w:val="18"/>
                <w:szCs w:val="18"/>
                <w:lang w:val="en-US"/>
              </w:rPr>
              <w:t>区</w:t>
            </w:r>
            <w:r>
              <w:rPr>
                <w:rFonts w:hint="eastAsia"/>
                <w:color w:val="000000" w:themeColor="text1"/>
                <w:sz w:val="18"/>
                <w:szCs w:val="18"/>
              </w:rPr>
              <w:t>和农村地区）</w:t>
            </w:r>
          </w:p>
        </w:tc>
        <w:tc>
          <w:tcPr>
            <w:tcW w:w="7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vAlign w:val="center"/>
          </w:tcPr>
          <w:p>
            <w:pPr>
              <w:jc w:val="center"/>
              <w:rPr>
                <w:rFonts w:ascii="Malgun Gothic"/>
                <w:color w:val="000000" w:themeColor="text1"/>
                <w:sz w:val="18"/>
                <w:szCs w:val="18"/>
              </w:rPr>
            </w:pPr>
          </w:p>
        </w:tc>
        <w:tc>
          <w:tcPr>
            <w:tcW w:w="1369" w:type="dxa"/>
            <w:vMerge w:val="continue"/>
            <w:vAlign w:val="center"/>
          </w:tcPr>
          <w:p>
            <w:pPr>
              <w:jc w:val="center"/>
              <w:rPr>
                <w:rFonts w:ascii="Malgun Gothic"/>
                <w:color w:val="000000" w:themeColor="text1"/>
                <w:sz w:val="18"/>
                <w:szCs w:val="18"/>
              </w:rPr>
            </w:pPr>
          </w:p>
        </w:tc>
        <w:tc>
          <w:tcPr>
            <w:tcW w:w="675" w:type="dxa"/>
            <w:vMerge w:val="continue"/>
            <w:vAlign w:val="center"/>
          </w:tcPr>
          <w:p>
            <w:pPr>
              <w:jc w:val="center"/>
              <w:rPr>
                <w:rFonts w:ascii="Malgun Gothic"/>
                <w:color w:val="000000" w:themeColor="text1"/>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bottom w:val="single" w:color="auto" w:sz="4" w:space="0"/>
            </w:tcBorders>
          </w:tcPr>
          <w:p>
            <w:pPr>
              <w:pStyle w:val="16"/>
              <w:spacing w:line="230" w:lineRule="exact"/>
              <w:ind w:left="108"/>
              <w:jc w:val="center"/>
              <w:rPr>
                <w:color w:val="000000" w:themeColor="text1"/>
                <w:spacing w:val="-1"/>
                <w:sz w:val="18"/>
                <w:szCs w:val="18"/>
              </w:rPr>
            </w:pPr>
            <w:r>
              <w:rPr>
                <w:color w:val="000000" w:themeColor="text1"/>
                <w:sz w:val="18"/>
                <w:szCs w:val="18"/>
              </w:rPr>
              <w:t>二类功能区（居民区、商业交通居民混合区、文化区</w:t>
            </w:r>
          </w:p>
        </w:tc>
        <w:tc>
          <w:tcPr>
            <w:tcW w:w="7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vAlign w:val="center"/>
          </w:tcPr>
          <w:p>
            <w:pPr>
              <w:jc w:val="center"/>
              <w:rPr>
                <w:rFonts w:ascii="Malgun Gothic"/>
                <w:color w:val="000000" w:themeColor="text1"/>
                <w:sz w:val="18"/>
                <w:szCs w:val="18"/>
              </w:rPr>
            </w:pPr>
          </w:p>
        </w:tc>
        <w:tc>
          <w:tcPr>
            <w:tcW w:w="1369" w:type="dxa"/>
            <w:vMerge w:val="continue"/>
            <w:vAlign w:val="center"/>
          </w:tcPr>
          <w:p>
            <w:pPr>
              <w:jc w:val="center"/>
              <w:rPr>
                <w:rFonts w:ascii="Malgun Gothic"/>
                <w:color w:val="000000" w:themeColor="text1"/>
                <w:sz w:val="18"/>
                <w:szCs w:val="18"/>
              </w:rPr>
            </w:pPr>
          </w:p>
        </w:tc>
        <w:tc>
          <w:tcPr>
            <w:tcW w:w="675" w:type="dxa"/>
            <w:vMerge w:val="continue"/>
            <w:vAlign w:val="center"/>
          </w:tcPr>
          <w:p>
            <w:pPr>
              <w:jc w:val="center"/>
              <w:rPr>
                <w:rFonts w:ascii="Malgun Gothic"/>
                <w:color w:val="000000" w:themeColor="text1"/>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一类功能区</w:t>
            </w:r>
          </w:p>
        </w:tc>
        <w:tc>
          <w:tcPr>
            <w:tcW w:w="717"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6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一年内违法</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次</w:t>
            </w:r>
            <w:r>
              <w:rPr>
                <w:rFonts w:ascii="仿宋" w:hAnsi="仿宋" w:eastAsia="仿宋" w:cs="仿宋"/>
                <w:color w:val="000000" w:themeColor="text1"/>
                <w:sz w:val="18"/>
                <w:szCs w:val="18"/>
              </w:rPr>
              <w:t>数</w:t>
            </w:r>
          </w:p>
        </w:tc>
        <w:tc>
          <w:tcPr>
            <w:tcW w:w="6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3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369" w:type="dxa"/>
            <w:vMerge w:val="continue"/>
            <w:tcBorders>
              <w:top w:val="nil"/>
              <w:bottom w:val="nil"/>
            </w:tcBorders>
            <w:vAlign w:val="center"/>
          </w:tcPr>
          <w:p>
            <w:pPr>
              <w:jc w:val="center"/>
              <w:rPr>
                <w:rFonts w:ascii="Malgun Gothic"/>
                <w:color w:val="000000" w:themeColor="text1"/>
                <w:sz w:val="18"/>
                <w:szCs w:val="18"/>
              </w:rPr>
            </w:pPr>
          </w:p>
        </w:tc>
        <w:tc>
          <w:tcPr>
            <w:tcW w:w="675" w:type="dxa"/>
            <w:vMerge w:val="continue"/>
            <w:tcBorders>
              <w:top w:val="nil"/>
              <w:bottom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3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369" w:type="dxa"/>
            <w:vMerge w:val="continue"/>
            <w:tcBorders>
              <w:top w:val="nil"/>
              <w:bottom w:val="nil"/>
            </w:tcBorders>
            <w:vAlign w:val="center"/>
          </w:tcPr>
          <w:p>
            <w:pPr>
              <w:jc w:val="center"/>
              <w:rPr>
                <w:rFonts w:ascii="Malgun Gothic"/>
                <w:color w:val="000000" w:themeColor="text1"/>
                <w:sz w:val="18"/>
                <w:szCs w:val="18"/>
              </w:rPr>
            </w:pPr>
          </w:p>
        </w:tc>
        <w:tc>
          <w:tcPr>
            <w:tcW w:w="675" w:type="dxa"/>
            <w:vMerge w:val="continue"/>
            <w:tcBorders>
              <w:top w:val="nil"/>
              <w:bottom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3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3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整改</w:t>
            </w:r>
          </w:p>
        </w:tc>
        <w:tc>
          <w:tcPr>
            <w:tcW w:w="6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3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369" w:type="dxa"/>
            <w:vMerge w:val="continue"/>
            <w:tcBorders>
              <w:top w:val="nil"/>
              <w:bottom w:val="nil"/>
            </w:tcBorders>
            <w:vAlign w:val="center"/>
          </w:tcPr>
          <w:p>
            <w:pPr>
              <w:jc w:val="center"/>
              <w:rPr>
                <w:rFonts w:ascii="Malgun Gothic"/>
                <w:color w:val="000000" w:themeColor="text1"/>
                <w:sz w:val="18"/>
                <w:szCs w:val="18"/>
              </w:rPr>
            </w:pPr>
          </w:p>
        </w:tc>
        <w:tc>
          <w:tcPr>
            <w:tcW w:w="675" w:type="dxa"/>
            <w:vMerge w:val="continue"/>
            <w:tcBorders>
              <w:top w:val="nil"/>
              <w:bottom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3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3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restart"/>
            <w:tcBorders>
              <w:bottom w:val="nil"/>
            </w:tcBorders>
            <w:vAlign w:val="center"/>
          </w:tcPr>
          <w:p>
            <w:pPr>
              <w:spacing w:before="46"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69" w:type="dxa"/>
            <w:vMerge w:val="restart"/>
            <w:tcBorders>
              <w:bottom w:val="nil"/>
            </w:tcBorders>
            <w:vAlign w:val="center"/>
          </w:tcPr>
          <w:p>
            <w:pPr>
              <w:ind w:left="674" w:right="190"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left="674" w:right="190"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6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3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63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369"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破</w:t>
            </w:r>
            <w:r>
              <w:rPr>
                <w:rFonts w:ascii="仿宋" w:hAnsi="仿宋" w:eastAsia="仿宋" w:cs="仿宋"/>
                <w:color w:val="000000" w:themeColor="text1"/>
                <w:sz w:val="18"/>
                <w:szCs w:val="18"/>
              </w:rPr>
              <w:t>坏</w:t>
            </w:r>
          </w:p>
        </w:tc>
        <w:tc>
          <w:tcPr>
            <w:tcW w:w="67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62"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17"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1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1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2"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17"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5" w:type="dxa"/>
            <w:vMerge w:val="continue"/>
            <w:tcBorders>
              <w:top w:val="nil"/>
              <w:bottom w:val="single" w:color="auto" w:sz="4" w:space="0"/>
            </w:tcBorders>
          </w:tcPr>
          <w:p>
            <w:pPr>
              <w:rPr>
                <w:rFonts w:ascii="Malgun Gothic"/>
                <w:color w:val="000000" w:themeColor="text1"/>
                <w:sz w:val="18"/>
                <w:szCs w:val="18"/>
              </w:rPr>
            </w:pPr>
          </w:p>
        </w:tc>
        <w:tc>
          <w:tcPr>
            <w:tcW w:w="1369" w:type="dxa"/>
            <w:vMerge w:val="continue"/>
            <w:tcBorders>
              <w:top w:val="nil"/>
              <w:bottom w:val="single" w:color="auto" w:sz="4" w:space="0"/>
            </w:tcBorders>
          </w:tcPr>
          <w:p>
            <w:pPr>
              <w:rPr>
                <w:rFonts w:ascii="Malgun Gothic"/>
                <w:color w:val="000000" w:themeColor="text1"/>
                <w:sz w:val="18"/>
                <w:szCs w:val="18"/>
              </w:rPr>
            </w:pPr>
          </w:p>
        </w:tc>
        <w:tc>
          <w:tcPr>
            <w:tcW w:w="675" w:type="dxa"/>
            <w:vMerge w:val="continue"/>
            <w:tcBorders>
              <w:top w:val="nil"/>
              <w:bottom w:val="single" w:color="auto" w:sz="4" w:space="0"/>
            </w:tcBorders>
          </w:tcPr>
          <w:p>
            <w:pPr>
              <w:rPr>
                <w:rFonts w:ascii="Malgun Gothic"/>
                <w:color w:val="000000" w:themeColor="text1"/>
                <w:sz w:val="18"/>
                <w:szCs w:val="18"/>
              </w:rPr>
            </w:pPr>
          </w:p>
        </w:tc>
        <w:tc>
          <w:tcPr>
            <w:tcW w:w="3862" w:type="dxa"/>
            <w:gridSpan w:val="2"/>
            <w:tcBorders>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17"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470"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470"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1.《中华人民共和国大气污染防治法》第八十四条从事服装干洗和机动车维修等服务活动的经营者，应当按照国家有关标准或者要求设置异味和废气处理装置等污染防治设施并保持正常使用，防止影响周边环境。</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2000元以上2万元以下的罚款；拒不改正的，责令停业整治。</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60" w:name="_Toc6839"/>
      <w:bookmarkStart w:id="161" w:name="_Toc32482"/>
      <w:r>
        <w:rPr>
          <w:rFonts w:hint="eastAsia" w:ascii="仿宋" w:hAnsi="仿宋" w:eastAsia="仿宋" w:cs="仿宋"/>
          <w:b/>
          <w:bCs/>
          <w:color w:val="000000" w:themeColor="text1"/>
          <w:kern w:val="0"/>
          <w:sz w:val="24"/>
        </w:rPr>
        <w:t>表39造成大气污染事故的罚款幅度裁定</w:t>
      </w:r>
      <w:bookmarkEnd w:id="160"/>
      <w:bookmarkEnd w:id="161"/>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1401"/>
        <w:gridCol w:w="765"/>
        <w:gridCol w:w="1550"/>
        <w:gridCol w:w="2331"/>
        <w:gridCol w:w="628"/>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3379" w:type="dxa"/>
            <w:gridSpan w:val="3"/>
          </w:tcPr>
          <w:p>
            <w:pPr>
              <w:spacing w:before="176" w:line="184" w:lineRule="auto"/>
              <w:ind w:firstLine="148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080" w:type="dxa"/>
            <w:gridSpan w:val="4"/>
          </w:tcPr>
          <w:p>
            <w:pPr>
              <w:spacing w:before="176" w:line="184" w:lineRule="auto"/>
              <w:ind w:firstLine="1657"/>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1213" w:type="dxa"/>
          </w:tcPr>
          <w:p>
            <w:pPr>
              <w:spacing w:before="198" w:line="184" w:lineRule="auto"/>
              <w:ind w:firstLine="381"/>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401"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881"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60%</w:t>
            </w:r>
          </w:p>
        </w:tc>
        <w:tc>
          <w:tcPr>
            <w:tcW w:w="155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造成一般大气污染事故的</w:t>
            </w:r>
          </w:p>
        </w:tc>
        <w:tc>
          <w:tcPr>
            <w:tcW w:w="2331" w:type="dxa"/>
            <w:tcBorders>
              <w:left w:val="single" w:color="auto" w:sz="4" w:space="0"/>
              <w:bottom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10%</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vAlign w:val="center"/>
          </w:tcPr>
          <w:p>
            <w:pPr>
              <w:jc w:val="center"/>
              <w:rPr>
                <w:rFonts w:ascii="仿宋" w:hAnsi="仿宋" w:eastAsia="仿宋" w:cs="仿宋"/>
                <w:color w:val="000000" w:themeColor="text1"/>
                <w:spacing w:val="-3"/>
                <w:sz w:val="18"/>
                <w:szCs w:val="18"/>
              </w:rPr>
            </w:pPr>
          </w:p>
        </w:tc>
        <w:tc>
          <w:tcPr>
            <w:tcW w:w="1401"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7"/>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bottom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 责任，但限期采取治理措施或者主 动承担赔偿责任，</w:t>
            </w:r>
          </w:p>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但未限期采取治理措施。</w:t>
            </w:r>
          </w:p>
        </w:tc>
        <w:tc>
          <w:tcPr>
            <w:tcW w:w="6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vAlign w:val="center"/>
          </w:tcPr>
          <w:p>
            <w:pPr>
              <w:jc w:val="center"/>
              <w:rPr>
                <w:rFonts w:ascii="仿宋" w:hAnsi="仿宋" w:eastAsia="仿宋" w:cs="仿宋"/>
                <w:color w:val="000000" w:themeColor="text1"/>
                <w:spacing w:val="-3"/>
                <w:sz w:val="18"/>
                <w:szCs w:val="18"/>
              </w:rPr>
            </w:pPr>
          </w:p>
        </w:tc>
        <w:tc>
          <w:tcPr>
            <w:tcW w:w="1401"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7"/>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w:t>
            </w:r>
          </w:p>
        </w:tc>
        <w:tc>
          <w:tcPr>
            <w:tcW w:w="628"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55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造成较大大气污染事故的</w:t>
            </w:r>
          </w:p>
        </w:tc>
        <w:tc>
          <w:tcPr>
            <w:tcW w:w="233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w:t>
            </w:r>
          </w:p>
        </w:tc>
        <w:tc>
          <w:tcPr>
            <w:tcW w:w="628"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55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造成重大大气污染事故的</w:t>
            </w:r>
          </w:p>
        </w:tc>
        <w:tc>
          <w:tcPr>
            <w:tcW w:w="233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35%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w:t>
            </w:r>
          </w:p>
        </w:tc>
        <w:tc>
          <w:tcPr>
            <w:tcW w:w="628"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155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造成特大大气污染事故的</w:t>
            </w:r>
          </w:p>
        </w:tc>
        <w:tc>
          <w:tcPr>
            <w:tcW w:w="2331" w:type="dxa"/>
            <w:tcBorders>
              <w:left w:val="single" w:color="auto" w:sz="4" w:space="0"/>
              <w:bottom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45%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vAlign w:val="center"/>
          </w:tcPr>
          <w:p>
            <w:pPr>
              <w:jc w:val="center"/>
              <w:rPr>
                <w:rFonts w:ascii="仿宋" w:hAnsi="仿宋" w:eastAsia="仿宋" w:cs="仿宋"/>
                <w:color w:val="000000" w:themeColor="text1"/>
                <w:sz w:val="18"/>
                <w:szCs w:val="18"/>
              </w:rPr>
            </w:pPr>
          </w:p>
        </w:tc>
        <w:tc>
          <w:tcPr>
            <w:tcW w:w="1401" w:type="dxa"/>
            <w:vMerge w:val="continue"/>
            <w:vAlign w:val="center"/>
          </w:tcPr>
          <w:p>
            <w:pPr>
              <w:jc w:val="center"/>
              <w:rPr>
                <w:rFonts w:ascii="仿宋" w:hAnsi="仿宋" w:eastAsia="仿宋" w:cs="仿宋"/>
                <w:color w:val="000000" w:themeColor="text1"/>
                <w:sz w:val="18"/>
                <w:szCs w:val="18"/>
              </w:rPr>
            </w:pPr>
          </w:p>
        </w:tc>
        <w:tc>
          <w:tcPr>
            <w:tcW w:w="765" w:type="dxa"/>
            <w:vMerge w:val="continue"/>
            <w:vAlign w:val="center"/>
          </w:tcPr>
          <w:p>
            <w:pPr>
              <w:jc w:val="center"/>
              <w:rPr>
                <w:rFonts w:ascii="仿宋" w:hAnsi="仿宋" w:eastAsia="仿宋" w:cs="仿宋"/>
                <w:color w:val="000000" w:themeColor="text1"/>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bottom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未主动承担赔偿责任，但限期采取治理措施或者主 动承担赔偿责任，</w:t>
            </w:r>
          </w:p>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但未限期采取治理措施。</w:t>
            </w:r>
          </w:p>
        </w:tc>
        <w:tc>
          <w:tcPr>
            <w:tcW w:w="6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50%</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13" w:type="dxa"/>
            <w:vMerge w:val="continue"/>
            <w:vAlign w:val="center"/>
          </w:tcPr>
          <w:p>
            <w:pPr>
              <w:jc w:val="center"/>
              <w:rPr>
                <w:rFonts w:ascii="仿宋" w:hAnsi="仿宋" w:eastAsia="仿宋" w:cs="仿宋"/>
                <w:color w:val="000000" w:themeColor="text1"/>
                <w:sz w:val="18"/>
                <w:szCs w:val="18"/>
              </w:rPr>
            </w:pPr>
          </w:p>
        </w:tc>
        <w:tc>
          <w:tcPr>
            <w:tcW w:w="1401" w:type="dxa"/>
            <w:vMerge w:val="continue"/>
            <w:vAlign w:val="center"/>
          </w:tcPr>
          <w:p>
            <w:pPr>
              <w:jc w:val="center"/>
              <w:rPr>
                <w:rFonts w:ascii="仿宋" w:hAnsi="仿宋" w:eastAsia="仿宋" w:cs="仿宋"/>
                <w:color w:val="000000" w:themeColor="text1"/>
                <w:sz w:val="18"/>
                <w:szCs w:val="18"/>
              </w:rPr>
            </w:pPr>
          </w:p>
        </w:tc>
        <w:tc>
          <w:tcPr>
            <w:tcW w:w="765" w:type="dxa"/>
            <w:vMerge w:val="continue"/>
            <w:vAlign w:val="center"/>
          </w:tcPr>
          <w:p>
            <w:pPr>
              <w:jc w:val="center"/>
              <w:rPr>
                <w:rFonts w:ascii="仿宋" w:hAnsi="仿宋" w:eastAsia="仿宋" w:cs="仿宋"/>
                <w:color w:val="000000" w:themeColor="text1"/>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w:t>
            </w:r>
          </w:p>
        </w:tc>
        <w:tc>
          <w:tcPr>
            <w:tcW w:w="628"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60%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一年内违法次</w:t>
            </w:r>
            <w:r>
              <w:rPr>
                <w:rFonts w:hint="eastAsia" w:ascii="仿宋" w:hAnsi="仿宋" w:eastAsia="仿宋" w:cs="仿宋"/>
                <w:color w:val="000000" w:themeColor="text1"/>
                <w:sz w:val="18"/>
                <w:szCs w:val="18"/>
              </w:rPr>
              <w:t>数</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15%</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5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restart"/>
            <w:tcBorders>
              <w:bottom w:val="nil"/>
            </w:tcBorders>
            <w:vAlign w:val="center"/>
          </w:tcPr>
          <w:p>
            <w:pPr>
              <w:spacing w:before="107"/>
              <w:ind w:left="137" w:right="122" w:firstLine="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配合调查</w:t>
            </w:r>
            <w:r>
              <w:rPr>
                <w:rFonts w:hint="eastAsia" w:ascii="仿宋" w:hAnsi="仿宋" w:eastAsia="仿宋" w:cs="仿宋"/>
                <w:color w:val="000000" w:themeColor="text1"/>
                <w:spacing w:val="-3"/>
                <w:sz w:val="18"/>
                <w:szCs w:val="18"/>
              </w:rPr>
              <w:t>取证情况</w:t>
            </w:r>
          </w:p>
        </w:tc>
        <w:tc>
          <w:tcPr>
            <w:tcW w:w="14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w:t>
            </w:r>
            <w:r>
              <w:rPr>
                <w:rFonts w:hint="eastAsia" w:ascii="仿宋" w:hAnsi="仿宋" w:eastAsia="仿宋" w:cs="仿宋"/>
                <w:color w:val="000000" w:themeColor="text1"/>
                <w:spacing w:val="-4"/>
                <w:sz w:val="18"/>
                <w:szCs w:val="18"/>
              </w:rPr>
              <w:t>检查</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13"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1401"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765"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3881"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w:t>
            </w:r>
            <w:r>
              <w:rPr>
                <w:rFonts w:hint="eastAsia" w:ascii="仿宋" w:hAnsi="仿宋" w:eastAsia="仿宋" w:cs="仿宋"/>
                <w:color w:val="000000" w:themeColor="text1"/>
                <w:spacing w:val="-11"/>
                <w:w w:val="98"/>
                <w:sz w:val="18"/>
                <w:szCs w:val="18"/>
              </w:rPr>
              <w:t>0%</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8459" w:type="dxa"/>
            <w:gridSpan w:val="7"/>
            <w:tcBorders>
              <w:top w:val="single" w:color="auto" w:sz="4" w:space="0"/>
              <w:bottom w:val="single" w:color="auto" w:sz="4" w:space="0"/>
            </w:tcBorders>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w:t>
            </w:r>
            <w:r>
              <w:rPr>
                <w:rFonts w:hint="eastAsia" w:ascii="仿宋" w:hAnsi="仿宋" w:eastAsia="仿宋" w:cs="仿宋"/>
                <w:color w:val="000000" w:themeColor="text1"/>
                <w:spacing w:val="-11"/>
                <w:w w:val="98"/>
                <w:sz w:val="18"/>
                <w:szCs w:val="18"/>
              </w:rPr>
              <w:t>：1.对于单位：罚款金额＝直接损失金额×1～3倍或3～5倍（由总百分值确定），但罚款金额不能低于直接损失金额1倍或3倍。</w:t>
            </w:r>
          </w:p>
          <w:p>
            <w:pPr>
              <w:ind w:firstLine="462" w:firstLineChars="300"/>
              <w:jc w:val="left"/>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1"/>
                <w:w w:val="98"/>
                <w:sz w:val="18"/>
                <w:szCs w:val="18"/>
              </w:rPr>
              <w:t>2.对于个人：罚款金额＝个人上一年度从本企业事业单位取得收入×50%×</w:t>
            </w:r>
            <w:r>
              <w:rPr>
                <w:rFonts w:hint="eastAsia" w:ascii="仿宋_GB2312" w:hAnsi="仿宋_GB2312" w:eastAsia="仿宋_GB2312" w:cs="仿宋_GB2312"/>
                <w:color w:val="000000" w:themeColor="text1"/>
                <w:spacing w:val="-11"/>
                <w:w w:val="98"/>
                <w:sz w:val="18"/>
                <w:szCs w:val="18"/>
              </w:rPr>
              <w:t>百分值之和</w:t>
            </w:r>
            <w:r>
              <w:rPr>
                <w:rFonts w:hint="eastAsia" w:ascii="仿宋" w:hAnsi="仿宋" w:eastAsia="仿宋" w:cs="仿宋"/>
                <w:color w:val="000000" w:themeColor="text1"/>
                <w:spacing w:val="-11"/>
                <w:w w:val="9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8459" w:type="dxa"/>
            <w:gridSpan w:val="7"/>
            <w:tcBorders>
              <w:top w:val="single" w:color="auto" w:sz="4" w:space="0"/>
            </w:tcBorders>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一百二十二条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对造成一般或者较大大气污染事故的，按照污染事故造成直接损失的一倍以上三倍以下计算罚款；对造成重大或者特大大气污染事故的，按照污染事故造成的直接损失的三倍以上五倍以下计算罚款。</w:t>
      </w:r>
    </w:p>
    <w:p>
      <w:pPr>
        <w:rPr>
          <w:color w:val="000000" w:themeColor="text1"/>
        </w:rPr>
      </w:pPr>
    </w:p>
    <w:tbl>
      <w:tblPr>
        <w:tblStyle w:val="12"/>
        <w:tblpPr w:leftFromText="180" w:rightFromText="180" w:vertAnchor="text" w:horzAnchor="page" w:tblpX="3239" w:tblpY="3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735" w:type="dxa"/>
          </w:tcPr>
          <w:p>
            <w:pPr>
              <w:pStyle w:val="16"/>
              <w:spacing w:before="16"/>
              <w:ind w:left="108"/>
              <w:jc w:val="center"/>
              <w:rPr>
                <w:color w:val="000000" w:themeColor="text1"/>
                <w:sz w:val="18"/>
              </w:rPr>
            </w:pPr>
            <w:r>
              <w:rPr>
                <w:color w:val="000000" w:themeColor="text1"/>
                <w:sz w:val="18"/>
              </w:rPr>
              <w:t>总百分值</w:t>
            </w:r>
          </w:p>
        </w:tc>
        <w:tc>
          <w:tcPr>
            <w:tcW w:w="2653" w:type="dxa"/>
          </w:tcPr>
          <w:p>
            <w:pPr>
              <w:pStyle w:val="16"/>
              <w:spacing w:before="16"/>
              <w:ind w:left="107"/>
              <w:jc w:val="center"/>
              <w:rPr>
                <w:color w:val="000000" w:themeColor="text1"/>
                <w:sz w:val="18"/>
              </w:rPr>
            </w:pPr>
            <w:r>
              <w:rPr>
                <w:color w:val="000000" w:themeColor="text1"/>
                <w:sz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color w:val="000000" w:themeColor="text1"/>
                <w:sz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6"/>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1或3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color w:val="000000" w:themeColor="text1"/>
                <w:sz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6"/>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1.5或3.5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8"/>
              <w:ind w:left="583" w:right="571"/>
              <w:jc w:val="center"/>
              <w:rPr>
                <w:color w:val="000000" w:themeColor="text1"/>
                <w:sz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6"/>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2或4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5"/>
              <w:ind w:left="583" w:right="571"/>
              <w:jc w:val="center"/>
              <w:rPr>
                <w:color w:val="000000" w:themeColor="text1"/>
                <w:sz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8"/>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2.5或4.5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color w:val="000000" w:themeColor="text1"/>
                <w:sz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Pr>
          <w:p>
            <w:pPr>
              <w:pStyle w:val="16"/>
              <w:spacing w:before="16"/>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3或5</w:t>
            </w:r>
          </w:p>
        </w:tc>
      </w:tr>
    </w:tbl>
    <w:p>
      <w:pPr>
        <w:ind w:left="420" w:leftChars="200" w:firstLine="3150" w:firstLineChars="1500"/>
        <w:rPr>
          <w:rFonts w:ascii="仿宋" w:hAnsi="仿宋" w:eastAsia="仿宋" w:cs="仿宋"/>
          <w:color w:val="000000" w:themeColor="text1"/>
        </w:rPr>
      </w:pPr>
      <w:r>
        <w:rPr>
          <w:rFonts w:hint="eastAsia" w:ascii="仿宋" w:hAnsi="仿宋" w:eastAsia="仿宋" w:cs="仿宋"/>
          <w:color w:val="000000" w:themeColor="text1"/>
        </w:rPr>
        <w:t>总百分值表</w:t>
      </w: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rPr>
          <w:color w:val="000000" w:themeColor="text1"/>
        </w:rPr>
      </w:pPr>
    </w:p>
    <w:p>
      <w:pPr>
        <w:rPr>
          <w:color w:val="000000" w:themeColor="text1"/>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outlineLvl w:val="1"/>
        <w:rPr>
          <w:rFonts w:ascii="仿宋" w:hAnsi="仿宋" w:eastAsia="仿宋" w:cs="仿宋"/>
          <w:b/>
          <w:bCs/>
          <w:color w:val="000000" w:themeColor="text1"/>
          <w:kern w:val="0"/>
          <w:sz w:val="24"/>
        </w:rPr>
      </w:pPr>
      <w:bookmarkStart w:id="162" w:name="_Toc31632"/>
      <w:bookmarkStart w:id="163" w:name="_Toc21915"/>
      <w:r>
        <w:rPr>
          <w:rFonts w:hint="eastAsia" w:ascii="仿宋" w:hAnsi="仿宋" w:eastAsia="仿宋" w:cs="仿宋"/>
          <w:b/>
          <w:bCs/>
          <w:color w:val="000000" w:themeColor="text1"/>
          <w:kern w:val="0"/>
          <w:sz w:val="24"/>
        </w:rPr>
        <w:t>表40机动车排放检验机构出具虚假排放检验报告的罚款幅度裁定</w:t>
      </w:r>
      <w:bookmarkEnd w:id="162"/>
      <w:bookmarkEnd w:id="163"/>
    </w:p>
    <w:p>
      <w:pPr>
        <w:spacing w:before="73"/>
        <w:ind w:right="108"/>
        <w:jc w:val="center"/>
        <w:rPr>
          <w:rFonts w:ascii="仿宋" w:hAnsi="仿宋" w:eastAsia="仿宋" w:cs="仿宋"/>
          <w:b/>
          <w:bCs/>
          <w:color w:val="000000" w:themeColor="text1"/>
          <w:kern w:val="0"/>
          <w:sz w:val="24"/>
        </w:rPr>
      </w:pPr>
    </w:p>
    <w:tbl>
      <w:tblPr>
        <w:tblStyle w:val="15"/>
        <w:tblW w:w="8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287"/>
        <w:gridCol w:w="720"/>
        <w:gridCol w:w="1035"/>
        <w:gridCol w:w="1425"/>
        <w:gridCol w:w="1412"/>
        <w:gridCol w:w="615"/>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339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1" w:type="dxa"/>
            <w:gridSpan w:val="5"/>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3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7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1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28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60%</w:t>
            </w:r>
          </w:p>
        </w:tc>
        <w:tc>
          <w:tcPr>
            <w:tcW w:w="103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伪造结果的</w:t>
            </w:r>
          </w:p>
        </w:tc>
        <w:tc>
          <w:tcPr>
            <w:tcW w:w="1425" w:type="dxa"/>
            <w:vMerge w:val="restart"/>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3项以下</w:t>
            </w:r>
          </w:p>
        </w:tc>
        <w:tc>
          <w:tcPr>
            <w:tcW w:w="1412"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3项以上5项以下</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5项以上</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60%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出具虚假报告的</w:t>
            </w: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3项以下</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3项以上5项以下</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5项以上</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60%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违法频次</w:t>
            </w:r>
          </w:p>
        </w:tc>
        <w:tc>
          <w:tcPr>
            <w:tcW w:w="1287"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20"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7"/>
                <w:sz w:val="18"/>
                <w:szCs w:val="18"/>
              </w:rPr>
              <w:t>20%</w:t>
            </w:r>
          </w:p>
        </w:tc>
        <w:tc>
          <w:tcPr>
            <w:tcW w:w="3872" w:type="dxa"/>
            <w:gridSpan w:val="3"/>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15"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14"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仿宋" w:hAnsi="仿宋" w:eastAsia="仿宋" w:cs="仿宋"/>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872" w:type="dxa"/>
            <w:gridSpan w:val="3"/>
            <w:tcBorders>
              <w:top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15" w:type="dxa"/>
            <w:tcBorders>
              <w:top w:val="single" w:color="000000" w:sz="2"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14"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87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1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87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1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7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continue"/>
            <w:tcBorders>
              <w:top w:val="nil"/>
            </w:tcBorders>
            <w:vAlign w:val="center"/>
          </w:tcPr>
          <w:p>
            <w:pPr>
              <w:jc w:val="center"/>
              <w:rPr>
                <w:rFonts w:ascii="Malgun Gothic"/>
                <w:color w:val="000000" w:themeColor="text1"/>
                <w:sz w:val="18"/>
                <w:szCs w:val="18"/>
              </w:rPr>
            </w:pPr>
          </w:p>
        </w:tc>
        <w:tc>
          <w:tcPr>
            <w:tcW w:w="1287"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387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restart"/>
            <w:tcBorders>
              <w:bottom w:val="nil"/>
            </w:tcBorders>
            <w:vAlign w:val="center"/>
          </w:tcPr>
          <w:p>
            <w:pPr>
              <w:spacing w:before="42" w:line="221" w:lineRule="auto"/>
              <w:ind w:left="129" w:right="122" w:firstLine="9"/>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87" w:type="dxa"/>
            <w:vMerge w:val="restart"/>
            <w:tcBorders>
              <w:bottom w:val="nil"/>
            </w:tcBorders>
            <w:vAlign w:val="center"/>
          </w:tcPr>
          <w:p>
            <w:pPr>
              <w:spacing w:before="41" w:line="184" w:lineRule="auto"/>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872" w:type="dxa"/>
            <w:gridSpan w:val="3"/>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continue"/>
            <w:vAlign w:val="center"/>
          </w:tcPr>
          <w:p>
            <w:pPr>
              <w:spacing w:before="42" w:line="221" w:lineRule="auto"/>
              <w:ind w:left="129" w:right="122" w:firstLine="9"/>
              <w:jc w:val="center"/>
              <w:rPr>
                <w:rFonts w:ascii="仿宋" w:hAnsi="仿宋" w:eastAsia="仿宋" w:cs="仿宋"/>
                <w:color w:val="000000" w:themeColor="text1"/>
                <w:spacing w:val="-3"/>
                <w:sz w:val="18"/>
                <w:szCs w:val="18"/>
              </w:rPr>
            </w:pPr>
          </w:p>
        </w:tc>
        <w:tc>
          <w:tcPr>
            <w:tcW w:w="1287" w:type="dxa"/>
            <w:vMerge w:val="continue"/>
            <w:vAlign w:val="center"/>
          </w:tcPr>
          <w:p>
            <w:pPr>
              <w:spacing w:before="41" w:line="184" w:lineRule="auto"/>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3872" w:type="dxa"/>
            <w:gridSpan w:val="3"/>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3872" w:type="dxa"/>
            <w:gridSpan w:val="3"/>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3872" w:type="dxa"/>
            <w:gridSpan w:val="3"/>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15"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8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8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72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3872" w:type="dxa"/>
            <w:gridSpan w:val="3"/>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8395" w:type="dxa"/>
            <w:gridSpan w:val="8"/>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8395" w:type="dxa"/>
            <w:gridSpan w:val="8"/>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ind w:firstLine="42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二条第一款违反本法规定，伪造机动车、非道路移动机械排放检验结果或者出具虚假排放检验报告的，由县级以上人民政府生态环境主管部门没收违法所得，并处10万元以上50万元以下的罚款；情节严重的，由负责资质认定的部门取消其检验资格。</w:t>
      </w: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jc w:val="center"/>
        <w:outlineLvl w:val="2"/>
        <w:rPr>
          <w:rFonts w:ascii="黑体" w:hAnsi="黑体" w:eastAsia="黑体" w:cs="黑体"/>
          <w:b/>
          <w:bCs/>
          <w:color w:val="000000" w:themeColor="text1"/>
          <w:spacing w:val="1"/>
          <w:sz w:val="28"/>
          <w:szCs w:val="28"/>
        </w:rPr>
      </w:pPr>
      <w:bookmarkStart w:id="164" w:name="_Toc5334"/>
      <w:bookmarkStart w:id="165" w:name="_Toc19081"/>
      <w:bookmarkStart w:id="166" w:name="_Toc6019"/>
      <w:r>
        <w:rPr>
          <w:rFonts w:hint="eastAsia" w:ascii="黑体" w:hAnsi="黑体" w:eastAsia="黑体" w:cs="黑体"/>
          <w:b/>
          <w:bCs/>
          <w:color w:val="000000" w:themeColor="text1"/>
          <w:spacing w:val="1"/>
          <w:sz w:val="28"/>
          <w:szCs w:val="28"/>
        </w:rPr>
        <w:t>三、辽宁省生态环境行政处罚裁量规则(水类)</w:t>
      </w:r>
      <w:bookmarkEnd w:id="164"/>
      <w:bookmarkEnd w:id="165"/>
      <w:bookmarkEnd w:id="166"/>
    </w:p>
    <w:p>
      <w:pPr>
        <w:pStyle w:val="3"/>
        <w:keepNext w:val="0"/>
        <w:keepLines w:val="0"/>
        <w:widowControl/>
        <w:kinsoku w:val="0"/>
        <w:autoSpaceDE w:val="0"/>
        <w:autoSpaceDN w:val="0"/>
        <w:adjustRightInd w:val="0"/>
        <w:snapToGrid w:val="0"/>
        <w:jc w:val="center"/>
        <w:textAlignment w:val="baseline"/>
        <w:rPr>
          <w:bCs/>
          <w:color w:val="000000" w:themeColor="text1"/>
          <w:sz w:val="24"/>
        </w:rPr>
      </w:pPr>
      <w:bookmarkStart w:id="167" w:name="_Toc11777"/>
      <w:bookmarkStart w:id="168" w:name="_Toc16805"/>
      <w:bookmarkStart w:id="169" w:name="_Toc31048"/>
      <w:r>
        <w:rPr>
          <w:rFonts w:hint="eastAsia" w:ascii="仿宋" w:hAnsi="仿宋" w:eastAsia="仿宋" w:cs="仿宋"/>
          <w:bCs/>
          <w:color w:val="000000" w:themeColor="text1"/>
          <w:kern w:val="0"/>
          <w:sz w:val="24"/>
          <w:lang w:val="zh-CN"/>
        </w:rPr>
        <w:t>表</w:t>
      </w:r>
      <w:r>
        <w:rPr>
          <w:rFonts w:hint="eastAsia" w:cs="仿宋"/>
          <w:bCs/>
          <w:color w:val="000000" w:themeColor="text1"/>
          <w:kern w:val="0"/>
          <w:sz w:val="24"/>
        </w:rPr>
        <w:t>41</w:t>
      </w:r>
      <w:r>
        <w:rPr>
          <w:rFonts w:hint="eastAsia" w:ascii="仿宋" w:hAnsi="仿宋" w:eastAsia="仿宋" w:cs="仿宋"/>
          <w:bCs/>
          <w:color w:val="000000" w:themeColor="text1"/>
          <w:kern w:val="0"/>
          <w:sz w:val="24"/>
          <w:lang w:val="zh-CN"/>
        </w:rPr>
        <w:t>以拖延、围堵、滞留执法人员等方式拒绝、阻挠环境保护主管部门或者其他依照本法规定行使监督管理权的部门的监督检查，或者在接受监督检查时弄虚作假的罚款幅度裁定</w:t>
      </w:r>
      <w:bookmarkEnd w:id="167"/>
      <w:bookmarkEnd w:id="168"/>
      <w:bookmarkEnd w:id="169"/>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2111"/>
        <w:gridCol w:w="1364"/>
        <w:gridCol w:w="569"/>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3905" w:type="dxa"/>
            <w:gridSpan w:val="3"/>
          </w:tcPr>
          <w:p>
            <w:pPr>
              <w:spacing w:before="177" w:line="184" w:lineRule="auto"/>
              <w:ind w:firstLine="140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tcPr>
          <w:p>
            <w:pPr>
              <w:spacing w:before="177" w:line="184" w:lineRule="auto"/>
              <w:ind w:firstLine="173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6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4"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条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2万元以上20万元以下的罚款。</w:t>
      </w:r>
    </w:p>
    <w:p>
      <w:pPr>
        <w:spacing w:before="73"/>
        <w:ind w:right="108"/>
        <w:rPr>
          <w:rFonts w:ascii="仿宋_GB2312" w:hAnsi="仿宋_GB2312" w:eastAsia="仿宋_GB2312" w:cs="仿宋_GB2312"/>
          <w:color w:val="000000" w:themeColor="text1"/>
          <w:szCs w:val="2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widowControl/>
        <w:kinsoku w:val="0"/>
        <w:autoSpaceDE w:val="0"/>
        <w:autoSpaceDN w:val="0"/>
        <w:adjustRightInd w:val="0"/>
        <w:snapToGrid w:val="0"/>
        <w:ind w:left="0"/>
        <w:jc w:val="center"/>
        <w:textAlignment w:val="baseline"/>
        <w:rPr>
          <w:color w:val="000000" w:themeColor="text1"/>
          <w:kern w:val="0"/>
          <w:sz w:val="28"/>
          <w:szCs w:val="28"/>
          <w:lang w:bidi="ar-SA"/>
        </w:rPr>
        <w:sectPr>
          <w:headerReference r:id="rId4" w:type="default"/>
          <w:footerReference r:id="rId5" w:type="default"/>
          <w:pgSz w:w="11906" w:h="16839"/>
          <w:pgMar w:top="1431" w:right="1672" w:bottom="1148" w:left="1780" w:header="0" w:footer="1013" w:gutter="0"/>
          <w:pgNumType w:start="77"/>
          <w:cols w:space="720" w:num="1"/>
        </w:sectPr>
      </w:pPr>
    </w:p>
    <w:p>
      <w:pPr>
        <w:pStyle w:val="5"/>
        <w:widowControl/>
        <w:kinsoku w:val="0"/>
        <w:autoSpaceDE w:val="0"/>
        <w:autoSpaceDN w:val="0"/>
        <w:adjustRightInd w:val="0"/>
        <w:snapToGrid w:val="0"/>
        <w:ind w:left="0"/>
        <w:jc w:val="center"/>
        <w:textAlignment w:val="baseline"/>
        <w:rPr>
          <w:color w:val="000000" w:themeColor="text1"/>
          <w:kern w:val="0"/>
          <w:sz w:val="24"/>
          <w:szCs w:val="24"/>
          <w:lang w:val="en-US" w:bidi="ar-SA"/>
        </w:rPr>
      </w:pPr>
      <w:bookmarkStart w:id="170" w:name="_Toc10506"/>
      <w:bookmarkStart w:id="171" w:name="_Toc25505"/>
      <w:bookmarkStart w:id="172" w:name="_Toc7591"/>
      <w:r>
        <w:rPr>
          <w:rFonts w:hint="eastAsia"/>
          <w:color w:val="000000" w:themeColor="text1"/>
          <w:kern w:val="0"/>
          <w:sz w:val="24"/>
          <w:szCs w:val="24"/>
          <w:lang w:bidi="ar-SA"/>
        </w:rPr>
        <w:t>表</w:t>
      </w:r>
      <w:r>
        <w:rPr>
          <w:rFonts w:hint="eastAsia"/>
          <w:color w:val="000000" w:themeColor="text1"/>
          <w:kern w:val="0"/>
          <w:sz w:val="24"/>
          <w:szCs w:val="24"/>
          <w:lang w:val="en-US" w:bidi="ar-SA"/>
        </w:rPr>
        <w:t>42</w:t>
      </w:r>
      <w:r>
        <w:rPr>
          <w:rFonts w:hint="eastAsia"/>
          <w:color w:val="000000" w:themeColor="text1"/>
          <w:kern w:val="0"/>
          <w:sz w:val="24"/>
          <w:szCs w:val="24"/>
          <w:lang w:bidi="ar-SA"/>
        </w:rPr>
        <w:t>未按照规定对所排放的水污染物自行监测，或者未保存</w:t>
      </w:r>
      <w:bookmarkEnd w:id="170"/>
      <w:bookmarkStart w:id="173" w:name="_Toc28546"/>
      <w:r>
        <w:rPr>
          <w:rFonts w:hint="eastAsia"/>
          <w:color w:val="000000" w:themeColor="text1"/>
          <w:kern w:val="0"/>
          <w:sz w:val="24"/>
          <w:szCs w:val="24"/>
          <w:lang w:bidi="ar-SA"/>
        </w:rPr>
        <w:t>原始监测记录的罚款幅度裁定</w:t>
      </w:r>
      <w:bookmarkEnd w:id="171"/>
      <w:bookmarkEnd w:id="172"/>
      <w:bookmarkEnd w:id="173"/>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485"/>
        <w:gridCol w:w="1908"/>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已开展自行监测，未保存原始记录的</w:t>
            </w:r>
          </w:p>
        </w:tc>
        <w:tc>
          <w:tcPr>
            <w:tcW w:w="19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未按照规定对所排放的水污染物自行监测的</w:t>
            </w:r>
          </w:p>
        </w:tc>
        <w:tc>
          <w:tcPr>
            <w:tcW w:w="19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排污口级别</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一般排污单位</w:t>
            </w:r>
          </w:p>
        </w:tc>
        <w:tc>
          <w:tcPr>
            <w:tcW w:w="19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监测项目或频次或点位达到95%</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监测项目或频次或点位达到80%未达到95%</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监测项目或频次或点位未达到</w:t>
            </w:r>
            <w:r>
              <w:rPr>
                <w:rFonts w:hint="eastAsia" w:ascii="仿宋" w:hAnsi="仿宋" w:eastAsia="仿宋" w:cs="仿宋"/>
                <w:color w:val="000000" w:themeColor="text1"/>
                <w:spacing w:val="-1"/>
                <w:sz w:val="18"/>
                <w:szCs w:val="18"/>
              </w:rPr>
              <w:t>8</w:t>
            </w:r>
            <w:r>
              <w:rPr>
                <w:rFonts w:ascii="仿宋" w:hAnsi="仿宋" w:eastAsia="仿宋" w:cs="仿宋"/>
                <w:color w:val="000000" w:themeColor="text1"/>
                <w:spacing w:val="-1"/>
                <w:sz w:val="18"/>
                <w:szCs w:val="18"/>
              </w:rPr>
              <w:t>0%</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重点排污单位</w:t>
            </w:r>
          </w:p>
        </w:tc>
        <w:tc>
          <w:tcPr>
            <w:tcW w:w="19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监测项目或频次或点位达到95%</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监测项目或频次或点位达到80%未达到95%</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监测项目或频次或点位未达到</w:t>
            </w:r>
            <w:r>
              <w:rPr>
                <w:rFonts w:hint="eastAsia" w:ascii="仿宋" w:hAnsi="仿宋" w:eastAsia="仿宋" w:cs="仿宋"/>
                <w:color w:val="000000" w:themeColor="text1"/>
                <w:spacing w:val="-1"/>
                <w:sz w:val="18"/>
                <w:szCs w:val="18"/>
              </w:rPr>
              <w:t>8</w:t>
            </w:r>
            <w:r>
              <w:rPr>
                <w:rFonts w:ascii="仿宋" w:hAnsi="仿宋" w:eastAsia="仿宋" w:cs="仿宋"/>
                <w:color w:val="000000" w:themeColor="text1"/>
                <w:spacing w:val="-1"/>
                <w:sz w:val="18"/>
                <w:szCs w:val="18"/>
              </w:rPr>
              <w:t>0%</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849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849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三条第一款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(一)未按照规定对所排放的水污染物自行监测，或者未保存原始监测记录的；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3.《辽宁省水污染防治条例》第四十四条违反本条例规定，有下列行为之一的，由生态环境主管部门责令限期改正，处2万元以上20万元以下的罚款；逾期不改正的，责令停产整治：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(一)未按照规定对所排放的水污染物自行监测，未建立监测数据台账，或者原始监测记录未按期限保存的；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widowControl/>
        <w:kinsoku w:val="0"/>
        <w:autoSpaceDE w:val="0"/>
        <w:autoSpaceDN w:val="0"/>
        <w:adjustRightInd w:val="0"/>
        <w:snapToGrid w:val="0"/>
        <w:ind w:firstLine="240" w:firstLineChars="100"/>
        <w:jc w:val="center"/>
        <w:textAlignment w:val="baseline"/>
        <w:outlineLvl w:val="1"/>
        <w:rPr>
          <w:rFonts w:ascii="仿宋" w:hAnsi="仿宋" w:eastAsia="仿宋" w:cs="仿宋"/>
          <w:b/>
          <w:bCs/>
          <w:color w:val="000000" w:themeColor="text1"/>
          <w:kern w:val="0"/>
          <w:sz w:val="24"/>
          <w:lang w:val="zh-CN"/>
        </w:rPr>
      </w:pPr>
      <w:bookmarkStart w:id="174" w:name="_Toc15486"/>
      <w:bookmarkStart w:id="175" w:name="_Toc28441"/>
      <w:bookmarkStart w:id="176" w:name="_Toc2356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43</w:t>
      </w:r>
      <w:r>
        <w:rPr>
          <w:rFonts w:hint="eastAsia" w:ascii="仿宋" w:hAnsi="仿宋" w:eastAsia="仿宋" w:cs="仿宋"/>
          <w:b/>
          <w:bCs/>
          <w:color w:val="000000" w:themeColor="text1"/>
          <w:kern w:val="0"/>
          <w:sz w:val="24"/>
          <w:lang w:val="zh-CN"/>
        </w:rPr>
        <w:t>未按照规定安装水污染物排放自动监测设备，未按照规定与环境保护主管部门的监控设备联网，或者未保证监测设备正常运行的罚款幅度裁定</w:t>
      </w:r>
      <w:bookmarkEnd w:id="174"/>
      <w:bookmarkEnd w:id="175"/>
      <w:bookmarkEnd w:id="176"/>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1"/>
        <w:gridCol w:w="1390"/>
        <w:gridCol w:w="945"/>
        <w:gridCol w:w="1921"/>
        <w:gridCol w:w="1654"/>
        <w:gridCol w:w="606"/>
        <w:gridCol w:w="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3796" w:type="dxa"/>
            <w:gridSpan w:val="3"/>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03" w:type="dxa"/>
            <w:gridSpan w:val="4"/>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1461" w:type="dxa"/>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90" w:type="dxa"/>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45" w:type="dxa"/>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575" w:type="dxa"/>
            <w:gridSpan w:val="2"/>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1" w:type="dxa"/>
            <w:vMerge w:val="restart"/>
            <w:tcBorders>
              <w:tl2br w:val="nil"/>
              <w:tr2bl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Malgun Gothic"/>
                <w:color w:val="000000" w:themeColor="text1"/>
                <w:sz w:val="18"/>
                <w:szCs w:val="18"/>
              </w:rPr>
            </w:pPr>
            <w:r>
              <w:rPr>
                <w:rFonts w:ascii="仿宋" w:hAnsi="仿宋" w:eastAsia="仿宋" w:cs="仿宋"/>
                <w:color w:val="000000" w:themeColor="text1"/>
                <w:spacing w:val="-7"/>
                <w:sz w:val="18"/>
                <w:szCs w:val="18"/>
              </w:rPr>
              <w:t>程度</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21" w:type="dxa"/>
            <w:vMerge w:val="restart"/>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已安装水污染物排放自动监测设备，但未按规定与生态环境主管部门联网的</w:t>
            </w:r>
          </w:p>
        </w:tc>
        <w:tc>
          <w:tcPr>
            <w:tcW w:w="1654"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606" w:type="dxa"/>
            <w:tcBorders>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2"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1" w:type="dxa"/>
            <w:vMerge w:val="continue"/>
            <w:tcBorders>
              <w:tl2br w:val="nil"/>
              <w:tr2bl w:val="nil"/>
            </w:tcBorders>
            <w:vAlign w:val="center"/>
          </w:tcPr>
          <w:p>
            <w:pPr>
              <w:jc w:val="center"/>
              <w:rPr>
                <w:rFonts w:ascii="仿宋" w:hAnsi="仿宋" w:eastAsia="仿宋" w:cs="仿宋"/>
                <w:color w:val="000000" w:themeColor="text1"/>
                <w:spacing w:val="-7"/>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continue"/>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c>
          <w:tcPr>
            <w:tcW w:w="1654"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606" w:type="dxa"/>
            <w:tcBorders>
              <w:top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restart"/>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已安装水污染物排放自动监测设备，但不能保证正常运行的</w:t>
            </w:r>
          </w:p>
        </w:tc>
        <w:tc>
          <w:tcPr>
            <w:tcW w:w="1654"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606" w:type="dxa"/>
            <w:tcBorders>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2"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continue"/>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c>
          <w:tcPr>
            <w:tcW w:w="1654"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606" w:type="dxa"/>
            <w:tcBorders>
              <w:top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2"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restart"/>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未安装水污染物排放自动监测设备的</w:t>
            </w:r>
          </w:p>
        </w:tc>
        <w:tc>
          <w:tcPr>
            <w:tcW w:w="1654"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606" w:type="dxa"/>
            <w:tcBorders>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2"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continue"/>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c>
          <w:tcPr>
            <w:tcW w:w="1654"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606" w:type="dxa"/>
            <w:tcBorders>
              <w:top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2"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restart"/>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restart"/>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restart"/>
            <w:tcBorders>
              <w:tl2br w:val="nil"/>
              <w:tr2bl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restart"/>
            <w:tcBorders>
              <w:tl2br w:val="nil"/>
              <w:tr2bl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75" w:type="dxa"/>
            <w:gridSpan w:val="2"/>
            <w:tcBorders>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6" w:type="dxa"/>
            <w:tcBorders>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2"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仿宋" w:hAnsi="仿宋" w:eastAsia="仿宋" w:cs="仿宋"/>
                <w:color w:val="000000" w:themeColor="text1"/>
                <w:spacing w:val="-2"/>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op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6" w:type="dxa"/>
            <w:tcBorders>
              <w:top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2" w:type="dxa"/>
            <w:tcBorders>
              <w:top w:val="single" w:color="auto" w:sz="4" w:space="0"/>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仿宋" w:hAnsi="仿宋" w:eastAsia="仿宋" w:cs="仿宋"/>
                <w:color w:val="000000" w:themeColor="text1"/>
                <w:spacing w:val="-2"/>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op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6" w:type="dxa"/>
            <w:tcBorders>
              <w:top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top w:val="single" w:color="auto" w:sz="4" w:space="0"/>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仿宋" w:hAnsi="仿宋" w:eastAsia="仿宋" w:cs="仿宋"/>
                <w:color w:val="000000" w:themeColor="text1"/>
                <w:spacing w:val="-2"/>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op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6" w:type="dxa"/>
            <w:tcBorders>
              <w:top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2"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8499" w:type="dxa"/>
            <w:gridSpan w:val="7"/>
            <w:tcBorders>
              <w:tl2br w:val="nil"/>
              <w:tr2bl w:val="nil"/>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8499" w:type="dxa"/>
            <w:gridSpan w:val="7"/>
            <w:tcBorders>
              <w:tl2br w:val="nil"/>
              <w:tr2bl w:val="nil"/>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三条第一款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(二)未按照规定安装水污染物排放自动监测设备，未按照规定与环境保护主管部门的监控设备联网，或者未保证监测设备正常运行的；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177" w:name="_Toc21240"/>
      <w:bookmarkStart w:id="178" w:name="_Toc30931"/>
      <w:bookmarkStart w:id="179" w:name="_Toc879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44</w:t>
      </w:r>
      <w:r>
        <w:rPr>
          <w:rFonts w:hint="eastAsia" w:ascii="仿宋" w:hAnsi="仿宋" w:eastAsia="仿宋" w:cs="仿宋"/>
          <w:b/>
          <w:bCs/>
          <w:color w:val="000000" w:themeColor="text1"/>
          <w:kern w:val="0"/>
          <w:sz w:val="24"/>
          <w:lang w:val="zh-CN"/>
        </w:rPr>
        <w:t>未按照规定对有毒有害水污染物的排污口和周边环境进行监测，或者未公开有毒有害水污染物信息的罚款幅度裁定</w:t>
      </w:r>
      <w:bookmarkEnd w:id="177"/>
      <w:bookmarkEnd w:id="178"/>
      <w:bookmarkEnd w:id="179"/>
    </w:p>
    <w:tbl>
      <w:tblPr>
        <w:tblStyle w:val="15"/>
        <w:tblW w:w="8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726"/>
        <w:gridCol w:w="646"/>
        <w:gridCol w:w="1449"/>
        <w:gridCol w:w="2433"/>
        <w:gridCol w:w="828"/>
        <w:gridCol w:w="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2" w:hRule="atLeast"/>
        </w:trPr>
        <w:tc>
          <w:tcPr>
            <w:tcW w:w="361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4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0" w:hRule="atLeast"/>
        </w:trPr>
        <w:tc>
          <w:tcPr>
            <w:tcW w:w="123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2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4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88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2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7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144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未公开有毒有害水污染物信息的</w:t>
            </w:r>
          </w:p>
        </w:tc>
        <w:tc>
          <w:tcPr>
            <w:tcW w:w="243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监测项目或频次或点位达到95%</w:t>
            </w:r>
          </w:p>
        </w:tc>
        <w:tc>
          <w:tcPr>
            <w:tcW w:w="82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监测项目或频次或点位达到80%未达到95%</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监测项目或频次或点位达到70%未达到80%</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监测项目或频次或点位未达到70%</w:t>
            </w:r>
          </w:p>
        </w:tc>
        <w:tc>
          <w:tcPr>
            <w:tcW w:w="82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8" w:type="dxa"/>
            <w:vMerge w:val="continue"/>
            <w:tcBorders>
              <w:top w:val="nil"/>
            </w:tcBorders>
            <w:vAlign w:val="center"/>
          </w:tcPr>
          <w:p>
            <w:pPr>
              <w:jc w:val="center"/>
              <w:rPr>
                <w:rFonts w:ascii="Malgun Gothic"/>
                <w:color w:val="000000" w:themeColor="text1"/>
                <w:sz w:val="18"/>
                <w:szCs w:val="18"/>
              </w:rPr>
            </w:pPr>
          </w:p>
        </w:tc>
        <w:tc>
          <w:tcPr>
            <w:tcW w:w="17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4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未按照规定对有毒有害水污染物的排污口和周边环境进行监测的</w:t>
            </w:r>
          </w:p>
        </w:tc>
        <w:tc>
          <w:tcPr>
            <w:tcW w:w="243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不满3个月</w:t>
            </w:r>
          </w:p>
        </w:tc>
        <w:tc>
          <w:tcPr>
            <w:tcW w:w="82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8" w:type="dxa"/>
            <w:vMerge w:val="continue"/>
            <w:tcBorders>
              <w:top w:val="nil"/>
            </w:tcBorders>
            <w:vAlign w:val="center"/>
          </w:tcPr>
          <w:p>
            <w:pPr>
              <w:jc w:val="center"/>
              <w:rPr>
                <w:rFonts w:ascii="Malgun Gothic"/>
                <w:color w:val="000000" w:themeColor="text1"/>
                <w:sz w:val="18"/>
                <w:szCs w:val="18"/>
              </w:rPr>
            </w:pPr>
          </w:p>
        </w:tc>
        <w:tc>
          <w:tcPr>
            <w:tcW w:w="17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3个月以上不满6个月</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8" w:type="dxa"/>
            <w:vMerge w:val="continue"/>
            <w:vAlign w:val="center"/>
          </w:tcPr>
          <w:p>
            <w:pPr>
              <w:jc w:val="center"/>
              <w:rPr>
                <w:rFonts w:ascii="Malgun Gothic"/>
                <w:color w:val="000000" w:themeColor="text1"/>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6个月以上不满9个月</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8" w:type="dxa"/>
            <w:vMerge w:val="continue"/>
            <w:vAlign w:val="center"/>
          </w:tcPr>
          <w:p>
            <w:pPr>
              <w:jc w:val="center"/>
              <w:rPr>
                <w:rFonts w:ascii="Malgun Gothic"/>
                <w:color w:val="000000" w:themeColor="text1"/>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9个月以上不满1年</w:t>
            </w:r>
          </w:p>
        </w:tc>
        <w:tc>
          <w:tcPr>
            <w:tcW w:w="82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20%</w:t>
            </w: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5%</w:t>
            </w:r>
          </w:p>
        </w:tc>
        <w:tc>
          <w:tcPr>
            <w:tcW w:w="63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tcBorders>
              <w:top w:val="nil"/>
              <w:bottom w:val="nil"/>
            </w:tcBorders>
            <w:vAlign w:val="center"/>
          </w:tcPr>
          <w:p>
            <w:pPr>
              <w:jc w:val="center"/>
              <w:rPr>
                <w:rFonts w:ascii="Malgun Gothic"/>
                <w:color w:val="000000" w:themeColor="text1"/>
                <w:sz w:val="18"/>
                <w:szCs w:val="18"/>
              </w:rPr>
            </w:pPr>
          </w:p>
        </w:tc>
        <w:tc>
          <w:tcPr>
            <w:tcW w:w="1726"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46"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63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tcBorders>
              <w:top w:val="nil"/>
              <w:bottom w:val="nil"/>
            </w:tcBorders>
            <w:vAlign w:val="center"/>
          </w:tcPr>
          <w:p>
            <w:pPr>
              <w:jc w:val="center"/>
              <w:rPr>
                <w:rFonts w:ascii="Malgun Gothic"/>
                <w:color w:val="000000" w:themeColor="text1"/>
                <w:sz w:val="18"/>
                <w:szCs w:val="18"/>
              </w:rPr>
            </w:pPr>
          </w:p>
        </w:tc>
        <w:tc>
          <w:tcPr>
            <w:tcW w:w="1726"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46"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15%</w:t>
            </w:r>
          </w:p>
        </w:tc>
        <w:tc>
          <w:tcPr>
            <w:tcW w:w="63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tcBorders>
              <w:top w:val="nil"/>
            </w:tcBorders>
            <w:vAlign w:val="center"/>
          </w:tcPr>
          <w:p>
            <w:pPr>
              <w:jc w:val="center"/>
              <w:rPr>
                <w:rFonts w:ascii="Malgun Gothic"/>
                <w:color w:val="000000" w:themeColor="text1"/>
                <w:sz w:val="18"/>
                <w:szCs w:val="18"/>
              </w:rPr>
            </w:pPr>
          </w:p>
        </w:tc>
        <w:tc>
          <w:tcPr>
            <w:tcW w:w="1726" w:type="dxa"/>
            <w:vMerge w:val="continue"/>
            <w:tcBorders>
              <w:top w:val="nil"/>
            </w:tcBorders>
          </w:tcPr>
          <w:p>
            <w:pPr>
              <w:jc w:val="center"/>
              <w:rPr>
                <w:rFonts w:ascii="仿宋" w:hAnsi="仿宋" w:eastAsia="仿宋" w:cs="仿宋"/>
                <w:color w:val="000000" w:themeColor="text1"/>
                <w:spacing w:val="-1"/>
                <w:sz w:val="18"/>
                <w:szCs w:val="18"/>
              </w:rPr>
            </w:pPr>
          </w:p>
        </w:tc>
        <w:tc>
          <w:tcPr>
            <w:tcW w:w="646" w:type="dxa"/>
            <w:vMerge w:val="continue"/>
            <w:tcBorders>
              <w:top w:val="nil"/>
            </w:tcBorders>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20%</w:t>
            </w:r>
          </w:p>
        </w:tc>
        <w:tc>
          <w:tcPr>
            <w:tcW w:w="63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26" w:type="dxa"/>
            <w:vMerge w:val="restart"/>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46" w:type="dxa"/>
            <w:vMerge w:val="restart"/>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3882"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28"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0%</w:t>
            </w:r>
          </w:p>
        </w:tc>
        <w:tc>
          <w:tcPr>
            <w:tcW w:w="639"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vAlign w:val="center"/>
          </w:tcPr>
          <w:p>
            <w:pPr>
              <w:jc w:val="center"/>
              <w:rPr>
                <w:rFonts w:ascii="Malgun Gothic"/>
                <w:color w:val="000000" w:themeColor="text1"/>
                <w:sz w:val="18"/>
                <w:szCs w:val="18"/>
              </w:rPr>
            </w:pPr>
          </w:p>
        </w:tc>
        <w:tc>
          <w:tcPr>
            <w:tcW w:w="1726" w:type="dxa"/>
            <w:vMerge w:val="continue"/>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3882"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28"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5%</w:t>
            </w:r>
          </w:p>
        </w:tc>
        <w:tc>
          <w:tcPr>
            <w:tcW w:w="639" w:type="dxa"/>
            <w:tcBorders>
              <w:top w:val="single" w:color="000000" w:sz="2"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vAlign w:val="center"/>
          </w:tcPr>
          <w:p>
            <w:pPr>
              <w:jc w:val="center"/>
              <w:rPr>
                <w:rFonts w:ascii="Malgun Gothic"/>
                <w:color w:val="000000" w:themeColor="text1"/>
                <w:sz w:val="18"/>
                <w:szCs w:val="18"/>
              </w:rPr>
            </w:pPr>
          </w:p>
        </w:tc>
        <w:tc>
          <w:tcPr>
            <w:tcW w:w="1726" w:type="dxa"/>
            <w:vMerge w:val="continue"/>
          </w:tcPr>
          <w:p>
            <w:pPr>
              <w:jc w:val="center"/>
              <w:rPr>
                <w:rFonts w:ascii="仿宋" w:hAnsi="仿宋" w:eastAsia="仿宋" w:cs="仿宋"/>
                <w:color w:val="000000" w:themeColor="text1"/>
                <w:spacing w:val="-1"/>
                <w:sz w:val="18"/>
                <w:szCs w:val="18"/>
              </w:rPr>
            </w:pPr>
          </w:p>
        </w:tc>
        <w:tc>
          <w:tcPr>
            <w:tcW w:w="646" w:type="dxa"/>
            <w:vMerge w:val="continue"/>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63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0%</w:t>
            </w:r>
          </w:p>
        </w:tc>
        <w:tc>
          <w:tcPr>
            <w:tcW w:w="63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tcBorders>
              <w:top w:val="nil"/>
            </w:tcBorders>
            <w:vAlign w:val="center"/>
          </w:tcPr>
          <w:p>
            <w:pPr>
              <w:jc w:val="center"/>
              <w:rPr>
                <w:rFonts w:ascii="Malgun Gothic"/>
                <w:color w:val="000000" w:themeColor="text1"/>
                <w:sz w:val="18"/>
                <w:szCs w:val="18"/>
              </w:rPr>
            </w:pPr>
          </w:p>
        </w:tc>
        <w:tc>
          <w:tcPr>
            <w:tcW w:w="17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63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8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2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388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388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388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2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9"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8"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72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4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9"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 w:hRule="atLeast"/>
        </w:trPr>
        <w:tc>
          <w:tcPr>
            <w:tcW w:w="895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895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1.《中华人民共和国水污染防治法》第三十二条国务院环境保护主管部门应当会同国务院卫生主管部门，根据对公众健康和生态环境的危害和影响程度，公布有毒有害水污染物名录，实行风险管理。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未按照规定对有毒有害水污染物的排污口和周边环境进行监测，或者未公开有毒有害水污染物信息的。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3.《辽宁省水污染防治条例》第四十四条违反本条例规定，有下列行为之一的，由生态环境主管部门责令限期改正，处2万元以上20万元以下的罚款；逾期不改正的，责令停产整治：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（三)未按照规定对有毒有害水污染物的排污口和周边环境进行定期监测，或者未公开有毒有害水污染物信息的。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180" w:name="_Toc14213"/>
      <w:bookmarkStart w:id="181" w:name="_Toc9470"/>
      <w:bookmarkStart w:id="182" w:name="_Toc82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45</w:t>
      </w:r>
      <w:r>
        <w:rPr>
          <w:rFonts w:hint="eastAsia" w:ascii="仿宋" w:hAnsi="仿宋" w:eastAsia="仿宋" w:cs="仿宋"/>
          <w:b/>
          <w:bCs/>
          <w:color w:val="000000" w:themeColor="text1"/>
          <w:kern w:val="0"/>
          <w:sz w:val="24"/>
          <w:lang w:val="zh-CN"/>
        </w:rPr>
        <w:t>未依法取得排污许可证排放水污染物的罚款幅度裁定</w:t>
      </w:r>
      <w:bookmarkEnd w:id="180"/>
      <w:bookmarkEnd w:id="181"/>
      <w:bookmarkEnd w:id="182"/>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1926"/>
        <w:gridCol w:w="559"/>
        <w:gridCol w:w="1726"/>
        <w:gridCol w:w="1836"/>
        <w:gridCol w:w="598"/>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2" w:hRule="atLeast"/>
        </w:trPr>
        <w:tc>
          <w:tcPr>
            <w:tcW w:w="3705"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674"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3" w:hRule="atLeast"/>
        </w:trPr>
        <w:tc>
          <w:tcPr>
            <w:tcW w:w="1220"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926"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559"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562"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59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1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对环境影响</w:t>
            </w:r>
            <w:r>
              <w:rPr>
                <w:rFonts w:hint="eastAsia" w:ascii="仿宋" w:hAnsi="仿宋" w:eastAsia="仿宋" w:cs="仿宋"/>
                <w:color w:val="000000" w:themeColor="text1"/>
                <w:spacing w:val="-7"/>
                <w:sz w:val="18"/>
                <w:szCs w:val="18"/>
              </w:rPr>
              <w:t>程度</w:t>
            </w: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环境影响评价</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项目类型</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pacing w:val="-2"/>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26"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59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restart"/>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183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59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是否经过</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收集处理</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经收集处理</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未经收集处理</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1"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是否超标</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水污染物不超标的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水污染物超标的</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92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continue"/>
            <w:tcBorders>
              <w:top w:val="nil"/>
            </w:tcBorders>
            <w:vAlign w:val="center"/>
          </w:tcPr>
          <w:p>
            <w:pPr>
              <w:jc w:val="center"/>
              <w:rPr>
                <w:rFonts w:ascii="仿宋" w:hAnsi="仿宋" w:eastAsia="仿宋" w:cs="仿宋"/>
                <w:color w:val="000000" w:themeColor="text1"/>
                <w:sz w:val="18"/>
                <w:szCs w:val="18"/>
              </w:rPr>
            </w:pPr>
          </w:p>
        </w:tc>
        <w:tc>
          <w:tcPr>
            <w:tcW w:w="19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continue"/>
            <w:tcBorders>
              <w:top w:val="nil"/>
            </w:tcBorders>
            <w:vAlign w:val="center"/>
          </w:tcPr>
          <w:p>
            <w:pPr>
              <w:jc w:val="center"/>
              <w:rPr>
                <w:rFonts w:ascii="仿宋" w:hAnsi="仿宋" w:eastAsia="仿宋" w:cs="仿宋"/>
                <w:color w:val="000000" w:themeColor="text1"/>
                <w:sz w:val="18"/>
                <w:szCs w:val="18"/>
              </w:rPr>
            </w:pPr>
          </w:p>
        </w:tc>
        <w:tc>
          <w:tcPr>
            <w:tcW w:w="19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continue"/>
            <w:vAlign w:val="center"/>
          </w:tcPr>
          <w:p>
            <w:pPr>
              <w:jc w:val="center"/>
              <w:rPr>
                <w:rFonts w:ascii="仿宋" w:hAnsi="仿宋" w:eastAsia="仿宋" w:cs="仿宋"/>
                <w:color w:val="000000" w:themeColor="text1"/>
                <w:spacing w:val="-2"/>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continue"/>
            <w:vAlign w:val="center"/>
          </w:tcPr>
          <w:p>
            <w:pPr>
              <w:jc w:val="center"/>
              <w:rPr>
                <w:rFonts w:ascii="仿宋" w:hAnsi="仿宋" w:eastAsia="仿宋" w:cs="仿宋"/>
                <w:color w:val="000000" w:themeColor="text1"/>
                <w:spacing w:val="-2"/>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continue"/>
            <w:vAlign w:val="center"/>
          </w:tcPr>
          <w:p>
            <w:pPr>
              <w:jc w:val="center"/>
              <w:rPr>
                <w:rFonts w:ascii="仿宋" w:hAnsi="仿宋" w:eastAsia="仿宋" w:cs="仿宋"/>
                <w:color w:val="000000" w:themeColor="text1"/>
                <w:spacing w:val="-2"/>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4"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20" w:type="dxa"/>
            <w:vMerge w:val="continue"/>
            <w:tcBorders>
              <w:top w:val="nil"/>
              <w:bottom w:val="single" w:color="auto" w:sz="4" w:space="0"/>
            </w:tcBorders>
            <w:vAlign w:val="center"/>
          </w:tcPr>
          <w:p>
            <w:pPr>
              <w:jc w:val="center"/>
              <w:rPr>
                <w:rFonts w:ascii="仿宋" w:hAnsi="仿宋" w:eastAsia="仿宋" w:cs="仿宋"/>
                <w:color w:val="000000" w:themeColor="text1"/>
                <w:sz w:val="18"/>
                <w:szCs w:val="18"/>
              </w:rPr>
            </w:pPr>
          </w:p>
        </w:tc>
        <w:tc>
          <w:tcPr>
            <w:tcW w:w="192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8379" w:type="dxa"/>
            <w:gridSpan w:val="7"/>
            <w:tcBorders>
              <w:top w:val="nil"/>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837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禁止企业事业单位和其他生产经营者无排污许可证或者违反排污许可证的规定向水体排放前款规定的废水、污水。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(一)未依法取得排污许可证排放水污染物的；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环境保护条例》第七十条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(一)未依法取得排污许可证排放污染物的；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183" w:name="_Toc14828"/>
      <w:bookmarkStart w:id="184" w:name="_Toc7020"/>
      <w:bookmarkStart w:id="185" w:name="_Toc499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46</w:t>
      </w:r>
      <w:r>
        <w:rPr>
          <w:rFonts w:hint="eastAsia" w:ascii="仿宋" w:hAnsi="仿宋" w:eastAsia="仿宋" w:cs="仿宋"/>
          <w:b/>
          <w:bCs/>
          <w:color w:val="000000" w:themeColor="text1"/>
          <w:kern w:val="0"/>
          <w:sz w:val="24"/>
          <w:lang w:val="zh-CN"/>
        </w:rPr>
        <w:t>超过水污染物排放标准或者超过重点水污染物排放总量控制指标排放水污染物的罚款幅度裁定</w:t>
      </w:r>
      <w:bookmarkEnd w:id="183"/>
      <w:bookmarkEnd w:id="184"/>
      <w:bookmarkEnd w:id="185"/>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1657"/>
        <w:gridCol w:w="832"/>
        <w:gridCol w:w="2078"/>
        <w:gridCol w:w="1427"/>
        <w:gridCol w:w="513"/>
        <w:gridCol w:w="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397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4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8" w:hRule="atLeast"/>
        </w:trPr>
        <w:tc>
          <w:tcPr>
            <w:tcW w:w="148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5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3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50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超过水污染物排放标准</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超标一倍以内的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超标一倍以上二倍以下的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超标两倍以上的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环境影响评价项目类型</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7%</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165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1" w:type="dxa"/>
            <w:vMerge w:val="continue"/>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165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65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3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05"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13"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1"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13"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top w:val="single" w:color="000000" w:sz="2"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165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0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vAlign w:val="center"/>
          </w:tcPr>
          <w:p>
            <w:pPr>
              <w:jc w:val="center"/>
              <w:rPr>
                <w:rFonts w:ascii="仿宋" w:hAnsi="仿宋" w:eastAsia="仿宋" w:cs="仿宋"/>
                <w:color w:val="000000" w:themeColor="text1"/>
                <w:spacing w:val="-2"/>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1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vAlign w:val="center"/>
          </w:tcPr>
          <w:p>
            <w:pPr>
              <w:jc w:val="center"/>
              <w:rPr>
                <w:rFonts w:ascii="仿宋" w:hAnsi="仿宋" w:eastAsia="仿宋" w:cs="仿宋"/>
                <w:color w:val="000000" w:themeColor="text1"/>
                <w:spacing w:val="-2"/>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1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vAlign w:val="center"/>
          </w:tcPr>
          <w:p>
            <w:pPr>
              <w:jc w:val="center"/>
              <w:rPr>
                <w:rFonts w:ascii="仿宋" w:hAnsi="仿宋" w:eastAsia="仿宋" w:cs="仿宋"/>
                <w:color w:val="000000" w:themeColor="text1"/>
                <w:spacing w:val="-2"/>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81"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65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50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861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861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1.《中华人民共和国水污染防治法》第十条排放水污染物，不得超过国家或者地方规定的水污染物排放标准和重点水污染物排放总量控制指标。</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(二)超过水污染物排放标准或者超过重点水污染物排放总量控制指标排放水污染物的；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186" w:name="_Toc13559"/>
      <w:bookmarkStart w:id="187" w:name="_Toc14337"/>
      <w:bookmarkStart w:id="188" w:name="_Toc811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47</w:t>
      </w:r>
      <w:r>
        <w:rPr>
          <w:rFonts w:hint="eastAsia" w:ascii="仿宋" w:hAnsi="仿宋" w:eastAsia="仿宋" w:cs="仿宋"/>
          <w:b/>
          <w:bCs/>
          <w:color w:val="000000" w:themeColor="text1"/>
          <w:kern w:val="0"/>
          <w:sz w:val="24"/>
          <w:lang w:val="zh-CN"/>
        </w:rPr>
        <w:t>利用渗井、渗坑、裂隙、溶洞，私设暗管，篡改、伪造监测数据，或者不正常运行水污染防治设施等逃避监管的方式排放水污染物的罚款幅度裁定</w:t>
      </w:r>
      <w:bookmarkEnd w:id="186"/>
      <w:bookmarkEnd w:id="187"/>
      <w:bookmarkEnd w:id="188"/>
    </w:p>
    <w:tbl>
      <w:tblPr>
        <w:tblStyle w:val="15"/>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146"/>
        <w:gridCol w:w="900"/>
        <w:gridCol w:w="3210"/>
        <w:gridCol w:w="1061"/>
        <w:gridCol w:w="521"/>
        <w:gridCol w:w="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339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3" w:hRule="atLeast"/>
        </w:trPr>
        <w:tc>
          <w:tcPr>
            <w:tcW w:w="134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4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0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w:t>
            </w:r>
            <w:r>
              <w:rPr>
                <w:rFonts w:ascii="仿宋" w:hAnsi="仿宋" w:eastAsia="仿宋" w:cs="仿宋"/>
                <w:color w:val="000000" w:themeColor="text1"/>
                <w:spacing w:val="-20"/>
                <w:sz w:val="18"/>
                <w:szCs w:val="18"/>
              </w:rPr>
              <w:t>例</w:t>
            </w:r>
          </w:p>
        </w:tc>
        <w:tc>
          <w:tcPr>
            <w:tcW w:w="427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2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7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部分处理设施不能正常运行的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476" w:type="dxa"/>
            <w:vMerge w:val="restart"/>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vMerge w:val="continue"/>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部分处理设施停运的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整体或关键处理设施不能正常运行的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整体或关键处理设施停运/为逃避现场检查临时停产的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正常生产时利用渗井、渗坑、裂隙、溶洞，私设暗管等逃避监管的方式排放水污染物或者篡改、伪造监测数据的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一般工业废水的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含其他有毒有害物质的废水、医疗废水的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日排放量10吨以下的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tcBorders>
          </w:tcPr>
          <w:p>
            <w:pP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日排放量10吨以上的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tcBorders>
          </w:tcPr>
          <w:p>
            <w:pP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Pr>
          <w:p>
            <w:pP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7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7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7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7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27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7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42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47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42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4271"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76"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4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4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427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865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8" w:hRule="atLeast"/>
        </w:trPr>
        <w:tc>
          <w:tcPr>
            <w:tcW w:w="865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1.《中华人民共和国水污染防治法》第三十九条禁止利用渗井、渗坑、裂隙、溶洞，私设暗管，篡改、伪造监测数据，或者不正常运行水污染防治设施等逃避监管的方式排放水污染物。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(三)利用渗井、渗坑、裂隙、溶洞，私设暗管，篡改、伪造监测数据，或者不正常运行水污染防治设施等逃避监管的方式排放水污染物的；</w:t>
      </w: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pStyle w:val="5"/>
        <w:ind w:left="0" w:right="901"/>
        <w:rPr>
          <w:color w:val="000000" w:themeColor="text1"/>
        </w:rPr>
      </w:pPr>
    </w:p>
    <w:p>
      <w:pPr>
        <w:widowControl/>
        <w:kinsoku w:val="0"/>
        <w:autoSpaceDE w:val="0"/>
        <w:autoSpaceDN w:val="0"/>
        <w:adjustRightInd w:val="0"/>
        <w:snapToGrid w:val="0"/>
        <w:jc w:val="center"/>
        <w:textAlignment w:val="baseline"/>
        <w:outlineLvl w:val="1"/>
        <w:rPr>
          <w:b/>
          <w:bCs/>
          <w:color w:val="000000" w:themeColor="text1"/>
          <w:sz w:val="24"/>
        </w:rPr>
      </w:pPr>
      <w:bookmarkStart w:id="189" w:name="_Toc11157"/>
      <w:bookmarkStart w:id="190" w:name="_Toc9065"/>
      <w:bookmarkStart w:id="191" w:name="_Toc1901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48</w:t>
      </w:r>
      <w:r>
        <w:rPr>
          <w:rFonts w:hint="eastAsia" w:ascii="仿宋" w:hAnsi="仿宋" w:eastAsia="仿宋" w:cs="仿宋"/>
          <w:b/>
          <w:bCs/>
          <w:color w:val="000000" w:themeColor="text1"/>
          <w:kern w:val="0"/>
          <w:sz w:val="24"/>
          <w:lang w:val="zh-CN"/>
        </w:rPr>
        <w:t>未按照规定进行预处理，向污水集中处理设施排放不符合处理工艺要求的工业废水的罚款幅度裁定</w:t>
      </w:r>
      <w:bookmarkEnd w:id="189"/>
      <w:bookmarkEnd w:id="190"/>
      <w:bookmarkEnd w:id="191"/>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1787"/>
        <w:gridCol w:w="754"/>
        <w:gridCol w:w="898"/>
        <w:gridCol w:w="2569"/>
        <w:gridCol w:w="566"/>
        <w:gridCol w:w="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4026" w:type="dxa"/>
            <w:gridSpan w:val="3"/>
          </w:tcPr>
          <w:p>
            <w:pPr>
              <w:spacing w:before="177" w:line="184" w:lineRule="auto"/>
              <w:ind w:firstLine="141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13" w:type="dxa"/>
            <w:gridSpan w:val="4"/>
          </w:tcPr>
          <w:p>
            <w:pPr>
              <w:spacing w:before="177" w:line="184" w:lineRule="auto"/>
              <w:ind w:firstLine="1716"/>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9" w:hRule="atLeast"/>
        </w:trPr>
        <w:tc>
          <w:tcPr>
            <w:tcW w:w="14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54"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67"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6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0"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 w:hRule="atLeast"/>
        </w:trPr>
        <w:tc>
          <w:tcPr>
            <w:tcW w:w="1485"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向污水处理厂</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设施中超标</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排放废水</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超标20%以下的</w:t>
            </w:r>
          </w:p>
        </w:tc>
        <w:tc>
          <w:tcPr>
            <w:tcW w:w="256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 w:hRule="atLeast"/>
        </w:trPr>
        <w:tc>
          <w:tcPr>
            <w:tcW w:w="1485" w:type="dxa"/>
            <w:vMerge w:val="continue"/>
            <w:vAlign w:val="center"/>
          </w:tcPr>
          <w:p>
            <w:pPr>
              <w:jc w:val="center"/>
              <w:rPr>
                <w:rFonts w:ascii="仿宋" w:hAnsi="仿宋" w:eastAsia="仿宋" w:cs="仿宋"/>
                <w:color w:val="000000" w:themeColor="text1"/>
                <w:spacing w:val="-7"/>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 w:hRule="atLeast"/>
        </w:trPr>
        <w:tc>
          <w:tcPr>
            <w:tcW w:w="1485" w:type="dxa"/>
            <w:vMerge w:val="continue"/>
            <w:vAlign w:val="center"/>
          </w:tcPr>
          <w:p>
            <w:pPr>
              <w:jc w:val="center"/>
              <w:rPr>
                <w:rFonts w:ascii="仿宋" w:hAnsi="仿宋" w:eastAsia="仿宋" w:cs="仿宋"/>
                <w:color w:val="000000" w:themeColor="text1"/>
                <w:spacing w:val="-7"/>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超标20%以上50%以下的</w:t>
            </w:r>
          </w:p>
        </w:tc>
        <w:tc>
          <w:tcPr>
            <w:tcW w:w="256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6"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超标50%以上100%以下的</w:t>
            </w:r>
          </w:p>
        </w:tc>
        <w:tc>
          <w:tcPr>
            <w:tcW w:w="256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5"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超标100%以上的</w:t>
            </w:r>
          </w:p>
        </w:tc>
        <w:tc>
          <w:tcPr>
            <w:tcW w:w="256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7"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日排放量10吨以下的</w:t>
            </w:r>
          </w:p>
        </w:tc>
        <w:tc>
          <w:tcPr>
            <w:tcW w:w="2569"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非工业废水或一般工业废水</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含一类污染物或重金属、病原体、放射性物质的废水、含有毒有害污染物的废水、医疗废水</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日排放量10吨以上20吨以下的</w:t>
            </w: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非工业废水或一般工业废水</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7%</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含一类污染物或重金属、病原体、放射性物质的废水、含有毒有害污染物的废水、医疗废水</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5"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日排放量20吨以上的</w:t>
            </w: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非工业废水或一般工业废水</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5"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含一类污染物或重金属、病原体、放射性物质的废水、含有毒有害污染物的废水、医疗废水</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78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54"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67"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6"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0"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6"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top w:val="single" w:color="000000" w:sz="2"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6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vAlign w:val="center"/>
          </w:tcPr>
          <w:p>
            <w:pPr>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vAlign w:val="center"/>
          </w:tcPr>
          <w:p>
            <w:pPr>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0"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85" w:type="dxa"/>
            <w:vMerge w:val="continue"/>
            <w:vAlign w:val="center"/>
          </w:tcPr>
          <w:p>
            <w:pPr>
              <w:jc w:val="center"/>
              <w:rPr>
                <w:rFonts w:ascii="Malgun Gothic"/>
                <w:b/>
                <w:bCs/>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8639" w:type="dxa"/>
            <w:gridSpan w:val="7"/>
            <w:vAlign w:val="center"/>
          </w:tcPr>
          <w:p>
            <w:pPr>
              <w:rPr>
                <w:rFonts w:ascii="仿宋_GB2312" w:hAnsi="仿宋_GB2312" w:eastAsia="仿宋_GB2312" w:cs="仿宋_GB2312"/>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8639" w:type="dxa"/>
            <w:gridSpan w:val="7"/>
            <w:vAlign w:val="center"/>
          </w:tcPr>
          <w:p>
            <w:pPr>
              <w:rPr>
                <w:rFonts w:ascii="仿宋_GB2312" w:hAnsi="仿宋_GB2312" w:eastAsia="仿宋_GB2312" w:cs="仿宋_GB2312"/>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1.《中华人民共和国水污染防治法》第四十五条第三款向污水集中处理设施排放工业废水的，应当按照国家有关规定进行预处理，达到集中处理设施处理工艺要求后方可排放。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未按照规定进行预处理，向污水集中处理设施排放不符合处理工艺要求的工业废水的。</w:t>
      </w:r>
    </w:p>
    <w:p>
      <w:pPr>
        <w:spacing w:before="73"/>
        <w:ind w:right="108"/>
        <w:rPr>
          <w:rFonts w:ascii="仿宋_GB2312" w:hAnsi="仿宋_GB2312" w:eastAsia="仿宋_GB2312" w:cs="仿宋_GB2312"/>
          <w:color w:val="000000" w:themeColor="text1"/>
          <w:szCs w:val="21"/>
        </w:rPr>
      </w:pPr>
    </w:p>
    <w:p>
      <w:pPr>
        <w:pStyle w:val="5"/>
        <w:ind w:right="901"/>
        <w:jc w:val="center"/>
        <w:rPr>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192" w:name="_Toc16694"/>
      <w:bookmarkStart w:id="193" w:name="_Toc23051"/>
      <w:bookmarkStart w:id="194" w:name="_Toc397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49</w:t>
      </w:r>
      <w:r>
        <w:rPr>
          <w:rFonts w:hint="eastAsia" w:ascii="仿宋" w:hAnsi="仿宋" w:eastAsia="仿宋" w:cs="仿宋"/>
          <w:b/>
          <w:bCs/>
          <w:color w:val="000000" w:themeColor="text1"/>
          <w:kern w:val="0"/>
          <w:sz w:val="24"/>
          <w:lang w:val="zh-CN"/>
        </w:rPr>
        <w:t>违反法律、行政法规和国务院环境保护主管部门的规定</w:t>
      </w:r>
      <w:bookmarkEnd w:id="192"/>
      <w:bookmarkStart w:id="195" w:name="_Toc18385"/>
      <w:r>
        <w:rPr>
          <w:rFonts w:hint="eastAsia" w:ascii="仿宋" w:hAnsi="仿宋" w:eastAsia="仿宋" w:cs="仿宋"/>
          <w:b/>
          <w:bCs/>
          <w:color w:val="000000" w:themeColor="text1"/>
          <w:kern w:val="0"/>
          <w:sz w:val="24"/>
          <w:lang w:val="zh-CN"/>
        </w:rPr>
        <w:t>设置排污口的罚款幅度裁定</w:t>
      </w:r>
      <w:bookmarkEnd w:id="193"/>
      <w:bookmarkEnd w:id="194"/>
      <w:bookmarkEnd w:id="195"/>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1"/>
        <w:gridCol w:w="1263"/>
        <w:gridCol w:w="916"/>
        <w:gridCol w:w="1991"/>
        <w:gridCol w:w="1779"/>
        <w:gridCol w:w="709"/>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341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8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123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6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16"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w:t>
            </w:r>
            <w:r>
              <w:rPr>
                <w:rFonts w:ascii="仿宋" w:hAnsi="仿宋" w:eastAsia="仿宋" w:cs="仿宋"/>
                <w:color w:val="000000" w:themeColor="text1"/>
                <w:spacing w:val="-4"/>
                <w:sz w:val="18"/>
                <w:szCs w:val="18"/>
              </w:rPr>
              <w:t>成</w:t>
            </w:r>
            <w:r>
              <w:rPr>
                <w:rFonts w:ascii="仿宋" w:hAnsi="仿宋" w:eastAsia="仿宋" w:cs="仿宋"/>
                <w:color w:val="000000" w:themeColor="text1"/>
                <w:spacing w:val="-20"/>
                <w:sz w:val="18"/>
                <w:szCs w:val="18"/>
              </w:rPr>
              <w:t>比例</w:t>
            </w:r>
          </w:p>
        </w:tc>
        <w:tc>
          <w:tcPr>
            <w:tcW w:w="377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9"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10" w:type="dxa"/>
            <w:tcBorders>
              <w:left w:val="single" w:color="auto" w:sz="4" w:space="0"/>
              <w:bottom w:val="single" w:color="000000" w:sz="2"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1231"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263"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排污口设置位置</w:t>
            </w:r>
          </w:p>
        </w:tc>
        <w:tc>
          <w:tcPr>
            <w:tcW w:w="916"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37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在江河中设置排污口的</w:t>
            </w:r>
          </w:p>
        </w:tc>
        <w:tc>
          <w:tcPr>
            <w:tcW w:w="709"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000000" w:sz="2"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在水库、湖泊、地下水中设置排污口的</w:t>
            </w:r>
          </w:p>
        </w:tc>
        <w:tc>
          <w:tcPr>
            <w:tcW w:w="1779"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9"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9"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9"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在风景名胜区水体、重要渔业水体和其他具有特殊经济文化价值的水体的保护区内设置排污口的</w:t>
            </w:r>
          </w:p>
        </w:tc>
        <w:tc>
          <w:tcPr>
            <w:tcW w:w="1779"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9"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0"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1" w:type="dxa"/>
            <w:vMerge w:val="continue"/>
            <w:tcBorders>
              <w:bottom w:val="single" w:color="000000" w:sz="2" w:space="0"/>
            </w:tcBorders>
            <w:vAlign w:val="center"/>
          </w:tcPr>
          <w:p>
            <w:pPr>
              <w:jc w:val="center"/>
              <w:rPr>
                <w:rFonts w:ascii="Malgun Gothic"/>
                <w:color w:val="000000" w:themeColor="text1"/>
                <w:sz w:val="18"/>
                <w:szCs w:val="18"/>
              </w:rPr>
            </w:pPr>
          </w:p>
        </w:tc>
        <w:tc>
          <w:tcPr>
            <w:tcW w:w="1263"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9"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231" w:type="dxa"/>
            <w:vMerge w:val="continue"/>
            <w:tcBorders>
              <w:bottom w:val="single" w:color="000000" w:sz="2" w:space="0"/>
            </w:tcBorders>
            <w:vAlign w:val="center"/>
          </w:tcPr>
          <w:p>
            <w:pPr>
              <w:jc w:val="center"/>
              <w:rPr>
                <w:rFonts w:ascii="Malgun Gothic"/>
                <w:color w:val="000000" w:themeColor="text1"/>
                <w:sz w:val="18"/>
                <w:szCs w:val="18"/>
              </w:rPr>
            </w:pPr>
          </w:p>
        </w:tc>
        <w:tc>
          <w:tcPr>
            <w:tcW w:w="1263"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9"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0"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6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70"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6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6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6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70"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9"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vAlign w:val="center"/>
          </w:tcPr>
          <w:p>
            <w:pPr>
              <w:jc w:val="center"/>
              <w:rPr>
                <w:rFonts w:ascii="仿宋" w:hAnsi="仿宋" w:eastAsia="仿宋" w:cs="仿宋"/>
                <w:color w:val="000000" w:themeColor="text1"/>
                <w:spacing w:val="-2"/>
                <w:sz w:val="18"/>
                <w:szCs w:val="18"/>
              </w:rPr>
            </w:pPr>
          </w:p>
        </w:tc>
        <w:tc>
          <w:tcPr>
            <w:tcW w:w="1263" w:type="dxa"/>
            <w:vMerge w:val="continue"/>
            <w:vAlign w:val="center"/>
          </w:tcPr>
          <w:p>
            <w:pPr>
              <w:jc w:val="center"/>
              <w:rPr>
                <w:rFonts w:ascii="仿宋" w:hAnsi="仿宋" w:eastAsia="仿宋" w:cs="仿宋"/>
                <w:color w:val="000000" w:themeColor="text1"/>
                <w:spacing w:val="-1"/>
                <w:sz w:val="18"/>
                <w:szCs w:val="18"/>
              </w:rPr>
            </w:pPr>
          </w:p>
        </w:tc>
        <w:tc>
          <w:tcPr>
            <w:tcW w:w="916" w:type="dxa"/>
            <w:vMerge w:val="continue"/>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vAlign w:val="center"/>
          </w:tcPr>
          <w:p>
            <w:pPr>
              <w:jc w:val="center"/>
              <w:rPr>
                <w:rFonts w:ascii="仿宋" w:hAnsi="仿宋" w:eastAsia="仿宋" w:cs="仿宋"/>
                <w:color w:val="000000" w:themeColor="text1"/>
                <w:spacing w:val="-2"/>
                <w:sz w:val="18"/>
                <w:szCs w:val="18"/>
              </w:rPr>
            </w:pPr>
          </w:p>
        </w:tc>
        <w:tc>
          <w:tcPr>
            <w:tcW w:w="1263" w:type="dxa"/>
            <w:vMerge w:val="continue"/>
            <w:vAlign w:val="center"/>
          </w:tcPr>
          <w:p>
            <w:pPr>
              <w:jc w:val="center"/>
              <w:rPr>
                <w:rFonts w:ascii="仿宋" w:hAnsi="仿宋" w:eastAsia="仿宋" w:cs="仿宋"/>
                <w:color w:val="000000" w:themeColor="text1"/>
                <w:spacing w:val="-1"/>
                <w:sz w:val="18"/>
                <w:szCs w:val="18"/>
              </w:rPr>
            </w:pPr>
          </w:p>
        </w:tc>
        <w:tc>
          <w:tcPr>
            <w:tcW w:w="916" w:type="dxa"/>
            <w:vMerge w:val="continue"/>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9"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auto" w:sz="4"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9"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top w:val="single" w:color="000000" w:sz="2"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231" w:type="dxa"/>
            <w:vMerge w:val="continue"/>
            <w:vAlign w:val="center"/>
          </w:tcPr>
          <w:p>
            <w:pPr>
              <w:jc w:val="center"/>
              <w:rPr>
                <w:rFonts w:ascii="Malgun Gothic"/>
                <w:color w:val="000000" w:themeColor="text1"/>
                <w:sz w:val="18"/>
                <w:szCs w:val="18"/>
              </w:rPr>
            </w:pPr>
          </w:p>
        </w:tc>
        <w:tc>
          <w:tcPr>
            <w:tcW w:w="1263" w:type="dxa"/>
            <w:vMerge w:val="continue"/>
            <w:vAlign w:val="center"/>
          </w:tcPr>
          <w:p>
            <w:pPr>
              <w:jc w:val="center"/>
              <w:rPr>
                <w:rFonts w:ascii="仿宋" w:hAnsi="仿宋" w:eastAsia="仿宋" w:cs="仿宋"/>
                <w:color w:val="000000" w:themeColor="text1"/>
                <w:spacing w:val="-1"/>
                <w:sz w:val="18"/>
                <w:szCs w:val="18"/>
              </w:rPr>
            </w:pPr>
          </w:p>
        </w:tc>
        <w:tc>
          <w:tcPr>
            <w:tcW w:w="916" w:type="dxa"/>
            <w:vMerge w:val="continue"/>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trPr>
        <w:tc>
          <w:tcPr>
            <w:tcW w:w="84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0" w:hRule="atLeast"/>
        </w:trPr>
        <w:tc>
          <w:tcPr>
            <w:tcW w:w="8499" w:type="dxa"/>
            <w:gridSpan w:val="7"/>
            <w:tcBorders>
              <w:bottom w:val="single" w:color="000000" w:sz="2"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第七十五条在风景名胜区水体、重要渔业水体和其他具有特殊经济文化价值的水体的保护区内，不得新建排污口。在保护区附近新建排污口，应当保证保护区水体不受污染。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四条第二款除前款规定外，违反法律、行政法规和国务院环境保护主管部门的规定设置排污口的，由县级以上地方人民政府环境保护主管部门责令限期拆除，处2万元以上10万元以下的罚款；逾期不拆除的，强制拆除，所需费用由违法者承担，处10万元以上五10万元以下的罚款；情节严重的，可以责令停产整治。</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pStyle w:val="5"/>
        <w:ind w:left="0" w:right="901"/>
        <w:rPr>
          <w:color w:val="000000" w:themeColor="text1"/>
        </w:rPr>
      </w:pPr>
    </w:p>
    <w:p>
      <w:pPr>
        <w:ind w:right="901"/>
        <w:jc w:val="center"/>
        <w:outlineLvl w:val="1"/>
        <w:rPr>
          <w:color w:val="000000" w:themeColor="text1"/>
          <w:sz w:val="24"/>
        </w:rPr>
      </w:pPr>
      <w:bookmarkStart w:id="196" w:name="_Toc31494"/>
      <w:bookmarkStart w:id="197" w:name="_Toc17195"/>
      <w:bookmarkStart w:id="198" w:name="_Toc28542"/>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50</w:t>
      </w:r>
      <w:r>
        <w:rPr>
          <w:rFonts w:hint="eastAsia" w:ascii="仿宋" w:hAnsi="仿宋" w:eastAsia="仿宋" w:cs="仿宋"/>
          <w:b/>
          <w:bCs/>
          <w:color w:val="000000" w:themeColor="text1"/>
          <w:kern w:val="0"/>
          <w:sz w:val="24"/>
          <w:lang w:val="zh-CN"/>
        </w:rPr>
        <w:t>向水体排放油类、酸液、碱液的罚款幅度裁定</w:t>
      </w:r>
      <w:bookmarkEnd w:id="196"/>
      <w:bookmarkEnd w:id="197"/>
      <w:bookmarkEnd w:id="198"/>
    </w:p>
    <w:tbl>
      <w:tblPr>
        <w:tblStyle w:val="15"/>
        <w:tblW w:w="8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1415"/>
        <w:gridCol w:w="1230"/>
        <w:gridCol w:w="1860"/>
        <w:gridCol w:w="1838"/>
        <w:gridCol w:w="734"/>
        <w:gridCol w:w="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372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1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8" w:hRule="atLeast"/>
        </w:trPr>
        <w:tc>
          <w:tcPr>
            <w:tcW w:w="1076" w:type="dxa"/>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15" w:type="dxa"/>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2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69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排放油类的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vAlign w:val="center"/>
          </w:tcPr>
          <w:p>
            <w:pPr>
              <w:jc w:val="center"/>
              <w:rPr>
                <w:rFonts w:ascii="仿宋" w:hAnsi="仿宋" w:eastAsia="仿宋" w:cs="仿宋"/>
                <w:color w:val="000000" w:themeColor="text1"/>
                <w:spacing w:val="-2"/>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vAlign w:val="center"/>
          </w:tcPr>
          <w:p>
            <w:pPr>
              <w:jc w:val="center"/>
              <w:rPr>
                <w:rFonts w:ascii="仿宋" w:hAnsi="仿宋" w:eastAsia="仿宋" w:cs="仿宋"/>
                <w:color w:val="000000" w:themeColor="text1"/>
                <w:spacing w:val="-2"/>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排放酸液的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排放碱液的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排放剧毒废液的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1230"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1838"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6"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1838"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86"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1838"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86"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bottom w:val="single" w:color="000000" w:sz="2" w:space="0"/>
            </w:tcBorders>
            <w:vAlign w:val="center"/>
          </w:tcPr>
          <w:p>
            <w:pPr>
              <w:jc w:val="center"/>
              <w:rPr>
                <w:rFonts w:ascii="Malgun Gothic"/>
                <w:color w:val="000000" w:themeColor="text1"/>
                <w:sz w:val="18"/>
                <w:szCs w:val="18"/>
              </w:rPr>
            </w:pPr>
          </w:p>
        </w:tc>
        <w:tc>
          <w:tcPr>
            <w:tcW w:w="1415"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76" w:type="dxa"/>
            <w:vMerge w:val="continue"/>
            <w:tcBorders>
              <w:bottom w:val="single" w:color="000000" w:sz="2" w:space="0"/>
            </w:tcBorders>
            <w:vAlign w:val="center"/>
          </w:tcPr>
          <w:p>
            <w:pPr>
              <w:jc w:val="center"/>
              <w:rPr>
                <w:rFonts w:ascii="Malgun Gothic"/>
                <w:color w:val="000000" w:themeColor="text1"/>
                <w:sz w:val="18"/>
                <w:szCs w:val="18"/>
              </w:rPr>
            </w:pPr>
          </w:p>
        </w:tc>
        <w:tc>
          <w:tcPr>
            <w:tcW w:w="1415"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restart"/>
            <w:tcBorders>
              <w:top w:val="single" w:color="000000" w:sz="2" w:space="0"/>
              <w:bottom w:val="single" w:color="000000" w:sz="2" w:space="0"/>
            </w:tcBorders>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违法频次</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123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9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34"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3"/>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tcBorders>
            <w:vAlign w:val="center"/>
          </w:tcPr>
          <w:p>
            <w:pPr>
              <w:jc w:val="center"/>
              <w:rPr>
                <w:rFonts w:ascii="仿宋" w:hAnsi="仿宋" w:eastAsia="仿宋" w:cs="仿宋"/>
                <w:color w:val="000000" w:themeColor="text1"/>
                <w:spacing w:val="-1"/>
                <w:sz w:val="18"/>
                <w:szCs w:val="18"/>
              </w:rPr>
            </w:pPr>
          </w:p>
        </w:tc>
        <w:tc>
          <w:tcPr>
            <w:tcW w:w="3698"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34"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完成整改</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9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vAlign w:val="center"/>
          </w:tcPr>
          <w:p>
            <w:pPr>
              <w:jc w:val="center"/>
              <w:rPr>
                <w:rFonts w:ascii="仿宋" w:hAnsi="仿宋" w:eastAsia="仿宋" w:cs="仿宋"/>
                <w:color w:val="000000" w:themeColor="text1"/>
                <w:spacing w:val="-7"/>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36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vAlign w:val="center"/>
          </w:tcPr>
          <w:p>
            <w:pPr>
              <w:jc w:val="center"/>
              <w:rPr>
                <w:rFonts w:ascii="仿宋" w:hAnsi="仿宋" w:eastAsia="仿宋" w:cs="仿宋"/>
                <w:color w:val="000000" w:themeColor="text1"/>
                <w:spacing w:val="-7"/>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3698"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9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076" w:type="dxa"/>
            <w:vMerge w:val="continue"/>
            <w:vAlign w:val="center"/>
          </w:tcPr>
          <w:p>
            <w:pPr>
              <w:jc w:val="center"/>
              <w:rPr>
                <w:rFonts w:ascii="Malgun Gothic"/>
                <w:color w:val="000000" w:themeColor="text1"/>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36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87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8739" w:type="dxa"/>
            <w:gridSpan w:val="7"/>
            <w:tcBorders>
              <w:bottom w:val="single" w:color="000000" w:sz="2"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1.《中华人民共和国水污染防治法》第三十三条禁止向水体排放油类、酸液、碱液或者剧毒废液。禁止在水体清洗装贮过油类或者有毒污染物的车辆和容器。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(一)向水体排放油类、酸液、碱液的；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b/>
          <w:bCs/>
          <w:color w:val="000000" w:themeColor="text1"/>
        </w:rPr>
      </w:pPr>
    </w:p>
    <w:p>
      <w:pPr>
        <w:jc w:val="center"/>
        <w:outlineLvl w:val="1"/>
        <w:rPr>
          <w:b/>
          <w:bCs/>
          <w:color w:val="000000" w:themeColor="text1"/>
          <w:sz w:val="24"/>
        </w:rPr>
      </w:pPr>
      <w:bookmarkStart w:id="199" w:name="_Toc17098"/>
      <w:bookmarkStart w:id="200" w:name="_Toc3153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51</w:t>
      </w:r>
      <w:r>
        <w:rPr>
          <w:rFonts w:hint="eastAsia" w:ascii="仿宋" w:hAnsi="仿宋" w:eastAsia="仿宋" w:cs="仿宋"/>
          <w:b/>
          <w:bCs/>
          <w:color w:val="000000" w:themeColor="text1"/>
          <w:kern w:val="0"/>
          <w:sz w:val="24"/>
          <w:lang w:val="zh-CN"/>
        </w:rPr>
        <w:t>向水体排放剧毒废液，或者将含有汞、镉、砷、铬、铅、氰化物、黄磷等的可溶性剧毒废渣向水体排放、倾倒或者直接埋入地下的罚款幅度裁定</w:t>
      </w:r>
      <w:bookmarkEnd w:id="199"/>
      <w:bookmarkEnd w:id="200"/>
    </w:p>
    <w:tbl>
      <w:tblPr>
        <w:tblStyle w:val="15"/>
        <w:tblW w:w="8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1283"/>
        <w:gridCol w:w="1192"/>
        <w:gridCol w:w="1607"/>
        <w:gridCol w:w="2095"/>
        <w:gridCol w:w="701"/>
        <w:gridCol w:w="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5" w:hRule="atLeast"/>
        </w:trPr>
        <w:tc>
          <w:tcPr>
            <w:tcW w:w="372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7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12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8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9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70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283"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119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排放剧毒废液的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仿宋" w:hAnsi="仿宋" w:eastAsia="仿宋" w:cs="仿宋"/>
                <w:color w:val="000000" w:themeColor="text1"/>
                <w:spacing w:val="-2"/>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仿宋" w:hAnsi="仿宋" w:eastAsia="仿宋" w:cs="仿宋"/>
                <w:color w:val="000000" w:themeColor="text1"/>
                <w:spacing w:val="-2"/>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仿宋" w:hAnsi="仿宋" w:eastAsia="仿宋" w:cs="仿宋"/>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排放含有汞、镉、砷、铬、铅、氰化物、黄磷等的可溶性剧毒废渣的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仿宋" w:hAnsi="仿宋" w:eastAsia="仿宋" w:cs="仿宋"/>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仿宋" w:hAnsi="仿宋" w:eastAsia="仿宋" w:cs="仿宋"/>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tcBorders>
              <w:top w:val="nil"/>
              <w:bottom w:val="nil"/>
            </w:tcBorders>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tcBorders>
              <w:top w:val="nil"/>
              <w:bottom w:val="nil"/>
            </w:tcBorders>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tcBorders>
              <w:top w:val="nil"/>
            </w:tcBorders>
            <w:vAlign w:val="center"/>
          </w:tcPr>
          <w:p>
            <w:pPr>
              <w:jc w:val="center"/>
              <w:rPr>
                <w:rFonts w:ascii="Malgun Gothic"/>
                <w:color w:val="000000" w:themeColor="text1"/>
                <w:sz w:val="18"/>
                <w:szCs w:val="18"/>
              </w:rPr>
            </w:pPr>
          </w:p>
        </w:tc>
        <w:tc>
          <w:tcPr>
            <w:tcW w:w="12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完成整改</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tcBorders>
              <w:top w:val="nil"/>
              <w:bottom w:val="nil"/>
            </w:tcBorders>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tcBorders>
              <w:top w:val="nil"/>
            </w:tcBorders>
            <w:vAlign w:val="center"/>
          </w:tcPr>
          <w:p>
            <w:pPr>
              <w:jc w:val="center"/>
              <w:rPr>
                <w:rFonts w:ascii="Malgun Gothic"/>
                <w:color w:val="000000" w:themeColor="text1"/>
                <w:sz w:val="18"/>
                <w:szCs w:val="18"/>
              </w:rPr>
            </w:pPr>
          </w:p>
        </w:tc>
        <w:tc>
          <w:tcPr>
            <w:tcW w:w="12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tcBorders>
              <w:top w:val="nil"/>
            </w:tcBorders>
            <w:vAlign w:val="center"/>
          </w:tcPr>
          <w:p>
            <w:pPr>
              <w:jc w:val="center"/>
              <w:rPr>
                <w:rFonts w:ascii="Malgun Gothic"/>
                <w:color w:val="000000" w:themeColor="text1"/>
                <w:sz w:val="18"/>
                <w:szCs w:val="18"/>
              </w:rPr>
            </w:pPr>
          </w:p>
        </w:tc>
        <w:tc>
          <w:tcPr>
            <w:tcW w:w="12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0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1"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vAlign w:val="center"/>
          </w:tcPr>
          <w:p>
            <w:pPr>
              <w:jc w:val="center"/>
              <w:rPr>
                <w:rFonts w:ascii="仿宋" w:hAnsi="仿宋" w:eastAsia="仿宋" w:cs="仿宋"/>
                <w:color w:val="000000" w:themeColor="text1"/>
                <w:spacing w:val="-7"/>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370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vAlign w:val="center"/>
          </w:tcPr>
          <w:p>
            <w:pPr>
              <w:jc w:val="center"/>
              <w:rPr>
                <w:rFonts w:ascii="仿宋" w:hAnsi="仿宋" w:eastAsia="仿宋" w:cs="仿宋"/>
                <w:color w:val="000000" w:themeColor="text1"/>
                <w:spacing w:val="-7"/>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370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tcBorders>
              <w:top w:val="nil"/>
              <w:bottom w:val="nil"/>
            </w:tcBorders>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1"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370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2" w:hRule="atLeast"/>
        </w:trPr>
        <w:tc>
          <w:tcPr>
            <w:tcW w:w="879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879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1.《中华人民共和国水污染防治法》第三十七条禁止向水体排放、倾倒工业废渣、城镇垃圾和其他废弃物。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禁止将含有汞、镉、砷、铬、铅、氰化物、黄磷等的可溶性剧毒废渣向水体排放、倾倒或者直接埋入地下。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存放可溶性剧毒废渣的场所，应当采取防水、防渗漏、防流失的措施。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(二)向水体排放剧毒废液，或者将含有汞、镉、砷、铬、铅、氰化物、黄磷等的可溶性剧毒废渣向水体排放、倾倒或者直接埋入地下的；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b/>
          <w:bCs/>
          <w:color w:val="000000" w:themeColor="text1"/>
        </w:rPr>
      </w:pPr>
    </w:p>
    <w:p>
      <w:pPr>
        <w:jc w:val="center"/>
        <w:outlineLvl w:val="1"/>
        <w:rPr>
          <w:b/>
          <w:bCs/>
          <w:color w:val="000000" w:themeColor="text1"/>
          <w:sz w:val="24"/>
        </w:rPr>
      </w:pPr>
      <w:bookmarkStart w:id="201" w:name="_Toc10225"/>
      <w:bookmarkStart w:id="202" w:name="_Toc2273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52</w:t>
      </w:r>
      <w:r>
        <w:rPr>
          <w:rFonts w:hint="eastAsia" w:ascii="仿宋" w:hAnsi="仿宋" w:eastAsia="仿宋" w:cs="仿宋"/>
          <w:b/>
          <w:bCs/>
          <w:color w:val="000000" w:themeColor="text1"/>
          <w:kern w:val="0"/>
          <w:sz w:val="24"/>
          <w:lang w:val="zh-CN"/>
        </w:rPr>
        <w:t>在水体清洗装贮过油类、有毒污染物的车辆或者容器的罚款幅度裁定</w:t>
      </w:r>
      <w:bookmarkEnd w:id="201"/>
      <w:bookmarkEnd w:id="202"/>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1262"/>
        <w:gridCol w:w="1169"/>
        <w:gridCol w:w="1800"/>
        <w:gridCol w:w="1865"/>
        <w:gridCol w:w="702"/>
        <w:gridCol w:w="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3685" w:type="dxa"/>
            <w:gridSpan w:val="3"/>
          </w:tcPr>
          <w:p>
            <w:pPr>
              <w:spacing w:before="175" w:line="184" w:lineRule="auto"/>
              <w:ind w:firstLine="1513"/>
              <w:rPr>
                <w:rFonts w:ascii="仿宋" w:hAnsi="仿宋" w:eastAsia="仿宋" w:cs="仿宋"/>
                <w:color w:val="000000" w:themeColor="text1"/>
                <w:sz w:val="24"/>
              </w:rPr>
            </w:pPr>
            <w:r>
              <w:rPr>
                <w:rFonts w:ascii="仿宋" w:hAnsi="仿宋" w:eastAsia="仿宋" w:cs="仿宋"/>
                <w:color w:val="000000" w:themeColor="text1"/>
                <w:spacing w:val="-2"/>
                <w:sz w:val="24"/>
              </w:rPr>
              <w:t>裁量要素</w:t>
            </w:r>
          </w:p>
        </w:tc>
        <w:tc>
          <w:tcPr>
            <w:tcW w:w="4914" w:type="dxa"/>
            <w:gridSpan w:val="4"/>
          </w:tcPr>
          <w:p>
            <w:pPr>
              <w:spacing w:before="175" w:line="184" w:lineRule="auto"/>
              <w:ind w:firstLine="1619"/>
              <w:rPr>
                <w:rFonts w:ascii="仿宋" w:hAnsi="仿宋" w:eastAsia="仿宋" w:cs="仿宋"/>
                <w:color w:val="000000" w:themeColor="text1"/>
                <w:sz w:val="24"/>
              </w:rPr>
            </w:pPr>
            <w:r>
              <w:rPr>
                <w:rFonts w:ascii="仿宋" w:hAnsi="仿宋" w:eastAsia="仿宋" w:cs="仿宋"/>
                <w:color w:val="000000" w:themeColor="text1"/>
                <w:spacing w:val="-5"/>
                <w:sz w:val="24"/>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254" w:type="dxa"/>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9"/>
                <w:sz w:val="24"/>
              </w:rPr>
              <w:t>要素</w:t>
            </w:r>
          </w:p>
        </w:tc>
        <w:tc>
          <w:tcPr>
            <w:tcW w:w="1262" w:type="dxa"/>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4"/>
                <w:sz w:val="24"/>
              </w:rPr>
              <w:t>具体条件</w:t>
            </w:r>
          </w:p>
        </w:tc>
        <w:tc>
          <w:tcPr>
            <w:tcW w:w="1169" w:type="dxa"/>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4"/>
                <w:sz w:val="24"/>
              </w:rPr>
              <w:t>构成</w:t>
            </w:r>
            <w:r>
              <w:rPr>
                <w:rFonts w:ascii="仿宋" w:hAnsi="仿宋" w:eastAsia="仿宋" w:cs="仿宋"/>
                <w:color w:val="000000" w:themeColor="text1"/>
                <w:spacing w:val="-20"/>
                <w:sz w:val="24"/>
              </w:rPr>
              <w:t>比例</w:t>
            </w:r>
          </w:p>
        </w:tc>
        <w:tc>
          <w:tcPr>
            <w:tcW w:w="3665" w:type="dxa"/>
            <w:gridSpan w:val="2"/>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5"/>
                <w:sz w:val="24"/>
              </w:rPr>
              <w:t>程度</w:t>
            </w:r>
          </w:p>
        </w:tc>
        <w:tc>
          <w:tcPr>
            <w:tcW w:w="702" w:type="dxa"/>
            <w:tcBorders>
              <w:right w:val="single" w:color="auto" w:sz="4" w:space="0"/>
            </w:tcBorders>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6"/>
                <w:sz w:val="24"/>
              </w:rPr>
              <w:t>百分值</w:t>
            </w:r>
          </w:p>
        </w:tc>
        <w:tc>
          <w:tcPr>
            <w:tcW w:w="547" w:type="dxa"/>
            <w:tcBorders>
              <w:left w:val="single" w:color="auto" w:sz="4" w:space="0"/>
            </w:tcBorders>
            <w:vAlign w:val="center"/>
          </w:tcPr>
          <w:p>
            <w:pPr>
              <w:jc w:val="center"/>
              <w:rPr>
                <w:rFonts w:ascii="仿宋" w:hAnsi="仿宋" w:eastAsia="仿宋" w:cs="仿宋"/>
                <w:color w:val="000000" w:themeColor="text1"/>
                <w:spacing w:val="-6"/>
                <w:sz w:val="24"/>
              </w:rPr>
            </w:pPr>
            <w:r>
              <w:rPr>
                <w:rFonts w:hint="eastAsia" w:ascii="仿宋" w:hAnsi="仿宋" w:eastAsia="仿宋" w:cs="仿宋"/>
                <w:color w:val="000000" w:themeColor="text1"/>
                <w:spacing w:val="-6"/>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restart"/>
            <w:tcBorders>
              <w:bottom w:val="nil"/>
            </w:tcBorders>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2"/>
                <w:sz w:val="24"/>
              </w:rPr>
              <w:t>对环境影响</w:t>
            </w:r>
            <w:r>
              <w:rPr>
                <w:rFonts w:ascii="仿宋" w:hAnsi="仿宋" w:eastAsia="仿宋" w:cs="仿宋"/>
                <w:color w:val="000000" w:themeColor="text1"/>
                <w:spacing w:val="-7"/>
                <w:sz w:val="24"/>
              </w:rPr>
              <w:t>程度</w:t>
            </w: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清洗容器</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在水体清洗装贮过油类的车辆或者容器的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24"/>
              </w:rPr>
            </w:pPr>
          </w:p>
        </w:tc>
      </w:tr>
      <w:tr>
        <w:trPr>
          <w:trHeight w:val="283" w:hRule="atLeast"/>
        </w:trPr>
        <w:tc>
          <w:tcPr>
            <w:tcW w:w="1254" w:type="dxa"/>
            <w:vMerge w:val="continue"/>
            <w:vAlign w:val="center"/>
          </w:tcPr>
          <w:p>
            <w:pPr>
              <w:jc w:val="center"/>
              <w:rPr>
                <w:rFonts w:ascii="仿宋" w:hAnsi="仿宋" w:eastAsia="仿宋" w:cs="仿宋"/>
                <w:color w:val="000000" w:themeColor="text1"/>
                <w:spacing w:val="-2"/>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vAlign w:val="center"/>
          </w:tcPr>
          <w:p>
            <w:pPr>
              <w:jc w:val="center"/>
              <w:rPr>
                <w:rFonts w:ascii="仿宋" w:hAnsi="仿宋" w:eastAsia="仿宋" w:cs="仿宋"/>
                <w:color w:val="000000" w:themeColor="text1"/>
                <w:spacing w:val="-2"/>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在水体清洗装贮过有毒污染物的车辆或者容器的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利用水体</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在江河中清洗的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在水库、湖泊、地下水中清洗的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在风景名胜区水体、重要渔业水体和其他具有特殊经济文化价值水体中清洗的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在生活饮用水水源保护区或准保护区内水体中清洗的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restart"/>
            <w:vAlign w:val="center"/>
          </w:tcPr>
          <w:p>
            <w:pPr>
              <w:jc w:val="center"/>
              <w:rPr>
                <w:rFonts w:ascii="Malgun Gothic"/>
                <w:color w:val="000000" w:themeColor="text1"/>
                <w:sz w:val="24"/>
              </w:rPr>
            </w:pPr>
            <w:r>
              <w:rPr>
                <w:rFonts w:ascii="仿宋" w:hAnsi="仿宋" w:eastAsia="仿宋" w:cs="仿宋"/>
                <w:color w:val="000000" w:themeColor="text1"/>
                <w:spacing w:val="-3"/>
                <w:sz w:val="24"/>
              </w:rPr>
              <w:t>违法频次</w:t>
            </w:r>
          </w:p>
        </w:tc>
        <w:tc>
          <w:tcPr>
            <w:tcW w:w="126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6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5"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2"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2"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left w:val="single" w:color="auto" w:sz="4" w:space="0"/>
            </w:tcBorders>
            <w:vAlign w:val="center"/>
          </w:tcPr>
          <w:p>
            <w:pPr>
              <w:jc w:val="center"/>
              <w:rPr>
                <w:rFonts w:ascii="仿宋" w:hAnsi="仿宋" w:eastAsia="仿宋" w:cs="仿宋"/>
                <w:color w:val="000000" w:themeColor="text1"/>
                <w:spacing w:val="-9"/>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left w:val="single" w:color="auto" w:sz="4" w:space="0"/>
            </w:tcBorders>
            <w:vAlign w:val="center"/>
          </w:tcPr>
          <w:p>
            <w:pPr>
              <w:jc w:val="center"/>
              <w:rPr>
                <w:rFonts w:ascii="仿宋" w:hAnsi="仿宋" w:eastAsia="仿宋" w:cs="仿宋"/>
                <w:color w:val="000000" w:themeColor="text1"/>
                <w:spacing w:val="-7"/>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restart"/>
            <w:tcBorders>
              <w:bottom w:val="nil"/>
            </w:tcBorders>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3"/>
                <w:sz w:val="24"/>
              </w:rPr>
              <w:t>整改情况</w:t>
            </w: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jc w:val="center"/>
              <w:rPr>
                <w:rFonts w:ascii="仿宋" w:hAnsi="仿宋" w:eastAsia="仿宋" w:cs="仿宋"/>
                <w:color w:val="000000" w:themeColor="text1"/>
                <w:spacing w:val="-11"/>
                <w:w w:val="98"/>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restart"/>
            <w:tcBorders>
              <w:bottom w:val="nil"/>
            </w:tcBorders>
            <w:vAlign w:val="center"/>
          </w:tcPr>
          <w:p>
            <w:pPr>
              <w:jc w:val="center"/>
              <w:rPr>
                <w:rFonts w:ascii="仿宋" w:hAnsi="仿宋" w:eastAsia="仿宋" w:cs="仿宋"/>
                <w:color w:val="000000" w:themeColor="text1"/>
                <w:spacing w:val="-5"/>
                <w:sz w:val="24"/>
              </w:rPr>
            </w:pPr>
            <w:r>
              <w:rPr>
                <w:rFonts w:ascii="仿宋" w:hAnsi="仿宋" w:eastAsia="仿宋" w:cs="仿宋"/>
                <w:color w:val="000000" w:themeColor="text1"/>
                <w:spacing w:val="-5"/>
                <w:sz w:val="24"/>
              </w:rPr>
              <w:t>配合调查</w:t>
            </w:r>
          </w:p>
          <w:p>
            <w:pPr>
              <w:jc w:val="center"/>
              <w:rPr>
                <w:rFonts w:ascii="仿宋" w:hAnsi="仿宋" w:eastAsia="仿宋" w:cs="仿宋"/>
                <w:color w:val="000000" w:themeColor="text1"/>
                <w:sz w:val="24"/>
              </w:rPr>
            </w:pPr>
            <w:r>
              <w:rPr>
                <w:rFonts w:ascii="仿宋" w:hAnsi="仿宋" w:eastAsia="仿宋" w:cs="仿宋"/>
                <w:color w:val="000000" w:themeColor="text1"/>
                <w:spacing w:val="-3"/>
                <w:sz w:val="24"/>
              </w:rPr>
              <w:t>取证情况</w:t>
            </w: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vAlign w:val="center"/>
          </w:tcPr>
          <w:p>
            <w:pPr>
              <w:jc w:val="center"/>
              <w:rPr>
                <w:rFonts w:ascii="仿宋" w:hAnsi="仿宋" w:eastAsia="仿宋" w:cs="仿宋"/>
                <w:color w:val="000000" w:themeColor="text1"/>
                <w:spacing w:val="-11"/>
                <w:w w:val="98"/>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restart"/>
            <w:tcBorders>
              <w:bottom w:val="nil"/>
            </w:tcBorders>
            <w:vAlign w:val="center"/>
          </w:tcPr>
          <w:p>
            <w:pPr>
              <w:jc w:val="center"/>
              <w:rPr>
                <w:rFonts w:ascii="仿宋" w:hAnsi="仿宋" w:eastAsia="仿宋" w:cs="仿宋"/>
                <w:color w:val="000000" w:themeColor="text1"/>
                <w:sz w:val="24"/>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vAlign w:val="center"/>
          </w:tcPr>
          <w:p>
            <w:pPr>
              <w:jc w:val="center"/>
              <w:rPr>
                <w:rFonts w:ascii="仿宋" w:hAnsi="仿宋" w:eastAsia="仿宋" w:cs="仿宋"/>
                <w:color w:val="000000" w:themeColor="text1"/>
                <w:spacing w:val="-2"/>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vAlign w:val="center"/>
          </w:tcPr>
          <w:p>
            <w:pPr>
              <w:jc w:val="center"/>
              <w:rPr>
                <w:rFonts w:ascii="仿宋" w:hAnsi="仿宋" w:eastAsia="仿宋" w:cs="仿宋"/>
                <w:color w:val="000000" w:themeColor="text1"/>
                <w:spacing w:val="-2"/>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 w:hRule="atLeast"/>
        </w:trPr>
        <w:tc>
          <w:tcPr>
            <w:tcW w:w="8599" w:type="dxa"/>
            <w:gridSpan w:val="7"/>
            <w:vAlign w:val="center"/>
          </w:tcPr>
          <w:p>
            <w:pPr>
              <w:rPr>
                <w:rFonts w:ascii="仿宋" w:hAnsi="仿宋" w:eastAsia="仿宋" w:cs="仿宋"/>
                <w:snapToGrid w:val="0"/>
                <w:color w:val="000000" w:themeColor="text1"/>
                <w:spacing w:val="-11"/>
                <w:w w:val="98"/>
                <w:sz w:val="24"/>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8599" w:type="dxa"/>
            <w:gridSpan w:val="7"/>
            <w:vAlign w:val="center"/>
          </w:tcPr>
          <w:p>
            <w:pPr>
              <w:rPr>
                <w:rFonts w:ascii="仿宋" w:hAnsi="仿宋" w:eastAsia="仿宋" w:cs="仿宋"/>
                <w:snapToGrid w:val="0"/>
                <w:color w:val="000000" w:themeColor="text1"/>
                <w:spacing w:val="-11"/>
                <w:w w:val="98"/>
                <w:sz w:val="24"/>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1.《中华人民共和国水污染防治法》第三十三条禁止向水体排放油类、酸液、碱液或者剧毒废液。禁止在水体清洗装贮过油类或者有毒污染物的车辆和容器。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在水体清洗装贮过油类、有毒污染物的车辆或者容器的；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03" w:name="_Toc20302"/>
      <w:bookmarkStart w:id="204" w:name="_Toc2899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53</w:t>
      </w:r>
      <w:r>
        <w:rPr>
          <w:rFonts w:hint="eastAsia" w:ascii="仿宋" w:hAnsi="仿宋" w:eastAsia="仿宋" w:cs="仿宋"/>
          <w:b/>
          <w:bCs/>
          <w:color w:val="000000" w:themeColor="text1"/>
          <w:kern w:val="0"/>
          <w:sz w:val="24"/>
          <w:lang w:val="zh-CN"/>
        </w:rPr>
        <w:t>向水体排放、倾倒工业废渣、城镇垃圾或者其他废弃物，或者在江河、湖泊、运河、渠道、水库最高水位线以下的滩地、岸坡堆放、存贮固体废弃物或者其他污染物的罚款幅度裁定</w:t>
      </w:r>
      <w:bookmarkEnd w:id="203"/>
      <w:bookmarkEnd w:id="204"/>
    </w:p>
    <w:tbl>
      <w:tblPr>
        <w:tblStyle w:val="15"/>
        <w:tblW w:w="8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6"/>
        <w:gridCol w:w="975"/>
        <w:gridCol w:w="465"/>
        <w:gridCol w:w="2220"/>
        <w:gridCol w:w="930"/>
        <w:gridCol w:w="1731"/>
        <w:gridCol w:w="752"/>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3" w:hRule="atLeast"/>
        </w:trPr>
        <w:tc>
          <w:tcPr>
            <w:tcW w:w="2626"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6333" w:type="dxa"/>
            <w:gridSpan w:val="5"/>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6" w:hRule="atLeast"/>
        </w:trPr>
        <w:tc>
          <w:tcPr>
            <w:tcW w:w="1186"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97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46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w:t>
            </w:r>
            <w:r>
              <w:rPr>
                <w:rFonts w:hint="eastAsia" w:ascii="仿宋" w:hAnsi="仿宋" w:eastAsia="仿宋" w:cs="仿宋"/>
                <w:color w:val="000000" w:themeColor="text1"/>
                <w:spacing w:val="-20"/>
                <w:sz w:val="18"/>
                <w:szCs w:val="18"/>
              </w:rPr>
              <w:t>比例</w:t>
            </w:r>
          </w:p>
        </w:tc>
        <w:tc>
          <w:tcPr>
            <w:tcW w:w="4881"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752"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70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restart"/>
            <w:vAlign w:val="center"/>
          </w:tcPr>
          <w:p>
            <w:pPr>
              <w:spacing w:before="42" w:line="184" w:lineRule="auto"/>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对环境</w:t>
            </w:r>
          </w:p>
          <w:p>
            <w:pPr>
              <w:spacing w:before="42"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影响</w:t>
            </w:r>
            <w:r>
              <w:rPr>
                <w:rFonts w:hint="eastAsia" w:ascii="仿宋" w:hAnsi="仿宋" w:eastAsia="仿宋" w:cs="仿宋"/>
                <w:color w:val="000000" w:themeColor="text1"/>
                <w:spacing w:val="-7"/>
                <w:sz w:val="18"/>
                <w:szCs w:val="18"/>
              </w:rPr>
              <w:t>程度</w:t>
            </w:r>
          </w:p>
        </w:tc>
        <w:tc>
          <w:tcPr>
            <w:tcW w:w="97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污染物类别</w:t>
            </w:r>
          </w:p>
        </w:tc>
        <w:tc>
          <w:tcPr>
            <w:tcW w:w="46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向水体排放、倾倒非危险废物的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spacing w:before="42" w:line="184" w:lineRule="auto"/>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spacing w:before="42" w:line="184" w:lineRule="auto"/>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向水体排放、倾倒危险废物的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在水位线以下的滩地和岸坡堆放、存贮固体废弃物和其他污染物的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向风景名胜区水体、重要渔业水体和其他具有特殊经济文化价值水体中排放的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tcBorders>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在江河、湖泊、运河、渠道、水库最高水位线以下的滩地、岸坡堆放、存贮固体废弃物或者其他污染物的</w:t>
            </w:r>
          </w:p>
        </w:tc>
        <w:tc>
          <w:tcPr>
            <w:tcW w:w="930" w:type="dxa"/>
            <w:vMerge w:val="restart"/>
            <w:tcBorders>
              <w:left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一般固体废物</w:t>
            </w:r>
          </w:p>
        </w:tc>
        <w:tc>
          <w:tcPr>
            <w:tcW w:w="173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731"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7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Pr>
          <w:p>
            <w:pPr>
              <w:jc w:val="center"/>
              <w:rPr>
                <w:rFonts w:ascii="仿宋" w:hAnsi="仿宋" w:eastAsia="仿宋" w:cs="仿宋"/>
                <w:color w:val="000000" w:themeColor="text1"/>
                <w:spacing w:val="-1"/>
                <w:sz w:val="18"/>
                <w:szCs w:val="18"/>
              </w:rPr>
            </w:pPr>
          </w:p>
        </w:tc>
        <w:tc>
          <w:tcPr>
            <w:tcW w:w="465" w:type="dxa"/>
            <w:vMerge w:val="continue"/>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工业固体废物</w:t>
            </w:r>
          </w:p>
        </w:tc>
        <w:tc>
          <w:tcPr>
            <w:tcW w:w="1731"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Pr>
          <w:p>
            <w:pPr>
              <w:jc w:val="center"/>
              <w:rPr>
                <w:rFonts w:ascii="仿宋" w:hAnsi="仿宋" w:eastAsia="仿宋" w:cs="仿宋"/>
                <w:color w:val="000000" w:themeColor="text1"/>
                <w:spacing w:val="-1"/>
                <w:sz w:val="18"/>
                <w:szCs w:val="18"/>
              </w:rPr>
            </w:pPr>
          </w:p>
        </w:tc>
        <w:tc>
          <w:tcPr>
            <w:tcW w:w="465" w:type="dxa"/>
            <w:vMerge w:val="continue"/>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731"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Pr>
          <w:p>
            <w:pPr>
              <w:jc w:val="center"/>
              <w:rPr>
                <w:rFonts w:ascii="仿宋" w:hAnsi="仿宋" w:eastAsia="仿宋" w:cs="仿宋"/>
                <w:color w:val="000000" w:themeColor="text1"/>
                <w:spacing w:val="-1"/>
                <w:sz w:val="18"/>
                <w:szCs w:val="18"/>
              </w:rPr>
            </w:pPr>
          </w:p>
        </w:tc>
        <w:tc>
          <w:tcPr>
            <w:tcW w:w="465" w:type="dxa"/>
            <w:vMerge w:val="continue"/>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7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tcBorders>
              <w:top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tcBorders>
              <w:top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tcBorders>
              <w:top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881" w:type="dxa"/>
            <w:gridSpan w:val="3"/>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vAlign w:val="center"/>
          </w:tcPr>
          <w:p>
            <w:pPr>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4881" w:type="dxa"/>
            <w:gridSpan w:val="3"/>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vAlign w:val="center"/>
          </w:tcPr>
          <w:p>
            <w:pPr>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4881" w:type="dxa"/>
            <w:gridSpan w:val="3"/>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vAlign w:val="center"/>
          </w:tcPr>
          <w:p>
            <w:pPr>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4881" w:type="dxa"/>
            <w:gridSpan w:val="3"/>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186" w:type="dxa"/>
            <w:vMerge w:val="continue"/>
            <w:tcBorders>
              <w:top w:val="nil"/>
              <w:bottom w:val="single" w:color="auto" w:sz="4" w:space="0"/>
            </w:tcBorders>
            <w:vAlign w:val="center"/>
          </w:tcPr>
          <w:p>
            <w:pPr>
              <w:jc w:val="center"/>
              <w:rPr>
                <w:rFonts w:ascii="仿宋" w:hAnsi="仿宋" w:eastAsia="仿宋" w:cs="仿宋"/>
                <w:color w:val="000000" w:themeColor="text1"/>
                <w:sz w:val="18"/>
                <w:szCs w:val="18"/>
              </w:rPr>
            </w:pPr>
          </w:p>
        </w:tc>
        <w:tc>
          <w:tcPr>
            <w:tcW w:w="97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4881" w:type="dxa"/>
            <w:gridSpan w:val="3"/>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8959" w:type="dxa"/>
            <w:gridSpan w:val="8"/>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8959" w:type="dxa"/>
            <w:gridSpan w:val="8"/>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1.《中华人民共和国水污染防治法》第三十七条禁止向水体排放、倾倒工业废渣、城镇垃圾和其他废弃物。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禁止将含有汞、镉、砷、铬、铅、氰化物、黄磷等的可溶性剧毒废渣向水体排放、倾倒或者直接埋入地下。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存放可溶性剧毒废渣的场所，应当采取防水、防渗漏、防流失的措施。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(四)向水体排放、倾倒工业废渣、城镇垃圾或者其他废弃物，或者在江河、湖泊、运河、渠道、水库最高水位线以下的滩地、岸坡堆放、存贮固体废弃物或者其他污染物的；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center"/>
        <w:rPr>
          <w:b/>
          <w:bCs/>
          <w:color w:val="000000" w:themeColor="text1"/>
        </w:rPr>
      </w:pPr>
    </w:p>
    <w:p>
      <w:pPr>
        <w:jc w:val="center"/>
        <w:rPr>
          <w:b/>
          <w:bCs/>
          <w:color w:val="000000" w:themeColor="text1"/>
        </w:rPr>
      </w:pPr>
    </w:p>
    <w:p>
      <w:pPr>
        <w:jc w:val="center"/>
        <w:rPr>
          <w:b/>
          <w:bCs/>
          <w:color w:val="000000" w:themeColor="text1"/>
        </w:rPr>
      </w:pPr>
    </w:p>
    <w:p>
      <w:pPr>
        <w:jc w:val="center"/>
        <w:rPr>
          <w:b/>
          <w:bCs/>
          <w:color w:val="000000" w:themeColor="text1"/>
        </w:rPr>
      </w:pPr>
    </w:p>
    <w:p>
      <w:pPr>
        <w:jc w:val="center"/>
        <w:rPr>
          <w:b/>
          <w:bCs/>
          <w:color w:val="000000" w:themeColor="text1"/>
        </w:rPr>
      </w:pPr>
    </w:p>
    <w:p>
      <w:pPr>
        <w:rPr>
          <w:b/>
          <w:bCs/>
          <w:color w:val="000000" w:themeColor="text1"/>
        </w:rPr>
      </w:pPr>
    </w:p>
    <w:p>
      <w:pPr>
        <w:jc w:val="center"/>
        <w:outlineLvl w:val="1"/>
        <w:rPr>
          <w:rFonts w:ascii="仿宋" w:hAnsi="仿宋" w:eastAsia="仿宋" w:cs="仿宋"/>
          <w:b/>
          <w:bCs/>
          <w:color w:val="000000" w:themeColor="text1"/>
          <w:kern w:val="0"/>
          <w:sz w:val="24"/>
          <w:lang w:val="zh-CN"/>
        </w:rPr>
      </w:pPr>
      <w:bookmarkStart w:id="205" w:name="_Toc189"/>
      <w:bookmarkStart w:id="206" w:name="_Toc1052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54</w:t>
      </w:r>
      <w:r>
        <w:rPr>
          <w:rFonts w:hint="eastAsia" w:ascii="仿宋" w:hAnsi="仿宋" w:eastAsia="仿宋" w:cs="仿宋"/>
          <w:b/>
          <w:bCs/>
          <w:color w:val="000000" w:themeColor="text1"/>
          <w:kern w:val="0"/>
          <w:sz w:val="24"/>
          <w:lang w:val="zh-CN"/>
        </w:rPr>
        <w:t>向水体排放、倾倒放射性固体废物或者含有高放射性、中放射性物质的废水的罚款幅度裁定</w:t>
      </w:r>
      <w:bookmarkEnd w:id="205"/>
      <w:bookmarkEnd w:id="206"/>
    </w:p>
    <w:tbl>
      <w:tblPr>
        <w:tblStyle w:val="15"/>
        <w:tblW w:w="8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478"/>
        <w:gridCol w:w="628"/>
        <w:gridCol w:w="1725"/>
        <w:gridCol w:w="1937"/>
        <w:gridCol w:w="914"/>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5" w:hRule="atLeast"/>
        </w:trPr>
        <w:tc>
          <w:tcPr>
            <w:tcW w:w="355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4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14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7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6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1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Malgun Gothic"/>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47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62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7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向水体排放、倾倒放射性固体废物的</w:t>
            </w:r>
          </w:p>
        </w:tc>
        <w:tc>
          <w:tcPr>
            <w:tcW w:w="1937"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向水体排放、倾倒含有中放射性废水的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向水体排放、倾倒含有高放射性废水的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bottom w:val="single" w:color="auto" w:sz="4" w:space="0"/>
              <w:right w:val="single" w:color="000000" w:sz="2" w:space="0"/>
            </w:tcBorders>
            <w:vAlign w:val="center"/>
          </w:tcPr>
          <w:p>
            <w:pPr>
              <w:jc w:val="left"/>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bottom w:val="single" w:color="auto" w:sz="4" w:space="0"/>
              <w:right w:val="single" w:color="000000" w:sz="2" w:space="0"/>
            </w:tcBorders>
            <w:vAlign w:val="center"/>
          </w:tcPr>
          <w:p>
            <w:pPr>
              <w:jc w:val="left"/>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auto" w:sz="4" w:space="0"/>
              <w:left w:val="single" w:color="auto" w:sz="4" w:space="0"/>
              <w:bottom w:val="single" w:color="000000" w:sz="2" w:space="0"/>
              <w:right w:val="single" w:color="000000" w:sz="2" w:space="0"/>
            </w:tcBorders>
            <w:vAlign w:val="center"/>
          </w:tcPr>
          <w:p>
            <w:pPr>
              <w:jc w:val="left"/>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jc w:val="center"/>
              <w:rPr>
                <w:rFonts w:ascii="Malgun Gothic"/>
                <w:color w:val="000000" w:themeColor="text1"/>
                <w:sz w:val="18"/>
                <w:szCs w:val="18"/>
              </w:rPr>
            </w:pPr>
          </w:p>
        </w:tc>
        <w:tc>
          <w:tcPr>
            <w:tcW w:w="147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62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67" w:type="dxa"/>
            <w:tcBorders>
              <w:top w:val="single" w:color="000000" w:sz="2" w:space="0"/>
              <w:left w:val="single" w:color="auto" w:sz="4" w:space="0"/>
              <w:bottom w:val="single" w:color="auto" w:sz="4" w:space="0"/>
              <w:right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jc w:val="center"/>
              <w:rPr>
                <w:rFonts w:ascii="Malgun Gothic"/>
                <w:color w:val="000000" w:themeColor="text1"/>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67" w:type="dxa"/>
            <w:tcBorders>
              <w:top w:val="single" w:color="auto" w:sz="4" w:space="0"/>
              <w:left w:val="single" w:color="auto" w:sz="4" w:space="0"/>
              <w:bottom w:val="single" w:color="auto" w:sz="4" w:space="0"/>
              <w:right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jc w:val="center"/>
              <w:rPr>
                <w:rFonts w:ascii="Malgun Gothic"/>
                <w:color w:val="000000" w:themeColor="text1"/>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top w:val="single" w:color="auto" w:sz="4" w:space="0"/>
              <w:left w:val="single" w:color="auto" w:sz="4" w:space="0"/>
              <w:bottom w:val="single" w:color="000000" w:sz="2" w:space="0"/>
              <w:right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67"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nil"/>
            </w:tcBorders>
          </w:tcPr>
          <w:p>
            <w:pPr>
              <w:jc w:val="center"/>
              <w:rPr>
                <w:rFonts w:ascii="仿宋" w:hAnsi="仿宋" w:eastAsia="仿宋" w:cs="仿宋"/>
                <w:color w:val="000000" w:themeColor="text1"/>
                <w:spacing w:val="-1"/>
                <w:sz w:val="18"/>
                <w:szCs w:val="18"/>
              </w:rPr>
            </w:pPr>
          </w:p>
        </w:tc>
        <w:tc>
          <w:tcPr>
            <w:tcW w:w="628" w:type="dxa"/>
            <w:vMerge w:val="continue"/>
            <w:tcBorders>
              <w:top w:val="nil"/>
            </w:tcBorders>
          </w:tcPr>
          <w:p>
            <w:pPr>
              <w:jc w:val="center"/>
              <w:rPr>
                <w:rFonts w:ascii="仿宋" w:hAnsi="仿宋" w:eastAsia="仿宋" w:cs="仿宋"/>
                <w:color w:val="000000" w:themeColor="text1"/>
                <w:spacing w:val="-1"/>
                <w:sz w:val="18"/>
                <w:szCs w:val="18"/>
              </w:rPr>
            </w:pPr>
          </w:p>
        </w:tc>
        <w:tc>
          <w:tcPr>
            <w:tcW w:w="17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1937"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Pr>
          <w:p>
            <w:pPr>
              <w:jc w:val="center"/>
              <w:rPr>
                <w:rFonts w:ascii="仿宋" w:hAnsi="仿宋" w:eastAsia="仿宋" w:cs="仿宋"/>
                <w:color w:val="000000" w:themeColor="text1"/>
                <w:spacing w:val="-1"/>
                <w:sz w:val="18"/>
                <w:szCs w:val="18"/>
              </w:rPr>
            </w:pPr>
          </w:p>
        </w:tc>
        <w:tc>
          <w:tcPr>
            <w:tcW w:w="628" w:type="dxa"/>
            <w:vMerge w:val="continue"/>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Pr>
          <w:p>
            <w:pPr>
              <w:jc w:val="center"/>
              <w:rPr>
                <w:rFonts w:ascii="仿宋" w:hAnsi="仿宋" w:eastAsia="仿宋" w:cs="仿宋"/>
                <w:color w:val="000000" w:themeColor="text1"/>
                <w:spacing w:val="-1"/>
                <w:sz w:val="18"/>
                <w:szCs w:val="18"/>
              </w:rPr>
            </w:pPr>
          </w:p>
        </w:tc>
        <w:tc>
          <w:tcPr>
            <w:tcW w:w="628" w:type="dxa"/>
            <w:vMerge w:val="continue"/>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62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2"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4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2"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4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2"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4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2"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2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4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4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2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4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36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36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366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5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47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 w:hRule="atLeast"/>
        </w:trPr>
        <w:tc>
          <w:tcPr>
            <w:tcW w:w="869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69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1.《中华人民共和国水污染防治法》第三十四条禁止向水体排放、倾倒放射性固体废物或者含有高放射性和中放射性物质的废水。</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向水体排放含低放射性物质的废水，应当符合国家有关放射性污染防治的规定和标准。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(五)向水体排放、倾倒放射性固体废物或者含有高放射性、中放射性物质的废水的；</w:t>
      </w:r>
    </w:p>
    <w:p>
      <w:pPr>
        <w:spacing w:before="73"/>
        <w:ind w:right="108" w:firstLine="420" w:firstLineChars="200"/>
        <w:rPr>
          <w:rFonts w:ascii="仿宋_GB2312" w:hAnsi="仿宋_GB2312" w:eastAsia="仿宋_GB2312" w:cs="仿宋_GB2312"/>
          <w:color w:val="000000" w:themeColor="text1"/>
          <w:szCs w:val="21"/>
        </w:rPr>
        <w:sectPr>
          <w:footerReference r:id="rId6" w:type="default"/>
          <w:pgSz w:w="11906" w:h="16839"/>
          <w:pgMar w:top="1431" w:right="1729" w:bottom="1148" w:left="1713" w:header="0" w:footer="1013" w:gutter="0"/>
          <w:cols w:space="720" w:num="1"/>
        </w:sectPr>
      </w:pPr>
      <w:r>
        <w:rPr>
          <w:rFonts w:hint="eastAsia" w:ascii="仿宋_GB2312" w:hAnsi="仿宋_GB2312" w:eastAsia="仿宋_GB2312" w:cs="仿宋_GB2312"/>
          <w:color w:val="000000" w:themeColor="text1"/>
          <w:szCs w:val="21"/>
        </w:rPr>
        <w:t>有前款第一项、第二项、第五项、第九项行为之一的，处10万元以上100万元以下的罚款；情节严重的，报经有批准权的人民政府批准，责令停业、关闭。</w:t>
      </w:r>
    </w:p>
    <w:p>
      <w:pPr>
        <w:jc w:val="center"/>
        <w:outlineLvl w:val="1"/>
        <w:rPr>
          <w:b/>
          <w:bCs/>
          <w:color w:val="000000" w:themeColor="text1"/>
          <w:sz w:val="24"/>
        </w:rPr>
      </w:pPr>
      <w:bookmarkStart w:id="207" w:name="_Toc2962"/>
      <w:bookmarkStart w:id="208" w:name="_Toc941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55</w:t>
      </w:r>
      <w:r>
        <w:rPr>
          <w:rFonts w:hint="eastAsia" w:ascii="仿宋" w:hAnsi="仿宋" w:eastAsia="仿宋" w:cs="仿宋"/>
          <w:b/>
          <w:bCs/>
          <w:color w:val="000000" w:themeColor="text1"/>
          <w:kern w:val="0"/>
          <w:sz w:val="24"/>
          <w:lang w:val="zh-CN"/>
        </w:rPr>
        <w:t>违反国家有关规定或者标准，向水体排放含低放射性物质的废水、热废水或者含病原体的污水的罚款幅度裁定</w:t>
      </w:r>
      <w:bookmarkEnd w:id="207"/>
      <w:bookmarkEnd w:id="208"/>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9"/>
        <w:gridCol w:w="1775"/>
        <w:gridCol w:w="689"/>
        <w:gridCol w:w="1645"/>
        <w:gridCol w:w="1730"/>
        <w:gridCol w:w="604"/>
        <w:gridCol w:w="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3" w:hRule="atLeast"/>
        </w:trPr>
        <w:tc>
          <w:tcPr>
            <w:tcW w:w="3903"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56"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43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0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restart"/>
            <w:vAlign w:val="center"/>
          </w:tcPr>
          <w:p>
            <w:pPr>
              <w:ind w:right="11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向水体排放含低放射性物质的废水、热废水的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ind w:right="119"/>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ind w:right="119"/>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向水体排放含病原体的污水的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68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向风景名胜区水体、重要渔业水体和其他具有特殊经济文化价值水体中排放的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3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3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3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77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3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7" w:type="dxa"/>
            <w:tcBorders>
              <w:top w:val="single" w:color="auto" w:sz="4" w:space="0"/>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845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845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1.《中华人民共和国水污染防治法》第三十四条禁止向水体排放、倾倒放射性固体废物或者含有高放射性和中放射性物质的废水。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向水体排放含低放射性物质的废水，应当符合国家有关放射性污染防治的规定和标准。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(六)违反国家有关规定或者标准，向水体排放含低放射性物质的废水、热废水或者含病原体的污水的；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center"/>
        <w:rPr>
          <w:b/>
          <w:bCs/>
          <w:color w:val="000000" w:themeColor="text1"/>
        </w:rPr>
      </w:pPr>
    </w:p>
    <w:p>
      <w:pPr>
        <w:jc w:val="center"/>
        <w:outlineLvl w:val="1"/>
        <w:rPr>
          <w:b/>
          <w:bCs/>
          <w:color w:val="000000" w:themeColor="text1"/>
          <w:sz w:val="24"/>
        </w:rPr>
      </w:pPr>
      <w:bookmarkStart w:id="209" w:name="_Toc27172"/>
      <w:bookmarkStart w:id="210" w:name="_Toc1381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56</w:t>
      </w:r>
      <w:r>
        <w:rPr>
          <w:rFonts w:hint="eastAsia" w:ascii="仿宋" w:hAnsi="仿宋" w:eastAsia="仿宋" w:cs="仿宋"/>
          <w:b/>
          <w:bCs/>
          <w:color w:val="000000" w:themeColor="text1"/>
          <w:kern w:val="0"/>
          <w:sz w:val="24"/>
          <w:lang w:val="zh-CN"/>
        </w:rPr>
        <w:t>未采取防渗漏等措施，或者未建设地下水水质监测井进行监测的罚款幅度裁定</w:t>
      </w:r>
      <w:bookmarkEnd w:id="209"/>
      <w:bookmarkEnd w:id="210"/>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9"/>
        <w:gridCol w:w="1799"/>
        <w:gridCol w:w="859"/>
        <w:gridCol w:w="1848"/>
        <w:gridCol w:w="1187"/>
        <w:gridCol w:w="755"/>
        <w:gridCol w:w="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3" w:hRule="atLeast"/>
        </w:trPr>
        <w:tc>
          <w:tcPr>
            <w:tcW w:w="4097" w:type="dxa"/>
            <w:gridSpan w:val="3"/>
            <w:vAlign w:val="center"/>
          </w:tcPr>
          <w:p>
            <w:pPr>
              <w:ind w:right="119"/>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裁量要素</w:t>
            </w:r>
          </w:p>
        </w:tc>
        <w:tc>
          <w:tcPr>
            <w:tcW w:w="4402" w:type="dxa"/>
            <w:gridSpan w:val="4"/>
            <w:vAlign w:val="center"/>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1439" w:type="dxa"/>
            <w:vAlign w:val="center"/>
          </w:tcPr>
          <w:p>
            <w:pPr>
              <w:ind w:right="119"/>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79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85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比例</w:t>
            </w:r>
          </w:p>
        </w:tc>
        <w:tc>
          <w:tcPr>
            <w:tcW w:w="303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1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未建设地下水水质监测井进行监测的</w:t>
            </w:r>
          </w:p>
        </w:tc>
        <w:tc>
          <w:tcPr>
            <w:tcW w:w="11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未采取防渗漏等措施的</w:t>
            </w:r>
          </w:p>
        </w:tc>
        <w:tc>
          <w:tcPr>
            <w:tcW w:w="11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vAlign w:val="center"/>
          </w:tcPr>
          <w:p>
            <w:pPr>
              <w:jc w:val="center"/>
              <w:rPr>
                <w:rFonts w:ascii="Malgun Gothic"/>
                <w:color w:val="000000" w:themeColor="text1"/>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7"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3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2"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303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303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2"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3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2"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9" w:type="dxa"/>
            <w:vMerge w:val="continue"/>
            <w:vAlign w:val="center"/>
          </w:tcPr>
          <w:p>
            <w:pPr>
              <w:jc w:val="center"/>
              <w:rPr>
                <w:rFonts w:ascii="Malgun Gothic"/>
                <w:color w:val="000000" w:themeColor="text1"/>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303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1" w:hRule="atLeast"/>
        </w:trPr>
        <w:tc>
          <w:tcPr>
            <w:tcW w:w="849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1" w:hRule="atLeast"/>
        </w:trPr>
        <w:tc>
          <w:tcPr>
            <w:tcW w:w="849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一款化学品生产企业以及工业集聚区、矿山开采区、尾矿库、危险废物处置场、垃圾填埋场等的运营、管理单位，应当采取防渗漏等措施，并建设地下水水质监测井进行监测，防止地下水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(七）未采取防渗漏等措施，或者未建设地下水水质监测井进行监测的；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jc w:val="center"/>
        <w:outlineLvl w:val="1"/>
        <w:rPr>
          <w:rFonts w:ascii="仿宋" w:hAnsi="仿宋" w:eastAsia="仿宋" w:cs="仿宋"/>
          <w:b/>
          <w:bCs/>
          <w:color w:val="000000" w:themeColor="text1"/>
          <w:kern w:val="0"/>
          <w:sz w:val="24"/>
          <w:lang w:val="zh-CN"/>
        </w:rPr>
      </w:pPr>
      <w:bookmarkStart w:id="211" w:name="_Toc12899"/>
      <w:bookmarkStart w:id="212" w:name="_Toc1391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57</w:t>
      </w:r>
      <w:r>
        <w:rPr>
          <w:rFonts w:hint="eastAsia" w:ascii="仿宋" w:hAnsi="仿宋" w:eastAsia="仿宋" w:cs="仿宋"/>
          <w:b/>
          <w:bCs/>
          <w:color w:val="000000" w:themeColor="text1"/>
          <w:kern w:val="0"/>
          <w:sz w:val="24"/>
          <w:lang w:val="zh-CN"/>
        </w:rPr>
        <w:t>加油站等的地下油罐未使用双层罐或者采取建造防渗池等其他有效措施，或者未进行防渗漏监测的罚款幅度裁定</w:t>
      </w:r>
      <w:bookmarkEnd w:id="211"/>
      <w:bookmarkEnd w:id="212"/>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72"/>
        <w:gridCol w:w="678"/>
        <w:gridCol w:w="1492"/>
        <w:gridCol w:w="1725"/>
        <w:gridCol w:w="556"/>
        <w:gridCol w:w="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408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7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1437" w:type="dxa"/>
          </w:tcPr>
          <w:p>
            <w:pPr>
              <w:spacing w:before="197"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8"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17"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9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8" w:type="dxa"/>
            <w:vMerge w:val="restart"/>
            <w:tcBorders>
              <w:bottom w:val="nil"/>
            </w:tcBorders>
          </w:tcPr>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9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未进行防渗漏监测的</w:t>
            </w:r>
          </w:p>
        </w:tc>
        <w:tc>
          <w:tcPr>
            <w:tcW w:w="172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5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vAlign w:val="center"/>
          </w:tcPr>
          <w:p>
            <w:pPr>
              <w:jc w:val="center"/>
              <w:rPr>
                <w:rFonts w:ascii="仿宋" w:hAnsi="仿宋" w:eastAsia="仿宋" w:cs="仿宋"/>
                <w:color w:val="000000" w:themeColor="text1"/>
                <w:spacing w:val="-2"/>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tcPr>
          <w:p>
            <w:pPr>
              <w:jc w:val="center"/>
              <w:rPr>
                <w:rFonts w:ascii="仿宋" w:hAnsi="仿宋" w:eastAsia="仿宋" w:cs="仿宋"/>
                <w:color w:val="000000" w:themeColor="text1"/>
                <w:spacing w:val="-1"/>
                <w:sz w:val="18"/>
                <w:szCs w:val="18"/>
              </w:rPr>
            </w:pPr>
          </w:p>
        </w:tc>
        <w:tc>
          <w:tcPr>
            <w:tcW w:w="149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2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5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vAlign w:val="center"/>
          </w:tcPr>
          <w:p>
            <w:pPr>
              <w:jc w:val="center"/>
              <w:rPr>
                <w:rFonts w:ascii="仿宋" w:hAnsi="仿宋" w:eastAsia="仿宋" w:cs="仿宋"/>
                <w:color w:val="000000" w:themeColor="text1"/>
                <w:spacing w:val="-2"/>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tcPr>
          <w:p>
            <w:pPr>
              <w:jc w:val="center"/>
              <w:rPr>
                <w:rFonts w:ascii="仿宋" w:hAnsi="仿宋" w:eastAsia="仿宋" w:cs="仿宋"/>
                <w:color w:val="000000" w:themeColor="text1"/>
                <w:spacing w:val="-1"/>
                <w:sz w:val="18"/>
                <w:szCs w:val="18"/>
              </w:rPr>
            </w:pPr>
          </w:p>
        </w:tc>
        <w:tc>
          <w:tcPr>
            <w:tcW w:w="149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2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5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tcBorders>
          </w:tcPr>
          <w:p>
            <w:pPr>
              <w:jc w:val="center"/>
              <w:rPr>
                <w:rFonts w:ascii="仿宋" w:hAnsi="仿宋" w:eastAsia="仿宋" w:cs="仿宋"/>
                <w:color w:val="000000" w:themeColor="text1"/>
                <w:spacing w:val="-1"/>
                <w:sz w:val="18"/>
                <w:szCs w:val="18"/>
              </w:rPr>
            </w:pPr>
          </w:p>
        </w:tc>
        <w:tc>
          <w:tcPr>
            <w:tcW w:w="149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未使用双层罐或者采取建造防渗池等其他有效措施的</w:t>
            </w:r>
          </w:p>
        </w:tc>
        <w:tc>
          <w:tcPr>
            <w:tcW w:w="172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5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49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vAlign w:val="center"/>
          </w:tcPr>
          <w:p>
            <w:pPr>
              <w:jc w:val="center"/>
              <w:rPr>
                <w:rFonts w:ascii="Malgun Gothic"/>
                <w:color w:val="000000" w:themeColor="text1"/>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tcPr>
          <w:p>
            <w:pPr>
              <w:jc w:val="center"/>
              <w:rPr>
                <w:rFonts w:ascii="仿宋" w:hAnsi="仿宋" w:eastAsia="仿宋" w:cs="仿宋"/>
                <w:color w:val="000000" w:themeColor="text1"/>
                <w:spacing w:val="-1"/>
                <w:sz w:val="18"/>
                <w:szCs w:val="18"/>
              </w:rPr>
            </w:pPr>
          </w:p>
        </w:tc>
        <w:tc>
          <w:tcPr>
            <w:tcW w:w="149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2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5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4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vAlign w:val="center"/>
          </w:tcPr>
          <w:p>
            <w:pPr>
              <w:jc w:val="center"/>
              <w:rPr>
                <w:rFonts w:ascii="Malgun Gothic"/>
                <w:color w:val="000000" w:themeColor="text1"/>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tcPr>
          <w:p>
            <w:pPr>
              <w:jc w:val="center"/>
              <w:rPr>
                <w:rFonts w:ascii="仿宋" w:hAnsi="仿宋" w:eastAsia="仿宋" w:cs="仿宋"/>
                <w:color w:val="000000" w:themeColor="text1"/>
                <w:spacing w:val="-1"/>
                <w:sz w:val="18"/>
                <w:szCs w:val="18"/>
              </w:rPr>
            </w:pPr>
          </w:p>
        </w:tc>
        <w:tc>
          <w:tcPr>
            <w:tcW w:w="149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2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5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9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tcBorders>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78" w:type="dxa"/>
            <w:vMerge w:val="restart"/>
            <w:tcBorders>
              <w:bottom w:val="nil"/>
            </w:tcBorders>
          </w:tcPr>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tcBorders>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vAlign w:val="center"/>
          </w:tcPr>
          <w:p>
            <w:pPr>
              <w:jc w:val="center"/>
              <w:rPr>
                <w:rFonts w:ascii="仿宋" w:hAnsi="仿宋" w:eastAsia="仿宋" w:cs="仿宋"/>
                <w:color w:val="000000" w:themeColor="text1"/>
                <w:spacing w:val="-2"/>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vAlign w:val="center"/>
          </w:tcPr>
          <w:p>
            <w:pPr>
              <w:jc w:val="center"/>
              <w:rPr>
                <w:rFonts w:ascii="仿宋" w:hAnsi="仿宋" w:eastAsia="仿宋" w:cs="仿宋"/>
                <w:color w:val="000000" w:themeColor="text1"/>
                <w:spacing w:val="-2"/>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9"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9"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7" w:type="dxa"/>
            <w:vMerge w:val="continue"/>
            <w:vAlign w:val="center"/>
          </w:tcPr>
          <w:p>
            <w:pPr>
              <w:jc w:val="center"/>
              <w:rPr>
                <w:rFonts w:ascii="Malgun Gothic"/>
                <w:color w:val="000000" w:themeColor="text1"/>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835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35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1.《中华人民共和国水污染防治法》第四十条第二款加油站等的地下油罐应当使用双层罐或者采取建造防渗池等其他有效措施，并进行防渗漏监测，防止地下水污染。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(八)加油站等的地下油罐未使用双层罐或者采取建造防渗池等其他有效措施，或者未进行防渗漏监测的；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b/>
          <w:bCs/>
          <w:color w:val="000000" w:themeColor="text1"/>
          <w:sz w:val="24"/>
        </w:rPr>
      </w:pPr>
      <w:bookmarkStart w:id="213" w:name="_Toc10929"/>
      <w:bookmarkStart w:id="214" w:name="_Toc1420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58</w:t>
      </w:r>
      <w:r>
        <w:rPr>
          <w:rFonts w:hint="eastAsia" w:ascii="仿宋" w:hAnsi="仿宋" w:eastAsia="仿宋" w:cs="仿宋"/>
          <w:b/>
          <w:bCs/>
          <w:color w:val="000000" w:themeColor="text1"/>
          <w:kern w:val="0"/>
          <w:sz w:val="24"/>
          <w:lang w:val="zh-CN"/>
        </w:rPr>
        <w:t>未按照规定采取防护性措施，或者利用无防渗漏措施的沟渠、坑塘等输送或者存贮含有毒污染物的废水、含病原体的污水或者其他废弃物的罚款幅度裁定</w:t>
      </w:r>
      <w:bookmarkEnd w:id="213"/>
      <w:bookmarkEnd w:id="214"/>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610"/>
        <w:gridCol w:w="1066"/>
        <w:gridCol w:w="1586"/>
        <w:gridCol w:w="1662"/>
        <w:gridCol w:w="649"/>
        <w:gridCol w:w="5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 w:hRule="atLeast"/>
        </w:trPr>
        <w:tc>
          <w:tcPr>
            <w:tcW w:w="412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9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14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1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6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24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4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96"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61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6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8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未按照规定采取防护性措施的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4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9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4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利用无防渗漏措施的沟渠、坑塘等存贮含有毒污染物的废水、含病原体的污水或者其他废弃物的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4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9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4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61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8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利用无防渗漏措施的沟渠、坑塘等输送含有毒污染物的废水、含病原体的污水或者其他废弃物的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4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9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continue"/>
            <w:vAlign w:val="center"/>
          </w:tcPr>
          <w:p>
            <w:pPr>
              <w:jc w:val="center"/>
              <w:rPr>
                <w:rFonts w:ascii="Malgun Gothic"/>
                <w:color w:val="000000" w:themeColor="text1"/>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0" w:type="dxa"/>
            <w:vMerge w:val="continue"/>
            <w:vAlign w:val="center"/>
          </w:tcPr>
          <w:p>
            <w:pPr>
              <w:jc w:val="center"/>
              <w:rPr>
                <w:rFonts w:ascii="Malgun Gothic"/>
                <w:color w:val="000000" w:themeColor="text1"/>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4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9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1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6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61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10"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06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tcPr>
          <w:p>
            <w:pPr>
              <w:rPr>
                <w:rFonts w:ascii="Malgun Gothic"/>
                <w:color w:val="000000" w:themeColor="text1"/>
                <w:sz w:val="18"/>
                <w:szCs w:val="18"/>
              </w:rPr>
            </w:pPr>
          </w:p>
        </w:tc>
        <w:tc>
          <w:tcPr>
            <w:tcW w:w="1610" w:type="dxa"/>
            <w:vMerge w:val="continue"/>
          </w:tcPr>
          <w:p>
            <w:pPr>
              <w:jc w:val="center"/>
              <w:rPr>
                <w:rFonts w:ascii="仿宋" w:hAnsi="仿宋" w:eastAsia="仿宋" w:cs="仿宋"/>
                <w:color w:val="000000" w:themeColor="text1"/>
                <w:spacing w:val="-1"/>
                <w:sz w:val="18"/>
                <w:szCs w:val="18"/>
              </w:rPr>
            </w:pPr>
          </w:p>
        </w:tc>
        <w:tc>
          <w:tcPr>
            <w:tcW w:w="1066" w:type="dxa"/>
            <w:vMerge w:val="continue"/>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tcPr>
          <w:p>
            <w:pPr>
              <w:rPr>
                <w:rFonts w:ascii="Malgun Gothic"/>
                <w:color w:val="000000" w:themeColor="text1"/>
                <w:sz w:val="18"/>
                <w:szCs w:val="18"/>
              </w:rPr>
            </w:pPr>
          </w:p>
        </w:tc>
        <w:tc>
          <w:tcPr>
            <w:tcW w:w="1610" w:type="dxa"/>
            <w:vMerge w:val="continue"/>
          </w:tcPr>
          <w:p>
            <w:pPr>
              <w:jc w:val="center"/>
              <w:rPr>
                <w:rFonts w:ascii="仿宋" w:hAnsi="仿宋" w:eastAsia="仿宋" w:cs="仿宋"/>
                <w:color w:val="000000" w:themeColor="text1"/>
                <w:spacing w:val="-1"/>
                <w:sz w:val="18"/>
                <w:szCs w:val="18"/>
              </w:rPr>
            </w:pPr>
          </w:p>
        </w:tc>
        <w:tc>
          <w:tcPr>
            <w:tcW w:w="1066" w:type="dxa"/>
            <w:vMerge w:val="continue"/>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61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06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61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1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6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4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4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vAlign w:val="center"/>
          </w:tcPr>
          <w:p>
            <w:pPr>
              <w:jc w:val="center"/>
              <w:rPr>
                <w:rFonts w:ascii="仿宋" w:hAnsi="仿宋" w:eastAsia="仿宋" w:cs="仿宋"/>
                <w:color w:val="000000" w:themeColor="text1"/>
                <w:spacing w:val="-7"/>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324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vAlign w:val="center"/>
          </w:tcPr>
          <w:p>
            <w:pPr>
              <w:jc w:val="center"/>
              <w:rPr>
                <w:rFonts w:ascii="仿宋" w:hAnsi="仿宋" w:eastAsia="仿宋" w:cs="仿宋"/>
                <w:color w:val="000000" w:themeColor="text1"/>
                <w:spacing w:val="-7"/>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324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vAlign w:val="center"/>
          </w:tcPr>
          <w:p>
            <w:pPr>
              <w:jc w:val="center"/>
              <w:rPr>
                <w:rFonts w:ascii="仿宋" w:hAnsi="仿宋" w:eastAsia="仿宋" w:cs="仿宋"/>
                <w:color w:val="000000" w:themeColor="text1"/>
                <w:spacing w:val="-7"/>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3248"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4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6"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61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6"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861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0" w:hRule="atLeast"/>
        </w:trPr>
        <w:tc>
          <w:tcPr>
            <w:tcW w:w="861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1.《中华人民共和国水污染防治法》第四十条第三款禁止利用无防渗漏措施的沟渠、坑塘等输送或者存贮含有毒污染物的废水、含病原体的污水和其他废弃物。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(九)未按照规定采取防护性措施，或者利用无防渗漏措施的沟渠、坑塘等输送或者存贮含有毒污染物的废水、含病原体的污水或者其他废弃物的。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有前款第一项、第二项、第五项、第九项行为之一的，处10万元以上100万元以下的罚款；情节严重的，报经有批准权的人民政府批准，责令停业、关闭。</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b/>
          <w:bCs/>
          <w:color w:val="000000" w:themeColor="text1"/>
          <w:sz w:val="24"/>
        </w:rPr>
      </w:pPr>
      <w:bookmarkStart w:id="215" w:name="_Toc12657"/>
      <w:bookmarkStart w:id="216" w:name="_Toc3096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59</w:t>
      </w:r>
      <w:r>
        <w:rPr>
          <w:rFonts w:hint="eastAsia" w:ascii="仿宋" w:hAnsi="仿宋" w:eastAsia="仿宋" w:cs="仿宋"/>
          <w:b/>
          <w:bCs/>
          <w:color w:val="000000" w:themeColor="text1"/>
          <w:kern w:val="0"/>
          <w:sz w:val="24"/>
          <w:lang w:val="zh-CN"/>
        </w:rPr>
        <w:t>(一)在饮用水水源一级保护区内新建、改建、扩建与供水设施和保护水源无关的建设项目的；(二)在饮用水水源二级保护区内新、改建、扩建排放污染物的建设项目的；(三)在饮用水水源准保护区内新建、扩建对水体污染严重的建设项目，或者改建建设项目增加排污量的罚款幅度裁定</w:t>
      </w:r>
      <w:bookmarkEnd w:id="215"/>
      <w:bookmarkEnd w:id="216"/>
    </w:p>
    <w:tbl>
      <w:tblPr>
        <w:tblStyle w:val="15"/>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321"/>
        <w:gridCol w:w="656"/>
        <w:gridCol w:w="2812"/>
        <w:gridCol w:w="1111"/>
        <w:gridCol w:w="758"/>
        <w:gridCol w:w="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2" w:hRule="atLeast"/>
        </w:trPr>
        <w:tc>
          <w:tcPr>
            <w:tcW w:w="3422"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337"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144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321"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656" w:type="dxa"/>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923"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75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65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restart"/>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程度</w:t>
            </w:r>
          </w:p>
        </w:tc>
        <w:tc>
          <w:tcPr>
            <w:tcW w:w="132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5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8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在饮用水水源准保护区内新建、扩建对水体污染严重的建设项目，或者改建建设项目增加排污量的</w:t>
            </w:r>
          </w:p>
        </w:tc>
        <w:tc>
          <w:tcPr>
            <w:tcW w:w="11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pacing w:val="-7"/>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pacing w:val="-7"/>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在饮用水水源二级保护区内新建、改建、扩建排放污染物的建设项目的</w:t>
            </w:r>
          </w:p>
        </w:tc>
        <w:tc>
          <w:tcPr>
            <w:tcW w:w="11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在饮用水水源一级保护区内新建、改建、扩建与供水设施和保护水源无关的建设项目的</w:t>
            </w:r>
          </w:p>
        </w:tc>
        <w:tc>
          <w:tcPr>
            <w:tcW w:w="11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32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tcBorders>
              <w:top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32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tcBorders>
              <w:top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32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tcBorders>
              <w:top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2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pacing w:val="-2"/>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392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pacing w:val="-2"/>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392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vAlign w:val="center"/>
          </w:tcPr>
          <w:p>
            <w:pPr>
              <w:jc w:val="center"/>
              <w:rPr>
                <w:rFonts w:ascii="仿宋" w:hAnsi="仿宋" w:eastAsia="仿宋" w:cs="仿宋"/>
                <w:color w:val="000000" w:themeColor="text1"/>
                <w:spacing w:val="-2"/>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392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6"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5" w:type="dxa"/>
            <w:vMerge w:val="continue"/>
            <w:tcBorders>
              <w:top w:val="nil"/>
              <w:bottom w:val="single" w:color="auto" w:sz="4" w:space="0"/>
            </w:tcBorders>
            <w:vAlign w:val="center"/>
          </w:tcPr>
          <w:p>
            <w:pPr>
              <w:jc w:val="center"/>
              <w:rPr>
                <w:rFonts w:ascii="仿宋" w:hAnsi="仿宋" w:eastAsia="仿宋" w:cs="仿宋"/>
                <w:color w:val="000000" w:themeColor="text1"/>
                <w:sz w:val="18"/>
                <w:szCs w:val="18"/>
              </w:rPr>
            </w:pPr>
          </w:p>
        </w:tc>
        <w:tc>
          <w:tcPr>
            <w:tcW w:w="1321"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6"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875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875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六十五条禁止在饮用水水源一级保护区内新建、改建、扩建与供水设施和保护水源无关的建设项目；已建成的与供水设施和保护水源无关的建设项目，由县级以上人民政府责令拆除或者关闭。禁止在饮用水水源一级保护区内从事网箱养殖、旅游、游泳、垂钓或者其他可能污染饮用水水体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第六十六条禁止在饮用水水源二级保护区内新建、改建、扩建排放污染物的建设项目；已建成的排放污染物的建设项目，由县级以上人民政府责令拆除或者关闭。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在饮用水水源二级保护区内从事网箱养殖、旅游等活动的，应当按照规定采取措施，防止污染饮用水水体。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第六十七条禁止在饮用水水源准保护区内新建、扩建对水体污染严重的建设项目；改建建设项目，不得增加排污量。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九十一条第一款有下列行为之一的，由县级以上地方人民政府环境保护主管部门责令停止违法行为，处10万元以上50万元以下的罚款；并报经有批准权的人民政府批准，责令拆除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(一)在饮用水水源一级保护区内新建、改建、扩建与供水设施和保护水源无关的建设项目的；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(二)在饮用水水源二级保护区内新建、改建、扩建排放污染物的建设项目的；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(三)在饮用水水源准保护区内新建、扩建对水体污染严重的建设项目，或者改建建设项目增加排污量的。</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17" w:name="_Toc32377"/>
      <w:bookmarkStart w:id="218" w:name="_Toc1069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60</w:t>
      </w:r>
      <w:r>
        <w:rPr>
          <w:rFonts w:hint="eastAsia" w:ascii="仿宋" w:hAnsi="仿宋" w:eastAsia="仿宋" w:cs="仿宋"/>
          <w:b/>
          <w:bCs/>
          <w:color w:val="000000" w:themeColor="text1"/>
          <w:kern w:val="0"/>
          <w:sz w:val="24"/>
          <w:lang w:val="zh-CN"/>
        </w:rPr>
        <w:t>在饮用水水源一级保护区内从事网箱养殖或者组织进行旅游、垂钓或者其他可能污染饮用水水体的活动的；个人在饮用水水源一级保护区内游泳、垂钓或者从事其他可能污染饮用水水体的活动的罚款幅度裁定</w:t>
      </w:r>
      <w:bookmarkEnd w:id="217"/>
      <w:bookmarkEnd w:id="218"/>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9"/>
        <w:gridCol w:w="2003"/>
        <w:gridCol w:w="690"/>
        <w:gridCol w:w="1646"/>
        <w:gridCol w:w="1622"/>
        <w:gridCol w:w="676"/>
        <w:gridCol w:w="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41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6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5" w:hRule="atLeast"/>
        </w:trPr>
        <w:tc>
          <w:tcPr>
            <w:tcW w:w="145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9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6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7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6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垂钓或从事其他可能污染饮用水水体的活动的</w:t>
            </w:r>
          </w:p>
        </w:tc>
        <w:tc>
          <w:tcPr>
            <w:tcW w:w="16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个人</w:t>
            </w:r>
          </w:p>
        </w:tc>
        <w:tc>
          <w:tcPr>
            <w:tcW w:w="6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vAlign w:val="center"/>
          </w:tcPr>
          <w:p>
            <w:pPr>
              <w:jc w:val="center"/>
              <w:rPr>
                <w:rFonts w:ascii="仿宋" w:hAnsi="仿宋" w:eastAsia="仿宋" w:cs="仿宋"/>
                <w:color w:val="000000" w:themeColor="text1"/>
                <w:spacing w:val="-7"/>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其他生产经营者</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2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vAlign w:val="center"/>
          </w:tcPr>
          <w:p>
            <w:pPr>
              <w:jc w:val="center"/>
              <w:rPr>
                <w:rFonts w:ascii="仿宋" w:hAnsi="仿宋" w:eastAsia="仿宋" w:cs="仿宋"/>
                <w:color w:val="000000" w:themeColor="text1"/>
                <w:spacing w:val="-7"/>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w:t>
            </w:r>
          </w:p>
        </w:tc>
        <w:tc>
          <w:tcPr>
            <w:tcW w:w="6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组织旅游的</w:t>
            </w:r>
          </w:p>
        </w:tc>
        <w:tc>
          <w:tcPr>
            <w:tcW w:w="16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个人</w:t>
            </w:r>
          </w:p>
        </w:tc>
        <w:tc>
          <w:tcPr>
            <w:tcW w:w="6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其他生产经营者</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2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w:t>
            </w:r>
          </w:p>
        </w:tc>
        <w:tc>
          <w:tcPr>
            <w:tcW w:w="6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网箱养殖的</w:t>
            </w:r>
          </w:p>
        </w:tc>
        <w:tc>
          <w:tcPr>
            <w:tcW w:w="16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个人</w:t>
            </w:r>
          </w:p>
        </w:tc>
        <w:tc>
          <w:tcPr>
            <w:tcW w:w="6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2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其他生产经营者</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vAlign w:val="center"/>
          </w:tcPr>
          <w:p>
            <w:pPr>
              <w:jc w:val="center"/>
              <w:rPr>
                <w:rFonts w:ascii="Malgun Gothic"/>
                <w:color w:val="000000" w:themeColor="text1"/>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w:t>
            </w:r>
          </w:p>
        </w:tc>
        <w:tc>
          <w:tcPr>
            <w:tcW w:w="6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32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32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3268"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200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3"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 w:hRule="atLeast"/>
        </w:trPr>
        <w:tc>
          <w:tcPr>
            <w:tcW w:w="861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61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1.《中华人民共和国水污染防治法》第六十五条第二款禁止在饮用水水源一级保护区内从事网箱养殖、旅游、游泳、垂钓或者其他可能污染饮用水水体的活动。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九十一条第二款在饮用水水源一级保护区内从事网箱养殖或者组织进行旅游、垂钓或者其他可能污染饮用水水体的活动的，由县级以上地方人民政府环境保护主管部门责令停止违法行为，处2万元以上10万元以下的罚款。个人在饮用水水源一级保护区内游泳、垂钓或者从事其他可能污染饮用水水体的活动的，由县级以上地方人民政府环境保护主管部门责令停止违法行为，可以处五百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19" w:name="_Toc11326"/>
      <w:bookmarkStart w:id="220" w:name="_Toc888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61</w:t>
      </w:r>
      <w:r>
        <w:rPr>
          <w:rFonts w:hint="eastAsia" w:ascii="仿宋" w:hAnsi="仿宋" w:eastAsia="仿宋" w:cs="仿宋"/>
          <w:b/>
          <w:bCs/>
          <w:color w:val="000000" w:themeColor="text1"/>
          <w:kern w:val="0"/>
          <w:sz w:val="24"/>
          <w:lang w:val="zh-CN"/>
        </w:rPr>
        <w:t>(一)不按照规定制定水污染事故的应急方案的；(二)水污染事故发生后，未及时启动水污染事故的应急方案，采取有关应急措施的罚款幅度裁定</w:t>
      </w:r>
      <w:bookmarkEnd w:id="219"/>
      <w:bookmarkEnd w:id="220"/>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9"/>
        <w:gridCol w:w="2003"/>
        <w:gridCol w:w="689"/>
        <w:gridCol w:w="1526"/>
        <w:gridCol w:w="1584"/>
        <w:gridCol w:w="785"/>
        <w:gridCol w:w="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4" w:hRule="atLeast"/>
        </w:trPr>
        <w:tc>
          <w:tcPr>
            <w:tcW w:w="415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4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3" w:hRule="atLeast"/>
        </w:trPr>
        <w:tc>
          <w:tcPr>
            <w:tcW w:w="145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1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8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5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restart"/>
            <w:tcBorders>
              <w:bottom w:val="nil"/>
            </w:tcBorders>
            <w:vAlign w:val="center"/>
          </w:tcPr>
          <w:p>
            <w:pPr>
              <w:spacing w:before="79"/>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水污染事故发生后，未及时启动水污染事故的应急方案，采取有关应急措施的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8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5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8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5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8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不按照规定制定水污染事故的应急方案的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8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5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8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5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vAlign w:val="center"/>
          </w:tcPr>
          <w:p>
            <w:pPr>
              <w:jc w:val="center"/>
              <w:rPr>
                <w:rFonts w:ascii="Malgun Gothic"/>
                <w:color w:val="000000" w:themeColor="text1"/>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5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8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5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tcBorders>
          </w:tcPr>
          <w:p>
            <w:pP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8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3"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8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8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8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3" w:type="dxa"/>
            <w:tcBorders>
              <w:top w:val="single" w:color="auto" w:sz="4" w:space="0"/>
              <w:left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200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85"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3" w:type="dxa"/>
            <w:vAlign w:val="center"/>
          </w:tcPr>
          <w:p>
            <w:pPr>
              <w:pStyle w:val="16"/>
              <w:spacing w:before="38"/>
              <w:ind w:left="131" w:right="116"/>
              <w:jc w:val="center"/>
              <w:rPr>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atLeast"/>
        </w:trPr>
        <w:tc>
          <w:tcPr>
            <w:tcW w:w="859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3" w:hRule="atLeast"/>
        </w:trPr>
        <w:tc>
          <w:tcPr>
            <w:tcW w:w="859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1.《中华人民共和国水污染防治法》第七十七条可能发生水污染事故的企业事业单位，应当制定有关水污染事故的应急方案，做好应急准备，并定期进行演练。</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生产、储存危险化学品的企业事业单位，应当采取措施，防止在处理安全生产事故过程中产生的可能严重污染水体的消防废水、废液直接排入水体。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七十八条第一款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2.《中华人民共和国水污染防治法》第九十三条企业事业单位有下列行为之一的，由县级以上人民政府环境保护主管部门责令改正；情节严重的，处2万元以上10万元以下的罚款：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(一)不按照规定制定水污染事故的应急方案的；</w:t>
      </w:r>
    </w:p>
    <w:p>
      <w:pPr>
        <w:spacing w:before="73"/>
        <w:ind w:right="108" w:firstLine="420" w:firstLineChars="200"/>
        <w:rPr>
          <w:rFonts w:ascii="仿宋_GB2312" w:hAnsi="仿宋_GB2312" w:eastAsia="仿宋_GB2312" w:cs="仿宋_GB2312"/>
          <w:color w:val="000000" w:themeColor="text1"/>
          <w:szCs w:val="21"/>
        </w:rPr>
        <w:sectPr>
          <w:footerReference r:id="rId7" w:type="default"/>
          <w:pgSz w:w="11906" w:h="16839"/>
          <w:pgMar w:top="1431" w:right="1729" w:bottom="1149" w:left="1713" w:header="0" w:footer="1013" w:gutter="0"/>
          <w:cols w:space="720" w:num="1"/>
        </w:sectPr>
      </w:pPr>
      <w:r>
        <w:rPr>
          <w:rFonts w:hint="eastAsia" w:ascii="仿宋_GB2312" w:hAnsi="仿宋_GB2312" w:eastAsia="仿宋_GB2312" w:cs="仿宋_GB2312"/>
          <w:color w:val="000000" w:themeColor="text1"/>
          <w:szCs w:val="21"/>
        </w:rPr>
        <w:t>(二)水污染事故发生后，未及时启动水污染事故的应急方案，采取有关应急措施</w:t>
      </w:r>
    </w:p>
    <w:p>
      <w:pPr>
        <w:jc w:val="center"/>
        <w:outlineLvl w:val="2"/>
        <w:rPr>
          <w:rFonts w:ascii="黑体" w:hAnsi="黑体" w:eastAsia="黑体" w:cs="黑体"/>
          <w:b/>
          <w:bCs/>
          <w:color w:val="000000" w:themeColor="text1"/>
          <w:spacing w:val="1"/>
          <w:sz w:val="28"/>
          <w:szCs w:val="28"/>
        </w:rPr>
      </w:pPr>
      <w:bookmarkStart w:id="221" w:name="_Toc8234"/>
      <w:bookmarkStart w:id="222" w:name="_Toc28406"/>
      <w:bookmarkStart w:id="223" w:name="_Toc22031"/>
      <w:r>
        <w:rPr>
          <w:rFonts w:hint="eastAsia" w:ascii="黑体" w:hAnsi="黑体" w:eastAsia="黑体" w:cs="黑体"/>
          <w:b/>
          <w:bCs/>
          <w:color w:val="000000" w:themeColor="text1"/>
          <w:spacing w:val="1"/>
          <w:sz w:val="28"/>
          <w:szCs w:val="28"/>
        </w:rPr>
        <w:t>四、本溪市生态环境局环境行政处罚裁量规则(土壤类)</w:t>
      </w:r>
      <w:bookmarkEnd w:id="221"/>
      <w:bookmarkEnd w:id="222"/>
      <w:bookmarkEnd w:id="223"/>
    </w:p>
    <w:p>
      <w:pPr>
        <w:widowControl/>
        <w:kinsoku w:val="0"/>
        <w:autoSpaceDE w:val="0"/>
        <w:autoSpaceDN w:val="0"/>
        <w:adjustRightInd w:val="0"/>
        <w:snapToGrid w:val="0"/>
        <w:jc w:val="center"/>
        <w:textAlignment w:val="baseline"/>
        <w:outlineLvl w:val="1"/>
        <w:rPr>
          <w:b/>
          <w:bCs/>
          <w:color w:val="000000" w:themeColor="text1"/>
          <w:sz w:val="24"/>
        </w:rPr>
      </w:pPr>
      <w:bookmarkStart w:id="224" w:name="_Toc14138"/>
      <w:bookmarkStart w:id="225" w:name="_Toc28039"/>
      <w:bookmarkStart w:id="226" w:name="_Toc120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62</w:t>
      </w:r>
      <w:r>
        <w:rPr>
          <w:rFonts w:hint="eastAsia" w:ascii="仿宋" w:hAnsi="仿宋" w:eastAsia="仿宋" w:cs="仿宋"/>
          <w:b/>
          <w:bCs/>
          <w:color w:val="000000" w:themeColor="text1"/>
          <w:kern w:val="0"/>
          <w:sz w:val="24"/>
          <w:lang w:val="zh-CN"/>
        </w:rPr>
        <w:t>土壤污染重点监管单位未制定、实施自行监测方案，或者未将监测数据报生态环境主管部门的罚款幅度裁定</w:t>
      </w:r>
      <w:bookmarkEnd w:id="224"/>
      <w:bookmarkEnd w:id="225"/>
      <w:bookmarkEnd w:id="226"/>
    </w:p>
    <w:tbl>
      <w:tblPr>
        <w:tblStyle w:val="15"/>
        <w:tblW w:w="8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364"/>
        <w:gridCol w:w="900"/>
        <w:gridCol w:w="2548"/>
        <w:gridCol w:w="1110"/>
        <w:gridCol w:w="715"/>
        <w:gridCol w:w="5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3718"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3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1454"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6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0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365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restart"/>
            <w:tcBorders>
              <w:bottom w:val="nil"/>
            </w:tcBorders>
            <w:vAlign w:val="center"/>
          </w:tcPr>
          <w:p>
            <w:pPr>
              <w:spacing w:before="78"/>
              <w:ind w:right="11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spacing w:before="78"/>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36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5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土壤污染重点监管单位制定、实施了自行监测方案，但未将监测数据报生态环境主管部门的</w:t>
            </w:r>
          </w:p>
        </w:tc>
        <w:tc>
          <w:tcPr>
            <w:tcW w:w="111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5"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continue"/>
            <w:vAlign w:val="center"/>
          </w:tcPr>
          <w:p>
            <w:pPr>
              <w:spacing w:before="78"/>
              <w:ind w:right="119"/>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6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continue"/>
            <w:vAlign w:val="center"/>
          </w:tcPr>
          <w:p>
            <w:pPr>
              <w:spacing w:before="78"/>
              <w:ind w:right="119"/>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continue"/>
            <w:tcBorders>
              <w:top w:val="nil"/>
              <w:bottom w:val="nil"/>
            </w:tcBorders>
          </w:tcPr>
          <w:p>
            <w:pPr>
              <w:rPr>
                <w:rFonts w:ascii="Malgun Gothic"/>
                <w:color w:val="000000" w:themeColor="text1"/>
                <w:sz w:val="18"/>
                <w:szCs w:val="18"/>
              </w:rPr>
            </w:pPr>
          </w:p>
        </w:tc>
        <w:tc>
          <w:tcPr>
            <w:tcW w:w="1364"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5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土壤污染重点监管单位制定自行监测方案，但未实施的</w:t>
            </w:r>
          </w:p>
        </w:tc>
        <w:tc>
          <w:tcPr>
            <w:tcW w:w="111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5"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continue"/>
            <w:tcBorders>
              <w:top w:val="nil"/>
              <w:bottom w:val="nil"/>
            </w:tcBorders>
          </w:tcPr>
          <w:p>
            <w:pPr>
              <w:rPr>
                <w:rFonts w:ascii="Malgun Gothic"/>
                <w:color w:val="000000" w:themeColor="text1"/>
                <w:sz w:val="18"/>
                <w:szCs w:val="18"/>
              </w:rPr>
            </w:pPr>
          </w:p>
        </w:tc>
        <w:tc>
          <w:tcPr>
            <w:tcW w:w="1364"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6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continue"/>
            <w:tcBorders>
              <w:top w:val="nil"/>
              <w:bottom w:val="nil"/>
            </w:tcBorders>
          </w:tcPr>
          <w:p>
            <w:pPr>
              <w:rPr>
                <w:rFonts w:ascii="Malgun Gothic"/>
                <w:color w:val="000000" w:themeColor="text1"/>
                <w:sz w:val="18"/>
                <w:szCs w:val="18"/>
              </w:rPr>
            </w:pPr>
          </w:p>
        </w:tc>
        <w:tc>
          <w:tcPr>
            <w:tcW w:w="1364"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5"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continue"/>
            <w:tcBorders>
              <w:top w:val="nil"/>
            </w:tcBorders>
          </w:tcPr>
          <w:p>
            <w:pPr>
              <w:rPr>
                <w:rFonts w:ascii="Malgun Gothic"/>
                <w:color w:val="000000" w:themeColor="text1"/>
                <w:sz w:val="18"/>
                <w:szCs w:val="18"/>
              </w:rPr>
            </w:pPr>
          </w:p>
        </w:tc>
        <w:tc>
          <w:tcPr>
            <w:tcW w:w="1364" w:type="dxa"/>
            <w:vMerge w:val="continue"/>
            <w:tcBorders>
              <w:top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tcBorders>
          </w:tcPr>
          <w:p>
            <w:pPr>
              <w:jc w:val="center"/>
              <w:rPr>
                <w:rFonts w:ascii="仿宋" w:hAnsi="仿宋" w:eastAsia="仿宋" w:cs="仿宋"/>
                <w:color w:val="000000" w:themeColor="text1"/>
                <w:spacing w:val="-1"/>
                <w:sz w:val="18"/>
                <w:szCs w:val="18"/>
              </w:rPr>
            </w:pPr>
          </w:p>
        </w:tc>
        <w:tc>
          <w:tcPr>
            <w:tcW w:w="25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土壤污染重点监管单位未制定自行监测方案的</w:t>
            </w:r>
          </w:p>
        </w:tc>
        <w:tc>
          <w:tcPr>
            <w:tcW w:w="111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65"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continue"/>
            <w:tcBorders>
              <w:top w:val="nil"/>
            </w:tcBorders>
          </w:tcPr>
          <w:p>
            <w:pPr>
              <w:rPr>
                <w:rFonts w:ascii="Malgun Gothic"/>
                <w:color w:val="000000" w:themeColor="text1"/>
                <w:sz w:val="18"/>
                <w:szCs w:val="18"/>
              </w:rPr>
            </w:pPr>
          </w:p>
        </w:tc>
        <w:tc>
          <w:tcPr>
            <w:tcW w:w="1364" w:type="dxa"/>
            <w:vMerge w:val="continue"/>
            <w:tcBorders>
              <w:top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tcBorders>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4" w:type="dxa"/>
            <w:vMerge w:val="continue"/>
          </w:tcPr>
          <w:p>
            <w:pPr>
              <w:rPr>
                <w:rFonts w:ascii="Malgun Gothic"/>
                <w:color w:val="000000" w:themeColor="text1"/>
                <w:sz w:val="18"/>
                <w:szCs w:val="18"/>
              </w:rPr>
            </w:pPr>
          </w:p>
        </w:tc>
        <w:tc>
          <w:tcPr>
            <w:tcW w:w="1364" w:type="dxa"/>
            <w:vMerge w:val="continue"/>
          </w:tcPr>
          <w:p>
            <w:pPr>
              <w:jc w:val="center"/>
              <w:rPr>
                <w:rFonts w:ascii="仿宋" w:hAnsi="仿宋" w:eastAsia="仿宋" w:cs="仿宋"/>
                <w:color w:val="000000" w:themeColor="text1"/>
                <w:spacing w:val="-1"/>
                <w:sz w:val="18"/>
                <w:szCs w:val="18"/>
              </w:rPr>
            </w:pPr>
          </w:p>
        </w:tc>
        <w:tc>
          <w:tcPr>
            <w:tcW w:w="900" w:type="dxa"/>
            <w:vMerge w:val="continue"/>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65"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6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36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36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36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6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364"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364" w:type="dxa"/>
            <w:vMerge w:val="continue"/>
            <w:tcBorders>
              <w:top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tcBorders>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64" w:type="dxa"/>
            <w:vMerge w:val="restart"/>
          </w:tcPr>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00"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vAlign w:val="center"/>
          </w:tcPr>
          <w:p>
            <w:pPr>
              <w:spacing w:before="42" w:line="184" w:lineRule="auto"/>
              <w:ind w:firstLine="257"/>
              <w:jc w:val="center"/>
              <w:rPr>
                <w:rFonts w:ascii="仿宋" w:hAnsi="仿宋" w:eastAsia="仿宋" w:cs="仿宋"/>
                <w:color w:val="000000" w:themeColor="text1"/>
                <w:sz w:val="18"/>
                <w:szCs w:val="18"/>
              </w:rPr>
            </w:pPr>
          </w:p>
        </w:tc>
        <w:tc>
          <w:tcPr>
            <w:tcW w:w="1364" w:type="dxa"/>
            <w:vMerge w:val="continue"/>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6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5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5"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vAlign w:val="center"/>
          </w:tcPr>
          <w:p>
            <w:pPr>
              <w:spacing w:before="42" w:line="212" w:lineRule="auto"/>
              <w:ind w:left="163" w:right="156" w:firstLine="11"/>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vAlign w:val="center"/>
          </w:tcPr>
          <w:p>
            <w:pPr>
              <w:spacing w:before="42" w:line="212" w:lineRule="auto"/>
              <w:ind w:left="163" w:right="156" w:firstLine="11"/>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vAlign w:val="center"/>
          </w:tcPr>
          <w:p>
            <w:pPr>
              <w:spacing w:before="42" w:line="212" w:lineRule="auto"/>
              <w:ind w:left="163" w:right="156" w:firstLine="11"/>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1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5" w:type="dxa"/>
            <w:tcBorders>
              <w:top w:val="single" w:color="auto" w:sz="4" w:space="0"/>
              <w:left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single" w:color="auto" w:sz="4" w:space="0"/>
            </w:tcBorders>
            <w:vAlign w:val="center"/>
          </w:tcPr>
          <w:p>
            <w:pPr>
              <w:spacing w:before="42" w:line="212" w:lineRule="auto"/>
              <w:ind w:left="163" w:right="156" w:firstLine="11"/>
              <w:jc w:val="center"/>
              <w:rPr>
                <w:rFonts w:ascii="Malgun Gothic"/>
                <w:color w:val="000000" w:themeColor="text1"/>
                <w:sz w:val="18"/>
                <w:szCs w:val="18"/>
              </w:rPr>
            </w:pPr>
          </w:p>
        </w:tc>
        <w:tc>
          <w:tcPr>
            <w:tcW w:w="1364"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5" w:type="dxa"/>
            <w:tcBorders>
              <w:left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8656"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8656" w:type="dxa"/>
            <w:gridSpan w:val="7"/>
            <w:tcBorders>
              <w:top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1.《中华人民共和国土壤污染防治法》第二十一条第二款土壤污染重点监管单位应当履行下列义务：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严格控制有毒有害物质排放，并按年度向生态环境主管部门报告排放情况；</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建立土壤污染隐患排查制度，保证持续有效防止有毒有害物质渗漏、流失、扬散；</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制定、实施自行监测方案，并将监测数据报生态环境主管部门。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（一）土壤污染重点监管单位未制定、实施自行监测方案，或者未将监测数据报生态环境主管部门的；有前款规定行为之一的，处2万元以上20万元以下的罚款；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27" w:name="_Toc11819"/>
      <w:bookmarkStart w:id="228" w:name="_Toc2818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63</w:t>
      </w:r>
      <w:r>
        <w:rPr>
          <w:rFonts w:hint="eastAsia" w:ascii="仿宋" w:hAnsi="仿宋" w:eastAsia="仿宋" w:cs="仿宋"/>
          <w:b/>
          <w:bCs/>
          <w:color w:val="000000" w:themeColor="text1"/>
          <w:kern w:val="0"/>
          <w:sz w:val="24"/>
          <w:lang w:val="zh-CN"/>
        </w:rPr>
        <w:t>土壤污染重点监管单位篡改、伪造监测数据的罚款幅度裁定</w:t>
      </w:r>
      <w:bookmarkEnd w:id="227"/>
      <w:bookmarkEnd w:id="228"/>
    </w:p>
    <w:tbl>
      <w:tblPr>
        <w:tblStyle w:val="15"/>
        <w:tblW w:w="8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1943"/>
        <w:gridCol w:w="667"/>
        <w:gridCol w:w="1560"/>
        <w:gridCol w:w="1344"/>
        <w:gridCol w:w="837"/>
        <w:gridCol w:w="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402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1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141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4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0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3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15"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不足5天的</w:t>
            </w:r>
          </w:p>
        </w:tc>
        <w:tc>
          <w:tcPr>
            <w:tcW w:w="134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20项指标以下</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15" w:type="dxa"/>
            <w:vMerge w:val="continue"/>
            <w:vAlign w:val="center"/>
          </w:tcPr>
          <w:p>
            <w:pPr>
              <w:jc w:val="center"/>
              <w:rPr>
                <w:rFonts w:ascii="仿宋" w:hAnsi="仿宋" w:eastAsia="仿宋" w:cs="仿宋"/>
                <w:color w:val="000000" w:themeColor="text1"/>
                <w:spacing w:val="-2"/>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5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20项指标以上</w:t>
            </w:r>
          </w:p>
        </w:tc>
        <w:tc>
          <w:tcPr>
            <w:tcW w:w="8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5天以上20天以下的</w:t>
            </w:r>
          </w:p>
        </w:tc>
        <w:tc>
          <w:tcPr>
            <w:tcW w:w="134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20项指标以下</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20项指标以上</w:t>
            </w:r>
          </w:p>
        </w:tc>
        <w:tc>
          <w:tcPr>
            <w:tcW w:w="8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20天以上的</w:t>
            </w:r>
          </w:p>
        </w:tc>
        <w:tc>
          <w:tcPr>
            <w:tcW w:w="134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20项指标以下</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15" w:type="dxa"/>
            <w:vMerge w:val="continue"/>
            <w:vAlign w:val="center"/>
          </w:tcPr>
          <w:p>
            <w:pPr>
              <w:jc w:val="center"/>
              <w:rPr>
                <w:rFonts w:ascii="Malgun Gothic"/>
                <w:color w:val="000000" w:themeColor="text1"/>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5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20项指标以上</w:t>
            </w:r>
          </w:p>
        </w:tc>
        <w:tc>
          <w:tcPr>
            <w:tcW w:w="8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0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3"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vAlign w:val="center"/>
          </w:tcPr>
          <w:p>
            <w:pPr>
              <w:jc w:val="center"/>
              <w:rPr>
                <w:rFonts w:ascii="仿宋" w:hAnsi="仿宋" w:eastAsia="仿宋" w:cs="仿宋"/>
                <w:color w:val="000000" w:themeColor="text1"/>
                <w:spacing w:val="-2"/>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290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vAlign w:val="center"/>
          </w:tcPr>
          <w:p>
            <w:pPr>
              <w:jc w:val="center"/>
              <w:rPr>
                <w:rFonts w:ascii="仿宋" w:hAnsi="仿宋" w:eastAsia="仿宋" w:cs="仿宋"/>
                <w:color w:val="000000" w:themeColor="text1"/>
                <w:spacing w:val="-2"/>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290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vAlign w:val="center"/>
          </w:tcPr>
          <w:p>
            <w:pPr>
              <w:jc w:val="center"/>
              <w:rPr>
                <w:rFonts w:ascii="仿宋" w:hAnsi="仿宋" w:eastAsia="仿宋" w:cs="仿宋"/>
                <w:color w:val="000000" w:themeColor="text1"/>
                <w:spacing w:val="-2"/>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290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3" w:type="dxa"/>
            <w:tcBorders>
              <w:top w:val="single" w:color="auto" w:sz="4" w:space="0"/>
              <w:left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41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4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3" w:type="dxa"/>
            <w:tcBorders>
              <w:left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9" w:hRule="atLeast"/>
        </w:trPr>
        <w:tc>
          <w:tcPr>
            <w:tcW w:w="833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5" w:hRule="atLeast"/>
        </w:trPr>
        <w:tc>
          <w:tcPr>
            <w:tcW w:w="8339" w:type="dxa"/>
            <w:gridSpan w:val="7"/>
            <w:tcBorders>
              <w:top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1.《中华人民共和国土壤污染防治法》第二十一条第三款土壤污染重点监管单位应当对监测数据的真实性和准确性负责。生态环境主管部门发现土壤污染重点监管单位监测数据异常，应当及时进行调查。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(二)土壤污染重点监管单位篡改、伪造监测数据的；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b/>
          <w:bCs/>
          <w:color w:val="000000" w:themeColor="text1"/>
        </w:rPr>
      </w:pPr>
    </w:p>
    <w:p>
      <w:pPr>
        <w:jc w:val="center"/>
        <w:outlineLvl w:val="1"/>
        <w:rPr>
          <w:rFonts w:ascii="仿宋" w:hAnsi="仿宋" w:eastAsia="仿宋" w:cs="仿宋"/>
          <w:b/>
          <w:bCs/>
          <w:color w:val="000000" w:themeColor="text1"/>
          <w:kern w:val="0"/>
          <w:sz w:val="24"/>
          <w:lang w:val="zh-CN"/>
        </w:rPr>
      </w:pPr>
      <w:bookmarkStart w:id="229" w:name="_Toc17990"/>
      <w:bookmarkStart w:id="230" w:name="_Toc908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64</w:t>
      </w:r>
      <w:r>
        <w:rPr>
          <w:rFonts w:hint="eastAsia" w:ascii="仿宋" w:hAnsi="仿宋" w:eastAsia="仿宋" w:cs="仿宋"/>
          <w:b/>
          <w:bCs/>
          <w:color w:val="000000" w:themeColor="text1"/>
          <w:kern w:val="0"/>
          <w:sz w:val="24"/>
          <w:lang w:val="zh-CN"/>
        </w:rPr>
        <w:t>土壤污染重点监管单位未按年度报告有毒有害物质排放情况，</w:t>
      </w:r>
      <w:bookmarkStart w:id="231" w:name="_Toc3104"/>
      <w:r>
        <w:rPr>
          <w:rFonts w:hint="eastAsia" w:ascii="仿宋" w:hAnsi="仿宋" w:eastAsia="仿宋" w:cs="仿宋"/>
          <w:b/>
          <w:bCs/>
          <w:color w:val="000000" w:themeColor="text1"/>
          <w:kern w:val="0"/>
          <w:sz w:val="24"/>
          <w:lang w:val="zh-CN"/>
        </w:rPr>
        <w:t>或者未建立土壤污染隐患排查制度的罚款幅度裁定</w:t>
      </w:r>
      <w:bookmarkEnd w:id="229"/>
      <w:bookmarkEnd w:id="230"/>
      <w:bookmarkEnd w:id="231"/>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1888"/>
        <w:gridCol w:w="743"/>
        <w:gridCol w:w="2051"/>
        <w:gridCol w:w="1089"/>
        <w:gridCol w:w="714"/>
        <w:gridCol w:w="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405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8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2" w:hRule="atLeast"/>
        </w:trPr>
        <w:tc>
          <w:tcPr>
            <w:tcW w:w="1426" w:type="dxa"/>
            <w:vAlign w:val="center"/>
          </w:tcPr>
          <w:p>
            <w:pPr>
              <w:spacing w:before="197"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8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43"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4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8"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restart"/>
            <w:tcBorders>
              <w:bottom w:val="nil"/>
            </w:tcBorders>
            <w:vAlign w:val="center"/>
          </w:tcPr>
          <w:p>
            <w:pPr>
              <w:spacing w:before="79"/>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05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土壤污染重点监管单位未按年度报告有毒有害物质排放情况</w:t>
            </w:r>
          </w:p>
        </w:tc>
        <w:tc>
          <w:tcPr>
            <w:tcW w:w="1089"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205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8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205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5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土壤污染重点监管单位未建立土壤污染隐患排查制度的</w:t>
            </w:r>
          </w:p>
        </w:tc>
        <w:tc>
          <w:tcPr>
            <w:tcW w:w="10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5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vAlign w:val="center"/>
          </w:tcPr>
          <w:p>
            <w:pPr>
              <w:jc w:val="center"/>
              <w:rPr>
                <w:rFonts w:ascii="Malgun Gothic"/>
                <w:color w:val="000000" w:themeColor="text1"/>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205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bottom w:val="nil"/>
            </w:tcBorders>
            <w:vAlign w:val="center"/>
          </w:tcPr>
          <w:p>
            <w:pPr>
              <w:jc w:val="center"/>
              <w:rPr>
                <w:rFonts w:ascii="Malgun Gothic"/>
                <w:color w:val="000000" w:themeColor="text1"/>
                <w:sz w:val="18"/>
                <w:szCs w:val="18"/>
              </w:rPr>
            </w:pPr>
          </w:p>
        </w:tc>
        <w:tc>
          <w:tcPr>
            <w:tcW w:w="188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bottom w:val="nil"/>
            </w:tcBorders>
            <w:vAlign w:val="center"/>
          </w:tcPr>
          <w:p>
            <w:pPr>
              <w:jc w:val="center"/>
              <w:rPr>
                <w:rFonts w:ascii="Malgun Gothic"/>
                <w:color w:val="000000" w:themeColor="text1"/>
                <w:sz w:val="18"/>
                <w:szCs w:val="18"/>
              </w:rPr>
            </w:pPr>
          </w:p>
        </w:tc>
        <w:tc>
          <w:tcPr>
            <w:tcW w:w="188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bottom w:val="nil"/>
            </w:tcBorders>
            <w:vAlign w:val="center"/>
          </w:tcPr>
          <w:p>
            <w:pPr>
              <w:jc w:val="center"/>
              <w:rPr>
                <w:rFonts w:ascii="Malgun Gothic"/>
                <w:color w:val="000000" w:themeColor="text1"/>
                <w:sz w:val="18"/>
                <w:szCs w:val="18"/>
              </w:rPr>
            </w:pPr>
          </w:p>
        </w:tc>
        <w:tc>
          <w:tcPr>
            <w:tcW w:w="188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restart"/>
            <w:tcBorders>
              <w:bottom w:val="nil"/>
            </w:tcBorders>
            <w:vAlign w:val="center"/>
          </w:tcPr>
          <w:p>
            <w:pPr>
              <w:spacing w:before="55" w:line="212" w:lineRule="auto"/>
              <w:ind w:left="257" w:right="241"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vAlign w:val="center"/>
          </w:tcPr>
          <w:p>
            <w:pPr>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314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vAlign w:val="center"/>
          </w:tcPr>
          <w:p>
            <w:pPr>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314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vAlign w:val="center"/>
          </w:tcPr>
          <w:p>
            <w:pPr>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314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6"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88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843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5" w:hRule="atLeast"/>
        </w:trPr>
        <w:tc>
          <w:tcPr>
            <w:tcW w:w="8439" w:type="dxa"/>
            <w:gridSpan w:val="7"/>
            <w:tcBorders>
              <w:top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1.《中华人民共和国土壤污染防治法》第二十一条第二款土壤污染重点监管单位应当履行下列义务：(一)严格控制有毒有害物质排放，并按年度向生态环境主管部门报告排放情况；</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(二)建立土壤污染隐患排查制度，保证持续有效防止有毒有害物质渗漏、流失、扬散；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(三)制定、实施自行监测方案，并将监测数据报生态环境主管部门。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(三)土壤污染重点监管单位未按年度报告有毒有害物质排放情况，或者未建立土壤污染隐患排查制度的；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32" w:name="_Toc18812"/>
      <w:bookmarkStart w:id="233" w:name="_Toc102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65</w:t>
      </w:r>
      <w:r>
        <w:rPr>
          <w:rFonts w:hint="eastAsia" w:ascii="仿宋" w:hAnsi="仿宋" w:eastAsia="仿宋" w:cs="仿宋"/>
          <w:b/>
          <w:bCs/>
          <w:color w:val="000000" w:themeColor="text1"/>
          <w:kern w:val="0"/>
          <w:sz w:val="24"/>
          <w:lang w:val="zh-CN"/>
        </w:rPr>
        <w:t>拆除设施、设备或者建筑物、构筑物，企业事业单位未采取相应的土壤污染防治措施或者土壤污染重点监管单位未制定、实施土壤污染防治工作方案的罚款幅度裁定</w:t>
      </w:r>
      <w:bookmarkEnd w:id="232"/>
      <w:bookmarkEnd w:id="233"/>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1811"/>
        <w:gridCol w:w="775"/>
        <w:gridCol w:w="2055"/>
        <w:gridCol w:w="967"/>
        <w:gridCol w:w="805"/>
        <w:gridCol w:w="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399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40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1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02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0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8"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05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企业事业单位已制定但未实施相应的土壤污染防治措施的</w:t>
            </w:r>
          </w:p>
        </w:tc>
        <w:tc>
          <w:tcPr>
            <w:tcW w:w="96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80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8"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vAlign w:val="center"/>
          </w:tcPr>
          <w:p>
            <w:pPr>
              <w:jc w:val="center"/>
              <w:rPr>
                <w:rFonts w:ascii="仿宋" w:hAnsi="仿宋" w:eastAsia="仿宋" w:cs="仿宋"/>
                <w:color w:val="000000" w:themeColor="text1"/>
                <w:spacing w:val="-7"/>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205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80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vAlign w:val="center"/>
          </w:tcPr>
          <w:p>
            <w:pPr>
              <w:jc w:val="center"/>
              <w:rPr>
                <w:rFonts w:ascii="仿宋" w:hAnsi="仿宋" w:eastAsia="仿宋" w:cs="仿宋"/>
                <w:color w:val="000000" w:themeColor="text1"/>
                <w:spacing w:val="-7"/>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205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6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80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8"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8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5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土壤污染重点监管单位未制定、实施土壤污染防治工作方案的</w:t>
            </w:r>
          </w:p>
        </w:tc>
        <w:tc>
          <w:tcPr>
            <w:tcW w:w="96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80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8"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8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5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80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8"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vAlign w:val="center"/>
          </w:tcPr>
          <w:p>
            <w:pPr>
              <w:jc w:val="center"/>
              <w:rPr>
                <w:rFonts w:ascii="Malgun Gothic"/>
                <w:color w:val="000000" w:themeColor="text1"/>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205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6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80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8"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8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8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8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8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8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81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7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vAlign w:val="center"/>
          </w:tcPr>
          <w:p>
            <w:pPr>
              <w:jc w:val="center"/>
              <w:rPr>
                <w:rFonts w:ascii="仿宋" w:hAnsi="仿宋" w:eastAsia="仿宋" w:cs="仿宋"/>
                <w:color w:val="000000" w:themeColor="text1"/>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2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0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8"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vAlign w:val="center"/>
          </w:tcPr>
          <w:p>
            <w:pPr>
              <w:jc w:val="center"/>
              <w:rPr>
                <w:rFonts w:ascii="仿宋" w:hAnsi="仿宋" w:eastAsia="仿宋" w:cs="仿宋"/>
                <w:color w:val="000000" w:themeColor="text1"/>
                <w:spacing w:val="-2"/>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302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0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8"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vAlign w:val="center"/>
          </w:tcPr>
          <w:p>
            <w:pPr>
              <w:jc w:val="center"/>
              <w:rPr>
                <w:rFonts w:ascii="仿宋" w:hAnsi="仿宋" w:eastAsia="仿宋" w:cs="仿宋"/>
                <w:color w:val="000000" w:themeColor="text1"/>
                <w:spacing w:val="-2"/>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302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0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vAlign w:val="center"/>
          </w:tcPr>
          <w:p>
            <w:pPr>
              <w:jc w:val="center"/>
              <w:rPr>
                <w:rFonts w:ascii="仿宋" w:hAnsi="仿宋" w:eastAsia="仿宋" w:cs="仿宋"/>
                <w:color w:val="000000" w:themeColor="text1"/>
                <w:spacing w:val="-2"/>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302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0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8" w:type="dxa"/>
            <w:tcBorders>
              <w:top w:val="single" w:color="auto" w:sz="4" w:space="0"/>
              <w:left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811"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8"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839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8399" w:type="dxa"/>
            <w:gridSpan w:val="7"/>
            <w:tcBorders>
              <w:top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1.《中华人民共和国土壤污染防治法》第二十二条企业事业单位拆除设施、设备或者建筑物、构筑物的，应当采取相应的土壤污染防治措施。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土壤污染重点监管单位拆除设施、设备或者建筑物、构筑物的，应当制定包括应急措施在内的土壤污染防治工作方案，报地方人民政府生态环境、工业和信息化主管部门备案并实施。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(四)拆除设施、设备或者建筑物、构筑物，企业事业单位未采取相应的土壤污染防治措施或者土壤污染重点监管单位未制定、实施土壤污染防治工作方案的；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34" w:name="_Toc15413"/>
      <w:bookmarkStart w:id="235" w:name="_Toc2970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66</w:t>
      </w:r>
      <w:r>
        <w:rPr>
          <w:rFonts w:hint="eastAsia" w:ascii="仿宋" w:hAnsi="仿宋" w:eastAsia="仿宋" w:cs="仿宋"/>
          <w:b/>
          <w:bCs/>
          <w:color w:val="000000" w:themeColor="text1"/>
          <w:kern w:val="0"/>
          <w:sz w:val="24"/>
          <w:lang w:val="zh-CN"/>
        </w:rPr>
        <w:t>尾矿库运营、管理单位未按照规定采取措施防止土壤污染的罚款幅度裁定</w:t>
      </w:r>
      <w:bookmarkEnd w:id="234"/>
      <w:bookmarkEnd w:id="235"/>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1893"/>
        <w:gridCol w:w="795"/>
        <w:gridCol w:w="1919"/>
        <w:gridCol w:w="1071"/>
        <w:gridCol w:w="812"/>
        <w:gridCol w:w="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414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3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457"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9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95"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9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1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restart"/>
            <w:tcBorders>
              <w:bottom w:val="nil"/>
            </w:tcBorders>
            <w:vAlign w:val="center"/>
          </w:tcPr>
          <w:p>
            <w:pPr>
              <w:spacing w:before="79"/>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1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尾矿库运营、管理单位已采取防止土壤污染措施，未严格按照规定的</w:t>
            </w:r>
          </w:p>
        </w:tc>
        <w:tc>
          <w:tcPr>
            <w:tcW w:w="10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8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2"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191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191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8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2"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18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1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尾矿库运营、管理单位未采取措施防止土壤污染的</w:t>
            </w:r>
          </w:p>
        </w:tc>
        <w:tc>
          <w:tcPr>
            <w:tcW w:w="10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8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2"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vAlign w:val="center"/>
          </w:tcPr>
          <w:p>
            <w:pPr>
              <w:jc w:val="center"/>
              <w:rPr>
                <w:rFonts w:ascii="Malgun Gothic"/>
                <w:color w:val="000000" w:themeColor="text1"/>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191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vAlign w:val="center"/>
          </w:tcPr>
          <w:p>
            <w:pPr>
              <w:jc w:val="center"/>
              <w:rPr>
                <w:rFonts w:ascii="Malgun Gothic"/>
                <w:color w:val="000000" w:themeColor="text1"/>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191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8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32"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18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18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restart"/>
            <w:tcBorders>
              <w:bottom w:val="nil"/>
            </w:tcBorders>
            <w:vAlign w:val="center"/>
          </w:tcPr>
          <w:p>
            <w:pPr>
              <w:spacing w:before="55" w:line="212" w:lineRule="auto"/>
              <w:ind w:left="257" w:right="241"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18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2" w:type="dxa"/>
            <w:tcBorders>
              <w:left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2"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57" w:type="dxa"/>
            <w:vMerge w:val="continue"/>
            <w:vAlign w:val="center"/>
          </w:tcPr>
          <w:p>
            <w:pPr>
              <w:jc w:val="center"/>
              <w:rPr>
                <w:rFonts w:ascii="Malgun Gothic"/>
                <w:color w:val="000000" w:themeColor="text1"/>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299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847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2" w:hRule="atLeast"/>
        </w:trPr>
        <w:tc>
          <w:tcPr>
            <w:tcW w:w="847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三条第二款尾矿库运营、管理单位应当按照规定，加强尾矿库的安全管理，采取措施防止土壤污染。危库、险库、病库以及其他需要重点监管的尾矿库的运营、管理单位应当按照规定，进行土壤污染状况监测和定期评估。</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(五)尾矿库运营、管理单位未按照规定采取措施防止土壤污染的；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36" w:name="_Toc13016"/>
      <w:bookmarkStart w:id="237" w:name="_Toc2137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67</w:t>
      </w:r>
      <w:r>
        <w:rPr>
          <w:rFonts w:hint="eastAsia" w:ascii="仿宋" w:hAnsi="仿宋" w:eastAsia="仿宋" w:cs="仿宋"/>
          <w:b/>
          <w:bCs/>
          <w:color w:val="000000" w:themeColor="text1"/>
          <w:kern w:val="0"/>
          <w:sz w:val="24"/>
          <w:lang w:val="zh-CN"/>
        </w:rPr>
        <w:t>尾矿库运营、管理单位未按照规定进行土壤污染状况</w:t>
      </w:r>
      <w:bookmarkEnd w:id="236"/>
      <w:bookmarkEnd w:id="237"/>
    </w:p>
    <w:p>
      <w:pPr>
        <w:jc w:val="center"/>
        <w:rPr>
          <w:rFonts w:ascii="仿宋" w:hAnsi="仿宋" w:eastAsia="仿宋" w:cs="仿宋"/>
          <w:b/>
          <w:bCs/>
          <w:color w:val="000000" w:themeColor="text1"/>
          <w:kern w:val="0"/>
          <w:sz w:val="24"/>
          <w:lang w:val="zh-CN"/>
        </w:rPr>
      </w:pPr>
      <w:r>
        <w:rPr>
          <w:rFonts w:hint="eastAsia" w:ascii="仿宋" w:hAnsi="仿宋" w:eastAsia="仿宋" w:cs="仿宋"/>
          <w:b/>
          <w:bCs/>
          <w:color w:val="000000" w:themeColor="text1"/>
          <w:kern w:val="0"/>
          <w:sz w:val="24"/>
          <w:lang w:val="zh-CN"/>
        </w:rPr>
        <w:t>监测的罚款幅度裁定</w:t>
      </w:r>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1977"/>
        <w:gridCol w:w="679"/>
        <w:gridCol w:w="1863"/>
        <w:gridCol w:w="1142"/>
        <w:gridCol w:w="716"/>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409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8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144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00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restart"/>
            <w:tcBorders>
              <w:bottom w:val="nil"/>
            </w:tcBorders>
            <w:vAlign w:val="center"/>
          </w:tcPr>
          <w:p>
            <w:pPr>
              <w:spacing w:before="79"/>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尾矿库运营、管理单位已进行土壤污染状况监测，但未按照规定的</w:t>
            </w:r>
          </w:p>
        </w:tc>
        <w:tc>
          <w:tcPr>
            <w:tcW w:w="114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4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4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尾矿库运营、管理单位未进行土壤污染状况监测的</w:t>
            </w:r>
          </w:p>
        </w:tc>
        <w:tc>
          <w:tcPr>
            <w:tcW w:w="114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62"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4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4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62"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restart"/>
            <w:tcBorders>
              <w:bottom w:val="nil"/>
            </w:tcBorders>
            <w:vAlign w:val="center"/>
          </w:tcPr>
          <w:p>
            <w:pPr>
              <w:spacing w:before="46" w:line="212" w:lineRule="auto"/>
              <w:ind w:left="257" w:right="241"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0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vAlign w:val="center"/>
          </w:tcPr>
          <w:p>
            <w:pPr>
              <w:jc w:val="center"/>
              <w:rPr>
                <w:rFonts w:ascii="仿宋" w:hAnsi="仿宋" w:eastAsia="仿宋" w:cs="仿宋"/>
                <w:color w:val="000000" w:themeColor="text1"/>
                <w:spacing w:val="-2"/>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300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300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837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837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三条第二款尾矿库运营、管理单位应当按照规定，加强尾矿库的安全管理，采取措施防止土壤污染。危库、险库、病库以及其他需要重点监管的尾矿库的运营、管理单位应当按照规定，进行土壤污染状况监测和定期评估。</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(六)尾矿库运营、管理单位未按照规定进行土壤污染状况监测的;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jc w:val="center"/>
        <w:outlineLvl w:val="1"/>
        <w:rPr>
          <w:rFonts w:ascii="仿宋" w:hAnsi="仿宋" w:eastAsia="仿宋" w:cs="仿宋"/>
          <w:b/>
          <w:bCs/>
          <w:color w:val="000000" w:themeColor="text1"/>
          <w:kern w:val="0"/>
          <w:sz w:val="24"/>
          <w:lang w:val="zh-CN"/>
        </w:rPr>
      </w:pPr>
      <w:bookmarkStart w:id="238" w:name="_Toc14777"/>
      <w:bookmarkStart w:id="239" w:name="_Toc2224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68</w:t>
      </w:r>
      <w:r>
        <w:rPr>
          <w:rFonts w:hint="eastAsia" w:ascii="仿宋" w:hAnsi="仿宋" w:eastAsia="仿宋" w:cs="仿宋"/>
          <w:b/>
          <w:bCs/>
          <w:color w:val="000000" w:themeColor="text1"/>
          <w:kern w:val="0"/>
          <w:sz w:val="24"/>
          <w:lang w:val="zh-CN"/>
        </w:rPr>
        <w:t>建设和运行污水集中处理设施、固体废物处置设施，未依照法律法规和相关标准的要求采取措施防止土壤污染的罚款幅度裁定</w:t>
      </w:r>
      <w:bookmarkEnd w:id="238"/>
      <w:bookmarkEnd w:id="239"/>
    </w:p>
    <w:tbl>
      <w:tblPr>
        <w:tblStyle w:val="15"/>
        <w:tblW w:w="8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3"/>
        <w:gridCol w:w="2037"/>
        <w:gridCol w:w="701"/>
        <w:gridCol w:w="2068"/>
        <w:gridCol w:w="1199"/>
        <w:gridCol w:w="693"/>
        <w:gridCol w:w="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4221" w:type="dxa"/>
            <w:gridSpan w:val="3"/>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裁量要素</w:t>
            </w:r>
          </w:p>
        </w:tc>
        <w:tc>
          <w:tcPr>
            <w:tcW w:w="4578" w:type="dxa"/>
            <w:gridSpan w:val="4"/>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6" w:hRule="atLeast"/>
        </w:trPr>
        <w:tc>
          <w:tcPr>
            <w:tcW w:w="1483"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9"/>
                <w:sz w:val="18"/>
                <w:szCs w:val="18"/>
              </w:rPr>
              <w:t>要素</w:t>
            </w:r>
          </w:p>
        </w:tc>
        <w:tc>
          <w:tcPr>
            <w:tcW w:w="2037"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4"/>
                <w:sz w:val="18"/>
                <w:szCs w:val="18"/>
              </w:rPr>
              <w:t>具体条件</w:t>
            </w:r>
          </w:p>
        </w:tc>
        <w:tc>
          <w:tcPr>
            <w:tcW w:w="70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0"/>
                <w:sz w:val="18"/>
                <w:szCs w:val="18"/>
              </w:rPr>
              <w:t>比例</w:t>
            </w:r>
          </w:p>
        </w:tc>
        <w:tc>
          <w:tcPr>
            <w:tcW w:w="3267"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5"/>
                <w:sz w:val="18"/>
                <w:szCs w:val="18"/>
              </w:rPr>
              <w:t>程度</w:t>
            </w:r>
          </w:p>
        </w:tc>
        <w:tc>
          <w:tcPr>
            <w:tcW w:w="693"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6"/>
                <w:sz w:val="18"/>
                <w:szCs w:val="18"/>
              </w:rPr>
              <w:t>百分值</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对环境影响</w:t>
            </w:r>
          </w:p>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程度</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06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已采取防止土壤污染措施，但未按照规定的</w:t>
            </w:r>
          </w:p>
        </w:tc>
        <w:tc>
          <w:tcPr>
            <w:tcW w:w="11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206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206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6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未采取防止土壤污染措施的</w:t>
            </w:r>
          </w:p>
        </w:tc>
        <w:tc>
          <w:tcPr>
            <w:tcW w:w="11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6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206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违法频次</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bottom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bottom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整改情况</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bottom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配合调查</w:t>
            </w:r>
          </w:p>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取证情况</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对社会影响或生态破坏程度</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3" w:type="dxa"/>
            <w:vMerge w:val="continue"/>
            <w:vAlign w:val="center"/>
          </w:tcPr>
          <w:p>
            <w:pPr>
              <w:jc w:val="center"/>
              <w:rPr>
                <w:rFonts w:ascii="仿宋" w:hAnsi="仿宋" w:eastAsia="仿宋" w:cs="仿宋"/>
                <w:color w:val="000000" w:themeColor="text1"/>
                <w:spacing w:val="-1"/>
                <w:sz w:val="18"/>
                <w:szCs w:val="18"/>
              </w:rPr>
            </w:pPr>
          </w:p>
        </w:tc>
        <w:tc>
          <w:tcPr>
            <w:tcW w:w="203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32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879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6" w:hRule="atLeast"/>
        </w:trPr>
        <w:tc>
          <w:tcPr>
            <w:tcW w:w="879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1.《中华人民共和国土壤污染防治法》第二十五条第一款建设和运行污水集中处理设施、固体废物处置设施，应当依照法律法规和相关标准的要求，采取措施防止土壤污染。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(七)建设和运行污水集中处理设施、固体废物处置设施，未依照法律法规和相关标准的要求采取措施防止土壤污染的。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40" w:name="_Toc25033"/>
      <w:bookmarkStart w:id="241" w:name="_Toc2137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69</w:t>
      </w:r>
      <w:r>
        <w:rPr>
          <w:rFonts w:hint="eastAsia" w:ascii="仿宋" w:hAnsi="仿宋" w:eastAsia="仿宋" w:cs="仿宋"/>
          <w:b/>
          <w:bCs/>
          <w:color w:val="000000" w:themeColor="text1"/>
          <w:kern w:val="0"/>
          <w:sz w:val="24"/>
          <w:lang w:val="zh-CN"/>
        </w:rPr>
        <w:t>向农用地排放重金属或者其他有毒有害物质含量超标的污水、污泥，以及可能造成土壤污染的清淤底泥、尾矿、矿渣等的罚款幅度裁定</w:t>
      </w:r>
      <w:bookmarkEnd w:id="240"/>
      <w:bookmarkEnd w:id="241"/>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3"/>
        <w:gridCol w:w="1879"/>
        <w:gridCol w:w="765"/>
        <w:gridCol w:w="1867"/>
        <w:gridCol w:w="1289"/>
        <w:gridCol w:w="607"/>
        <w:gridCol w:w="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4077" w:type="dxa"/>
            <w:gridSpan w:val="3"/>
            <w:tcBorders>
              <w:top w:val="single" w:color="auto" w:sz="4" w:space="0"/>
            </w:tcBorders>
          </w:tcPr>
          <w:p>
            <w:pPr>
              <w:spacing w:before="176"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22" w:type="dxa"/>
            <w:gridSpan w:val="4"/>
            <w:tcBorders>
              <w:top w:val="single" w:color="auto" w:sz="4" w:space="0"/>
            </w:tcBorders>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143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7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5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0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农用地类型</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严格管控类农用地</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安全利用类农用地</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优先保护类农用地</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污染物类型</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排放可能造成土壤污染的清淤底泥、尾矿、矿渣等的</w:t>
            </w:r>
          </w:p>
        </w:tc>
        <w:tc>
          <w:tcPr>
            <w:tcW w:w="12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60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18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10吨以上</w:t>
            </w:r>
          </w:p>
        </w:tc>
        <w:tc>
          <w:tcPr>
            <w:tcW w:w="60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排放重金属或者其他有毒有害物质含量超标的污水、污泥的</w:t>
            </w:r>
          </w:p>
        </w:tc>
        <w:tc>
          <w:tcPr>
            <w:tcW w:w="12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60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vAlign w:val="center"/>
          </w:tcPr>
          <w:p>
            <w:pPr>
              <w:jc w:val="center"/>
              <w:rPr>
                <w:rFonts w:ascii="仿宋" w:hAnsi="仿宋" w:eastAsia="仿宋" w:cs="仿宋"/>
                <w:color w:val="000000" w:themeColor="text1"/>
                <w:spacing w:val="-9"/>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18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10吨以上</w:t>
            </w:r>
          </w:p>
        </w:tc>
        <w:tc>
          <w:tcPr>
            <w:tcW w:w="60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配合调查取证情况</w:t>
            </w: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tcBorders>
            <w:vAlign w:val="center"/>
          </w:tcPr>
          <w:p>
            <w:pPr>
              <w:jc w:val="center"/>
              <w:rPr>
                <w:rFonts w:ascii="Malgun Gothic"/>
                <w:color w:val="000000" w:themeColor="text1"/>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87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6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vAlign w:val="center"/>
          </w:tcPr>
          <w:p>
            <w:pPr>
              <w:jc w:val="center"/>
              <w:rPr>
                <w:rFonts w:ascii="仿宋" w:hAnsi="仿宋" w:eastAsia="仿宋" w:cs="仿宋"/>
                <w:color w:val="000000" w:themeColor="text1"/>
                <w:spacing w:val="-2"/>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31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vAlign w:val="center"/>
          </w:tcPr>
          <w:p>
            <w:pPr>
              <w:jc w:val="center"/>
              <w:rPr>
                <w:rFonts w:ascii="仿宋" w:hAnsi="仿宋" w:eastAsia="仿宋" w:cs="仿宋"/>
                <w:color w:val="000000" w:themeColor="text1"/>
                <w:spacing w:val="-2"/>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31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vAlign w:val="center"/>
          </w:tcPr>
          <w:p>
            <w:pPr>
              <w:jc w:val="center"/>
              <w:rPr>
                <w:rFonts w:ascii="仿宋" w:hAnsi="仿宋" w:eastAsia="仿宋" w:cs="仿宋"/>
                <w:color w:val="000000" w:themeColor="text1"/>
                <w:spacing w:val="-2"/>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31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vAlign w:val="center"/>
          </w:tcPr>
          <w:p>
            <w:pPr>
              <w:jc w:val="center"/>
              <w:rPr>
                <w:rFonts w:ascii="仿宋" w:hAnsi="仿宋" w:eastAsia="仿宋" w:cs="仿宋"/>
                <w:color w:val="000000" w:themeColor="text1"/>
                <w:spacing w:val="-2"/>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31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84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84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1.《中华人民共和国土壤污染防治法》第二十八条禁止向农用地排放重金属或者其他有毒有害物质含量超标的污水、污泥，以及可能造成土壤污染的清淤底泥、尾矿、矿渣等。</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七条违反本法规定，向农用地排放重金属或者其他有毒有害物质含量超标的污水、污泥，以及可能造成土壤污染的清淤底泥、尾矿、矿渣等的，由地方人民政府生态环境主管部门责令改正，处10万元以上50万元以下的罚款；情节严重的，处50万元以上200万元以下的罚款，并可以将案件移送公安机关，对直接负责的主管人员和其他直接责任人员处五日以上十五日以下的拘留；有违法所得的，没收违法所得。</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rPr>
          <w:rFonts w:ascii="仿宋" w:hAnsi="仿宋" w:eastAsia="仿宋" w:cs="仿宋"/>
          <w:color w:val="000000" w:themeColor="text1"/>
          <w:spacing w:val="-12"/>
          <w:sz w:val="24"/>
        </w:rPr>
      </w:pPr>
    </w:p>
    <w:p>
      <w:pPr>
        <w:rPr>
          <w:rFonts w:ascii="仿宋" w:hAnsi="仿宋" w:eastAsia="仿宋" w:cs="仿宋"/>
          <w:color w:val="000000" w:themeColor="text1"/>
          <w:spacing w:val="-12"/>
          <w:sz w:val="24"/>
        </w:rPr>
      </w:pPr>
    </w:p>
    <w:p>
      <w:pPr>
        <w:jc w:val="center"/>
        <w:outlineLvl w:val="1"/>
        <w:rPr>
          <w:rFonts w:ascii="仿宋" w:hAnsi="仿宋" w:eastAsia="仿宋" w:cs="仿宋"/>
          <w:b/>
          <w:bCs/>
          <w:color w:val="000000" w:themeColor="text1"/>
          <w:kern w:val="0"/>
          <w:sz w:val="24"/>
          <w:lang w:val="zh-CN"/>
        </w:rPr>
      </w:pPr>
      <w:bookmarkStart w:id="242" w:name="_Toc21023"/>
      <w:bookmarkStart w:id="243" w:name="_Toc2846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70</w:t>
      </w:r>
      <w:r>
        <w:rPr>
          <w:rFonts w:hint="eastAsia" w:ascii="仿宋" w:hAnsi="仿宋" w:eastAsia="仿宋" w:cs="仿宋"/>
          <w:b/>
          <w:bCs/>
          <w:color w:val="000000" w:themeColor="text1"/>
          <w:kern w:val="0"/>
          <w:sz w:val="24"/>
          <w:lang w:val="zh-CN"/>
        </w:rPr>
        <w:t>将重金属或者其他有毒有害物质含量超标的工业固体废物、生活垃圾或者污染土壤用于土地复垦的罚款幅度裁定</w:t>
      </w:r>
      <w:bookmarkEnd w:id="242"/>
      <w:bookmarkEnd w:id="243"/>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884"/>
        <w:gridCol w:w="612"/>
        <w:gridCol w:w="1485"/>
        <w:gridCol w:w="1778"/>
        <w:gridCol w:w="700"/>
        <w:gridCol w:w="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3919" w:type="dxa"/>
            <w:gridSpan w:val="3"/>
            <w:vAlign w:val="center"/>
          </w:tcPr>
          <w:p>
            <w:pPr>
              <w:spacing w:before="206" w:line="185" w:lineRule="auto"/>
              <w:ind w:firstLine="568"/>
              <w:jc w:val="center"/>
              <w:rPr>
                <w:rFonts w:ascii="仿宋" w:hAnsi="仿宋" w:eastAsia="仿宋" w:cs="仿宋"/>
                <w:color w:val="000000" w:themeColor="text1"/>
                <w:spacing w:val="-4"/>
                <w:sz w:val="18"/>
                <w:szCs w:val="18"/>
                <w:lang w:val="zh-CN"/>
              </w:rPr>
            </w:pPr>
            <w:r>
              <w:rPr>
                <w:rFonts w:hint="eastAsia" w:ascii="仿宋" w:hAnsi="仿宋" w:eastAsia="仿宋" w:cs="仿宋"/>
                <w:color w:val="000000" w:themeColor="text1"/>
                <w:spacing w:val="-4"/>
                <w:sz w:val="18"/>
                <w:szCs w:val="18"/>
                <w:lang w:val="zh-CN"/>
              </w:rPr>
              <w:t>裁量要素</w:t>
            </w:r>
          </w:p>
        </w:tc>
        <w:tc>
          <w:tcPr>
            <w:tcW w:w="4600" w:type="dxa"/>
            <w:gridSpan w:val="4"/>
            <w:vAlign w:val="center"/>
          </w:tcPr>
          <w:p>
            <w:pPr>
              <w:spacing w:before="206" w:line="185" w:lineRule="auto"/>
              <w:ind w:firstLine="568"/>
              <w:jc w:val="center"/>
              <w:rPr>
                <w:rFonts w:ascii="仿宋" w:hAnsi="仿宋" w:eastAsia="仿宋" w:cs="仿宋"/>
                <w:color w:val="000000" w:themeColor="text1"/>
                <w:spacing w:val="-4"/>
                <w:sz w:val="18"/>
                <w:szCs w:val="18"/>
                <w:lang w:val="zh-CN"/>
              </w:rPr>
            </w:pPr>
            <w:r>
              <w:rPr>
                <w:rFonts w:hint="eastAsia" w:ascii="仿宋" w:hAnsi="仿宋" w:eastAsia="仿宋" w:cs="仿宋"/>
                <w:color w:val="000000" w:themeColor="text1"/>
                <w:spacing w:val="-4"/>
                <w:sz w:val="18"/>
                <w:szCs w:val="18"/>
                <w:lang w:val="zh-CN"/>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1423" w:type="dxa"/>
          </w:tcPr>
          <w:p>
            <w:pPr>
              <w:spacing w:before="195"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84" w:type="dxa"/>
          </w:tcPr>
          <w:p>
            <w:pPr>
              <w:spacing w:before="206" w:line="185" w:lineRule="auto"/>
              <w:ind w:firstLine="568"/>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12" w:type="dxa"/>
          </w:tcPr>
          <w:p>
            <w:pPr>
              <w:spacing w:before="51" w:line="223" w:lineRule="auto"/>
              <w:ind w:left="159" w:right="119" w:hanging="32"/>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263" w:type="dxa"/>
            <w:gridSpan w:val="2"/>
          </w:tcPr>
          <w:p>
            <w:pPr>
              <w:spacing w:before="206" w:line="185" w:lineRule="auto"/>
              <w:ind w:firstLine="138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0" w:type="dxa"/>
            <w:tcBorders>
              <w:right w:val="single" w:color="auto" w:sz="4" w:space="0"/>
            </w:tcBorders>
          </w:tcPr>
          <w:p>
            <w:pPr>
              <w:spacing w:before="206"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7" w:type="dxa"/>
            <w:tcBorders>
              <w:left w:val="single" w:color="auto" w:sz="4" w:space="0"/>
            </w:tcBorders>
          </w:tcPr>
          <w:p>
            <w:pPr>
              <w:spacing w:before="206"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生活垃圾或者污染土壤用于土地复垦的</w:t>
            </w:r>
          </w:p>
        </w:tc>
        <w:tc>
          <w:tcPr>
            <w:tcW w:w="177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平方米以下</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平方米以上 200 平方米以下</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200 平方米以上 300 平方米以下</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 xml:space="preserve">300 平方米以上 </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8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将重金属或者其他有毒有害物质含量超标的工业固体废物用于土地复垦的</w:t>
            </w:r>
          </w:p>
        </w:tc>
        <w:tc>
          <w:tcPr>
            <w:tcW w:w="177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平方米以下</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vAlign w:val="center"/>
          </w:tcPr>
          <w:p>
            <w:pPr>
              <w:jc w:val="center"/>
              <w:rPr>
                <w:rFonts w:ascii="Malgun Gothic"/>
                <w:color w:val="000000" w:themeColor="text1"/>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平方米以上 200 平方米以下</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vAlign w:val="center"/>
          </w:tcPr>
          <w:p>
            <w:pPr>
              <w:jc w:val="center"/>
              <w:rPr>
                <w:rFonts w:ascii="Malgun Gothic"/>
                <w:color w:val="000000" w:themeColor="text1"/>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200 平方米以上 300 平方米以下</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3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vAlign w:val="center"/>
          </w:tcPr>
          <w:p>
            <w:pPr>
              <w:jc w:val="center"/>
              <w:rPr>
                <w:rFonts w:ascii="Malgun Gothic"/>
                <w:color w:val="000000" w:themeColor="text1"/>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 xml:space="preserve">300 平方米以上 </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8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8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8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3" w:type="dxa"/>
            <w:vMerge w:val="continue"/>
            <w:vAlign w:val="center"/>
          </w:tcPr>
          <w:p>
            <w:pPr>
              <w:jc w:val="center"/>
              <w:rPr>
                <w:rFonts w:ascii="Malgun Gothic"/>
                <w:color w:val="000000" w:themeColor="text1"/>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32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7"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1.《中华人民共和国土壤污染防治法》第三十三条第二款禁止将重金属或者其他有毒有害物质含量超标的工业固体废物、生活垃圾或者污染土壤用于土地复垦。</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九条违反本法规定，将重金属或者其他有毒有害物质含量超标的工业固体废物、生活垃圾或者污染土壤用于土地复垦的，由地方人民政府生态环境主管部门责令改正，处10万元以上100万元以下的罚款；有违法所得的，没收违法所得。</w:t>
      </w: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rPr>
          <w:rFonts w:ascii="仿宋" w:hAnsi="仿宋" w:eastAsia="仿宋" w:cs="仿宋"/>
          <w:color w:val="000000" w:themeColor="text1"/>
          <w:spacing w:val="-10"/>
          <w:sz w:val="24"/>
        </w:rPr>
      </w:pPr>
    </w:p>
    <w:p>
      <w:pPr>
        <w:jc w:val="center"/>
        <w:outlineLvl w:val="1"/>
        <w:rPr>
          <w:rFonts w:ascii="仿宋" w:hAnsi="仿宋" w:eastAsia="仿宋" w:cs="仿宋"/>
          <w:b/>
          <w:bCs/>
          <w:color w:val="000000" w:themeColor="text1"/>
          <w:kern w:val="0"/>
          <w:sz w:val="24"/>
          <w:lang w:val="zh-CN"/>
        </w:rPr>
      </w:pPr>
      <w:bookmarkStart w:id="244" w:name="_Toc17217"/>
      <w:bookmarkStart w:id="245" w:name="_Toc769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71</w:t>
      </w:r>
      <w:r>
        <w:rPr>
          <w:rFonts w:hint="eastAsia" w:ascii="仿宋" w:hAnsi="仿宋" w:eastAsia="仿宋" w:cs="仿宋"/>
          <w:b/>
          <w:bCs/>
          <w:color w:val="000000" w:themeColor="text1"/>
          <w:kern w:val="0"/>
          <w:sz w:val="24"/>
          <w:lang w:val="zh-CN"/>
        </w:rPr>
        <w:t>受委托从事土壤污染状况调查和土壤污染风险评估、风险管控效果评估、修复效果评估活动的单位，出具虚假调查报告、风险评估报告、风险管控效果评估报告、修复效果评估报告的罚款幅度裁定</w:t>
      </w:r>
      <w:bookmarkEnd w:id="244"/>
      <w:bookmarkEnd w:id="245"/>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3"/>
        <w:gridCol w:w="1311"/>
        <w:gridCol w:w="838"/>
        <w:gridCol w:w="1660"/>
        <w:gridCol w:w="1998"/>
        <w:gridCol w:w="693"/>
        <w:gridCol w:w="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358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7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433" w:type="dxa"/>
          </w:tcPr>
          <w:p>
            <w:pPr>
              <w:spacing w:before="195"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1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3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65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9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restart"/>
            <w:tcBorders>
              <w:bottom w:val="nil"/>
            </w:tcBorders>
            <w:vAlign w:val="center"/>
          </w:tcPr>
          <w:p>
            <w:pPr>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3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6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出具虚假调查报告的</w:t>
            </w:r>
          </w:p>
        </w:tc>
        <w:tc>
          <w:tcPr>
            <w:tcW w:w="199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vAlign w:val="center"/>
          </w:tcPr>
          <w:p>
            <w:pPr>
              <w:ind w:right="119"/>
              <w:jc w:val="center"/>
              <w:rPr>
                <w:rFonts w:ascii="仿宋" w:hAnsi="仿宋" w:eastAsia="仿宋" w:cs="仿宋"/>
                <w:color w:val="000000" w:themeColor="text1"/>
                <w:spacing w:val="-2"/>
                <w:sz w:val="18"/>
                <w:szCs w:val="18"/>
              </w:rPr>
            </w:pPr>
          </w:p>
        </w:tc>
        <w:tc>
          <w:tcPr>
            <w:tcW w:w="1311" w:type="dxa"/>
            <w:vMerge w:val="continue"/>
            <w:vAlign w:val="center"/>
          </w:tcPr>
          <w:p>
            <w:pPr>
              <w:jc w:val="center"/>
              <w:rPr>
                <w:rFonts w:ascii="仿宋" w:hAnsi="仿宋" w:eastAsia="仿宋" w:cs="仿宋"/>
                <w:color w:val="000000" w:themeColor="text1"/>
                <w:spacing w:val="-1"/>
                <w:sz w:val="18"/>
                <w:szCs w:val="18"/>
              </w:rPr>
            </w:pPr>
          </w:p>
        </w:tc>
        <w:tc>
          <w:tcPr>
            <w:tcW w:w="838" w:type="dxa"/>
            <w:vMerge w:val="continue"/>
            <w:vAlign w:val="center"/>
          </w:tcPr>
          <w:p>
            <w:pPr>
              <w:jc w:val="center"/>
              <w:rPr>
                <w:rFonts w:ascii="仿宋" w:hAnsi="仿宋" w:eastAsia="仿宋" w:cs="仿宋"/>
                <w:color w:val="000000" w:themeColor="text1"/>
                <w:spacing w:val="-1"/>
                <w:sz w:val="18"/>
                <w:szCs w:val="18"/>
              </w:rPr>
            </w:pPr>
          </w:p>
        </w:tc>
        <w:tc>
          <w:tcPr>
            <w:tcW w:w="16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9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出具虚假风险评估报告的</w:t>
            </w:r>
          </w:p>
        </w:tc>
        <w:tc>
          <w:tcPr>
            <w:tcW w:w="199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9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出具虚假风险管控效果评估报告的</w:t>
            </w:r>
          </w:p>
        </w:tc>
        <w:tc>
          <w:tcPr>
            <w:tcW w:w="199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9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tcBorders>
              <w:top w:val="nil"/>
            </w:tcBorders>
            <w:vAlign w:val="center"/>
          </w:tcPr>
          <w:p>
            <w:pPr>
              <w:jc w:val="center"/>
              <w:rPr>
                <w:rFonts w:ascii="Malgun Gothic"/>
                <w:color w:val="000000" w:themeColor="text1"/>
                <w:sz w:val="18"/>
                <w:szCs w:val="18"/>
              </w:rPr>
            </w:pPr>
          </w:p>
        </w:tc>
        <w:tc>
          <w:tcPr>
            <w:tcW w:w="13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出具虚假修复效果评估报告的</w:t>
            </w:r>
          </w:p>
        </w:tc>
        <w:tc>
          <w:tcPr>
            <w:tcW w:w="199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3" w:type="dxa"/>
            <w:vMerge w:val="continue"/>
            <w:vAlign w:val="center"/>
          </w:tcPr>
          <w:p>
            <w:pPr>
              <w:jc w:val="center"/>
              <w:rPr>
                <w:rFonts w:ascii="Malgun Gothic"/>
                <w:color w:val="000000" w:themeColor="text1"/>
                <w:sz w:val="18"/>
                <w:szCs w:val="18"/>
              </w:rPr>
            </w:pPr>
          </w:p>
        </w:tc>
        <w:tc>
          <w:tcPr>
            <w:tcW w:w="1311" w:type="dxa"/>
            <w:vMerge w:val="continue"/>
            <w:vAlign w:val="center"/>
          </w:tcPr>
          <w:p>
            <w:pPr>
              <w:jc w:val="center"/>
              <w:rPr>
                <w:rFonts w:ascii="仿宋" w:hAnsi="仿宋" w:eastAsia="仿宋" w:cs="仿宋"/>
                <w:color w:val="000000" w:themeColor="text1"/>
                <w:spacing w:val="-1"/>
                <w:sz w:val="18"/>
                <w:szCs w:val="18"/>
              </w:rPr>
            </w:pPr>
          </w:p>
        </w:tc>
        <w:tc>
          <w:tcPr>
            <w:tcW w:w="838" w:type="dxa"/>
            <w:vMerge w:val="continue"/>
            <w:vAlign w:val="center"/>
          </w:tcPr>
          <w:p>
            <w:pPr>
              <w:jc w:val="center"/>
              <w:rPr>
                <w:rFonts w:ascii="仿宋" w:hAnsi="仿宋" w:eastAsia="仿宋" w:cs="仿宋"/>
                <w:color w:val="000000" w:themeColor="text1"/>
                <w:spacing w:val="-1"/>
                <w:sz w:val="18"/>
                <w:szCs w:val="18"/>
              </w:rPr>
            </w:pPr>
          </w:p>
        </w:tc>
        <w:tc>
          <w:tcPr>
            <w:tcW w:w="16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9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nil"/>
            </w:tcBorders>
            <w:vAlign w:val="center"/>
          </w:tcPr>
          <w:p>
            <w:pPr>
              <w:jc w:val="center"/>
              <w:rPr>
                <w:rFonts w:ascii="Malgun Gothic"/>
                <w:color w:val="000000" w:themeColor="text1"/>
                <w:sz w:val="18"/>
                <w:szCs w:val="18"/>
              </w:rPr>
            </w:pPr>
          </w:p>
        </w:tc>
        <w:tc>
          <w:tcPr>
            <w:tcW w:w="13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nil"/>
            </w:tcBorders>
            <w:vAlign w:val="center"/>
          </w:tcPr>
          <w:p>
            <w:pPr>
              <w:jc w:val="center"/>
              <w:rPr>
                <w:rFonts w:ascii="Malgun Gothic"/>
                <w:color w:val="000000" w:themeColor="text1"/>
                <w:sz w:val="18"/>
                <w:szCs w:val="18"/>
              </w:rPr>
            </w:pPr>
          </w:p>
        </w:tc>
        <w:tc>
          <w:tcPr>
            <w:tcW w:w="13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11"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3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58"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93"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6"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5"/>
                <w:sz w:val="18"/>
                <w:szCs w:val="18"/>
              </w:rPr>
            </w:pPr>
          </w:p>
        </w:tc>
        <w:tc>
          <w:tcPr>
            <w:tcW w:w="13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93"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1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3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5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93"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6"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93"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6"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6"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3" w:type="dxa"/>
            <w:vMerge w:val="continue"/>
            <w:vAlign w:val="center"/>
          </w:tcPr>
          <w:p>
            <w:pPr>
              <w:jc w:val="center"/>
              <w:rPr>
                <w:rFonts w:ascii="Malgun Gothic"/>
                <w:color w:val="000000" w:themeColor="text1"/>
                <w:sz w:val="18"/>
                <w:szCs w:val="18"/>
              </w:rPr>
            </w:pPr>
          </w:p>
        </w:tc>
        <w:tc>
          <w:tcPr>
            <w:tcW w:w="1311" w:type="dxa"/>
            <w:vMerge w:val="continue"/>
            <w:vAlign w:val="center"/>
          </w:tcPr>
          <w:p>
            <w:pPr>
              <w:jc w:val="center"/>
              <w:rPr>
                <w:rFonts w:ascii="仿宋" w:hAnsi="仿宋" w:eastAsia="仿宋" w:cs="仿宋"/>
                <w:color w:val="000000" w:themeColor="text1"/>
                <w:spacing w:val="-1"/>
                <w:sz w:val="18"/>
                <w:szCs w:val="18"/>
              </w:rPr>
            </w:pPr>
          </w:p>
        </w:tc>
        <w:tc>
          <w:tcPr>
            <w:tcW w:w="838"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1"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1.《中华人民共和国土壤污染防治法》第四十三条从事土壤污染状况调查和土壤污染风险评估、风险管控、修复、风险管控效果评估、修复效果评估、后期管理等活动的单位，应当具备相应的专业能力。</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受委托从事前款活动的单位对其出具的调查报告、风险评估报告、风险管控效果评估报告、修复效果评估报告的真实性、准确性、完整性负责，并按照约定对风险管控、修复、后期管理等活动结果负责。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条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10万元以上50万元以下的罚款；情节严重的，禁止从事上述业务，并处50万元以上100万元以下的罚款；有违法所得的，没收违法所得。</w:t>
      </w:r>
    </w:p>
    <w:p>
      <w:pPr>
        <w:spacing w:before="73"/>
        <w:ind w:right="108"/>
        <w:rPr>
          <w:rFonts w:ascii="仿宋_GB2312" w:hAnsi="仿宋_GB2312" w:eastAsia="仿宋_GB2312" w:cs="仿宋_GB2312"/>
          <w:color w:val="000000" w:themeColor="text1"/>
          <w:szCs w:val="21"/>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jc w:val="center"/>
        <w:outlineLvl w:val="1"/>
        <w:rPr>
          <w:rFonts w:ascii="仿宋" w:hAnsi="仿宋" w:eastAsia="仿宋" w:cs="仿宋"/>
          <w:b/>
          <w:bCs/>
          <w:color w:val="000000" w:themeColor="text1"/>
          <w:kern w:val="0"/>
          <w:sz w:val="24"/>
          <w:lang w:val="zh-CN"/>
        </w:rPr>
      </w:pPr>
      <w:bookmarkStart w:id="246" w:name="_Toc32494"/>
      <w:bookmarkStart w:id="247" w:name="_Toc814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72</w:t>
      </w:r>
      <w:r>
        <w:rPr>
          <w:rFonts w:hint="eastAsia" w:ascii="仿宋" w:hAnsi="仿宋" w:eastAsia="仿宋" w:cs="仿宋"/>
          <w:b/>
          <w:bCs/>
          <w:color w:val="000000" w:themeColor="text1"/>
          <w:kern w:val="0"/>
          <w:sz w:val="24"/>
          <w:lang w:val="zh-CN"/>
        </w:rPr>
        <w:t>未单独收集、存放开发建设过程中剥离的表土的罚款幅度裁定</w:t>
      </w:r>
      <w:bookmarkEnd w:id="246"/>
      <w:bookmarkEnd w:id="247"/>
    </w:p>
    <w:tbl>
      <w:tblPr>
        <w:tblStyle w:val="15"/>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351"/>
        <w:gridCol w:w="816"/>
        <w:gridCol w:w="1747"/>
        <w:gridCol w:w="1662"/>
        <w:gridCol w:w="797"/>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9" w:hRule="atLeast"/>
        </w:trPr>
        <w:tc>
          <w:tcPr>
            <w:tcW w:w="359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2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 w:hRule="atLeast"/>
        </w:trPr>
        <w:tc>
          <w:tcPr>
            <w:tcW w:w="1423" w:type="dxa"/>
          </w:tcPr>
          <w:p>
            <w:pPr>
              <w:spacing w:before="197"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5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1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0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9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3"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74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建设过程中剥离的表土与固体废物、生活垃圾混入的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 吨以下</w:t>
            </w:r>
          </w:p>
        </w:tc>
        <w:tc>
          <w:tcPr>
            <w:tcW w:w="7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 吨以上 5 吨以下</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 吨以上 10 吨以下</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top w:val="single" w:color="auto" w:sz="4" w:space="0"/>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 吨以上</w:t>
            </w:r>
          </w:p>
        </w:tc>
        <w:tc>
          <w:tcPr>
            <w:tcW w:w="7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3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4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建设过程中剥离的表土混入有毒有害物体，影响回填使用的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 吨以下</w:t>
            </w:r>
          </w:p>
        </w:tc>
        <w:tc>
          <w:tcPr>
            <w:tcW w:w="7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3" w:type="dxa"/>
            <w:tcBorders>
              <w:left w:val="single" w:color="auto" w:sz="4" w:space="0"/>
              <w:bottom w:val="single" w:color="auto" w:sz="4" w:space="0"/>
            </w:tcBorders>
          </w:tcPr>
          <w:p>
            <w:pPr>
              <w:spacing w:before="352"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3" w:type="dxa"/>
            <w:vMerge w:val="continue"/>
            <w:vAlign w:val="center"/>
          </w:tcPr>
          <w:p>
            <w:pPr>
              <w:jc w:val="center"/>
              <w:rPr>
                <w:rFonts w:ascii="Malgun Gothic"/>
                <w:color w:val="000000" w:themeColor="text1"/>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 吨以上 5 吨以下</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3" w:type="dxa"/>
            <w:tcBorders>
              <w:top w:val="single" w:color="auto" w:sz="4" w:space="0"/>
              <w:left w:val="single" w:color="auto" w:sz="4" w:space="0"/>
              <w:bottom w:val="single" w:color="auto" w:sz="4" w:space="0"/>
            </w:tcBorders>
          </w:tcPr>
          <w:p>
            <w:pPr>
              <w:spacing w:before="352"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3" w:type="dxa"/>
            <w:vMerge w:val="continue"/>
            <w:vAlign w:val="center"/>
          </w:tcPr>
          <w:p>
            <w:pPr>
              <w:jc w:val="center"/>
              <w:rPr>
                <w:rFonts w:ascii="Malgun Gothic"/>
                <w:color w:val="000000" w:themeColor="text1"/>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 吨以上 10 吨以下</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3" w:type="dxa"/>
            <w:tcBorders>
              <w:top w:val="single" w:color="auto" w:sz="4" w:space="0"/>
              <w:left w:val="single" w:color="auto" w:sz="4" w:space="0"/>
              <w:bottom w:val="single" w:color="auto" w:sz="4" w:space="0"/>
            </w:tcBorders>
          </w:tcPr>
          <w:p>
            <w:pPr>
              <w:spacing w:before="352"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3" w:type="dxa"/>
            <w:vMerge w:val="continue"/>
            <w:vAlign w:val="center"/>
          </w:tcPr>
          <w:p>
            <w:pPr>
              <w:jc w:val="center"/>
              <w:rPr>
                <w:rFonts w:ascii="Malgun Gothic"/>
                <w:color w:val="000000" w:themeColor="text1"/>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 吨以上</w:t>
            </w:r>
          </w:p>
        </w:tc>
        <w:tc>
          <w:tcPr>
            <w:tcW w:w="7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3" w:type="dxa"/>
            <w:tcBorders>
              <w:top w:val="single" w:color="auto" w:sz="4" w:space="0"/>
              <w:left w:val="single" w:color="auto" w:sz="4" w:space="0"/>
            </w:tcBorders>
          </w:tcPr>
          <w:p>
            <w:pPr>
              <w:spacing w:before="352"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tcPr>
          <w:p>
            <w:pPr>
              <w:spacing w:before="41"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40"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left w:val="single" w:color="auto" w:sz="4" w:space="0"/>
            </w:tcBorders>
          </w:tcPr>
          <w:p>
            <w:pPr>
              <w:spacing w:before="40"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3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left w:val="single" w:color="auto" w:sz="4" w:space="0"/>
            </w:tcBorders>
          </w:tcPr>
          <w:p>
            <w:pPr>
              <w:spacing w:before="42"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tcPr>
          <w:p>
            <w:pPr>
              <w:spacing w:before="197"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3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40"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tcPr>
          <w:p>
            <w:pPr>
              <w:spacing w:before="50"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3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40"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23" w:type="dxa"/>
            <w:vMerge w:val="continue"/>
            <w:vAlign w:val="center"/>
          </w:tcPr>
          <w:p>
            <w:pPr>
              <w:jc w:val="center"/>
              <w:rPr>
                <w:rFonts w:ascii="Malgun Gothic"/>
                <w:color w:val="000000" w:themeColor="text1"/>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34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kinsoku w:val="0"/>
        <w:autoSpaceDE w:val="0"/>
        <w:autoSpaceDN w:val="0"/>
        <w:adjustRightInd w:val="0"/>
        <w:snapToGrid w:val="0"/>
        <w:textAlignment w:val="baseline"/>
        <w:rPr>
          <w:b/>
          <w:bCs/>
          <w:color w:val="000000" w:themeColor="text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三条第一款国家加强对土壤资源的保护和合理利用。对开发建设过程中剥离的表土，应当单独收集和存放，符合条件的应当优先用于土地复垦、土壤改良、造地和绿化等。</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（一）未单独收集、存放开发建设过程中剥离的表土的；</w:t>
      </w: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b/>
          <w:bCs/>
          <w:color w:val="000000" w:themeColor="text1"/>
          <w:sz w:val="24"/>
        </w:rPr>
      </w:pPr>
      <w:bookmarkStart w:id="248" w:name="_Toc29454"/>
      <w:bookmarkStart w:id="249" w:name="_Toc715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73</w:t>
      </w:r>
      <w:r>
        <w:rPr>
          <w:rFonts w:hint="eastAsia" w:ascii="仿宋" w:hAnsi="仿宋" w:eastAsia="仿宋" w:cs="仿宋"/>
          <w:b/>
          <w:bCs/>
          <w:color w:val="000000" w:themeColor="text1"/>
          <w:kern w:val="0"/>
          <w:sz w:val="24"/>
          <w:lang w:val="zh-CN"/>
        </w:rPr>
        <w:t>实施风险管控、修复活动对土壤、周边环境造成新的污染的罚款幅度裁定</w:t>
      </w:r>
      <w:bookmarkEnd w:id="248"/>
      <w:bookmarkEnd w:id="249"/>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238"/>
        <w:gridCol w:w="960"/>
        <w:gridCol w:w="1258"/>
        <w:gridCol w:w="2168"/>
        <w:gridCol w:w="829"/>
        <w:gridCol w:w="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 w:hRule="atLeast"/>
        </w:trPr>
        <w:tc>
          <w:tcPr>
            <w:tcW w:w="364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5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1444"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3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6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2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2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0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5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对工业用地土壤、周边环境造成新的污染的</w:t>
            </w:r>
          </w:p>
        </w:tc>
        <w:tc>
          <w:tcPr>
            <w:tcW w:w="21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 平方米以下</w:t>
            </w:r>
          </w:p>
        </w:tc>
        <w:tc>
          <w:tcPr>
            <w:tcW w:w="82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 平方米以上 100 平 方米以下</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平方米以上 150 平方米以下</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top w:val="single" w:color="auto" w:sz="4" w:space="0"/>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150 平方米以上</w:t>
            </w:r>
          </w:p>
        </w:tc>
        <w:tc>
          <w:tcPr>
            <w:tcW w:w="82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5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对农业用地土壤、周边环境造成新的污染的</w:t>
            </w:r>
          </w:p>
        </w:tc>
        <w:tc>
          <w:tcPr>
            <w:tcW w:w="21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 平方米以下</w:t>
            </w:r>
          </w:p>
        </w:tc>
        <w:tc>
          <w:tcPr>
            <w:tcW w:w="82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tcPr>
          <w:p>
            <w:pPr>
              <w:spacing w:before="197"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 平方米以上 100 平 方米以下</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bottom w:val="single" w:color="auto" w:sz="4" w:space="0"/>
            </w:tcBorders>
          </w:tcPr>
          <w:p>
            <w:pPr>
              <w:spacing w:before="197"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平方米以上 150 平方米以下</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top w:val="single" w:color="auto" w:sz="4" w:space="0"/>
              <w:left w:val="single" w:color="auto" w:sz="4" w:space="0"/>
              <w:bottom w:val="single" w:color="auto" w:sz="4" w:space="0"/>
            </w:tcBorders>
          </w:tcPr>
          <w:p>
            <w:pPr>
              <w:spacing w:before="197"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150 平方米以上</w:t>
            </w:r>
          </w:p>
        </w:tc>
        <w:tc>
          <w:tcPr>
            <w:tcW w:w="82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tcBorders>
          </w:tcPr>
          <w:p>
            <w:pPr>
              <w:spacing w:before="197"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tcBorders>
          </w:tcPr>
          <w:p>
            <w:pPr>
              <w:spacing w:before="43"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tcBorders>
          </w:tcPr>
          <w:p>
            <w:pPr>
              <w:spacing w:before="197"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3"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tcPr>
          <w:p>
            <w:pPr>
              <w:spacing w:before="4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2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342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1.《中华人民共和国土壤污染防治法》第三十八条第二款实施风险管控、修复活动，不得对土壤和周边环境造成新的污染。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（二）实施风险管控、修复活动对土壤、周边环境造成新的污染的；</w:t>
      </w: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jc w:val="center"/>
        <w:textAlignment w:val="baseline"/>
        <w:outlineLvl w:val="1"/>
        <w:rPr>
          <w:b/>
          <w:bCs/>
          <w:color w:val="000000" w:themeColor="text1"/>
          <w:sz w:val="24"/>
        </w:rPr>
      </w:pPr>
      <w:bookmarkStart w:id="250" w:name="_Toc5191"/>
      <w:bookmarkStart w:id="251" w:name="_Toc2294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74</w:t>
      </w:r>
      <w:r>
        <w:rPr>
          <w:rFonts w:hint="eastAsia" w:ascii="仿宋" w:hAnsi="仿宋" w:eastAsia="仿宋" w:cs="仿宋"/>
          <w:b/>
          <w:bCs/>
          <w:color w:val="000000" w:themeColor="text1"/>
          <w:kern w:val="0"/>
          <w:sz w:val="24"/>
          <w:lang w:val="zh-CN"/>
        </w:rPr>
        <w:t>转运污染土壤，未将运输时间、方式、线路和污染土壤数量、去向、最终处置措施等提前报所在地和接收地生态环境主管部门的罚款幅度裁定</w:t>
      </w:r>
      <w:bookmarkEnd w:id="250"/>
      <w:bookmarkEnd w:id="251"/>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0"/>
        <w:gridCol w:w="1787"/>
        <w:gridCol w:w="787"/>
        <w:gridCol w:w="1374"/>
        <w:gridCol w:w="1901"/>
        <w:gridCol w:w="639"/>
        <w:gridCol w:w="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7" w:hRule="atLeast"/>
        </w:trPr>
        <w:tc>
          <w:tcPr>
            <w:tcW w:w="400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5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1430"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8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430" w:type="dxa"/>
            <w:vMerge w:val="restart"/>
            <w:tcBorders>
              <w:bottom w:val="nil"/>
            </w:tcBorders>
            <w:vAlign w:val="center"/>
          </w:tcPr>
          <w:p>
            <w:pPr>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7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涉及污染土壤数量5吨以下的</w:t>
            </w:r>
          </w:p>
        </w:tc>
        <w:tc>
          <w:tcPr>
            <w:tcW w:w="190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未上报所在地生态环境主管部门</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1430" w:type="dxa"/>
            <w:vMerge w:val="continue"/>
            <w:vAlign w:val="center"/>
          </w:tcPr>
          <w:p>
            <w:pPr>
              <w:ind w:right="119"/>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137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1"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未上报接收地生态环境主管部门</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7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涉及污染土壤数量5吨以上10吨以下的</w:t>
            </w:r>
          </w:p>
        </w:tc>
        <w:tc>
          <w:tcPr>
            <w:tcW w:w="190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未上报所在地生态环境主管部门</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7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1"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未上报接收地生态环境主管部门</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6"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7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涉及污染土壤数量10吨以上20吨以下的</w:t>
            </w:r>
          </w:p>
        </w:tc>
        <w:tc>
          <w:tcPr>
            <w:tcW w:w="190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未上报所在地生态环境主管部门</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7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1"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未上报接收地生态环境主管部门</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trPr>
        <w:tc>
          <w:tcPr>
            <w:tcW w:w="1430"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7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涉及污染土壤数量20吨以上的</w:t>
            </w:r>
          </w:p>
        </w:tc>
        <w:tc>
          <w:tcPr>
            <w:tcW w:w="190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未上报所在地生态环境主管部门</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1430"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1374" w:type="dxa"/>
            <w:vMerge w:val="continue"/>
            <w:tcBorders>
              <w:right w:val="single" w:color="auto" w:sz="4" w:space="0"/>
            </w:tcBorders>
          </w:tcPr>
          <w:p>
            <w:pPr>
              <w:jc w:val="center"/>
              <w:rPr>
                <w:rFonts w:ascii="仿宋" w:hAnsi="仿宋" w:eastAsia="仿宋" w:cs="仿宋"/>
                <w:color w:val="000000" w:themeColor="text1"/>
                <w:spacing w:val="-1"/>
                <w:sz w:val="18"/>
                <w:szCs w:val="18"/>
              </w:rPr>
            </w:pPr>
          </w:p>
        </w:tc>
        <w:tc>
          <w:tcPr>
            <w:tcW w:w="1901"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未上报接收地生态环境主管部门</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restart"/>
            <w:tcBorders>
              <w:bottom w:val="nil"/>
            </w:tcBorders>
            <w:vAlign w:val="center"/>
          </w:tcPr>
          <w:p>
            <w:pPr>
              <w:ind w:left="257" w:right="241"/>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vAlign w:val="center"/>
          </w:tcPr>
          <w:p>
            <w:pPr>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32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vAlign w:val="center"/>
          </w:tcPr>
          <w:p>
            <w:pPr>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32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0"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32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84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84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一条第一款修复施工单位转运污染土壤的，应当制定转运计划，将运输时间、方式、线路和污染土壤数量、去向、最终处置措施等，提前报所在地和接收地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（三）转运污染土壤，未将运输时间、方式、线路和污染土壤数量、去向、最终处置措施等提前报所在地和接收地生态环境主管部门的；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52" w:name="_Toc24324"/>
      <w:bookmarkStart w:id="253" w:name="_Toc1290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75</w:t>
      </w:r>
      <w:r>
        <w:rPr>
          <w:rFonts w:hint="eastAsia" w:ascii="仿宋" w:hAnsi="仿宋" w:eastAsia="仿宋" w:cs="仿宋"/>
          <w:b/>
          <w:bCs/>
          <w:color w:val="000000" w:themeColor="text1"/>
          <w:kern w:val="0"/>
          <w:sz w:val="24"/>
          <w:lang w:val="zh-CN"/>
        </w:rPr>
        <w:t>未达到土壤污染风险评估报告确定的风险管控、修复目标的建设用地地块，开工建设与风险管控、修复无关的项目的罚款幅度裁定</w:t>
      </w:r>
      <w:bookmarkEnd w:id="252"/>
      <w:bookmarkEnd w:id="253"/>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1397"/>
        <w:gridCol w:w="760"/>
        <w:gridCol w:w="1235"/>
        <w:gridCol w:w="2256"/>
        <w:gridCol w:w="738"/>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2" w:hRule="atLeast"/>
        </w:trPr>
        <w:tc>
          <w:tcPr>
            <w:tcW w:w="3593"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66"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1436"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9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9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3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已开工建设但主体工程未建成</w:t>
            </w:r>
          </w:p>
        </w:tc>
        <w:tc>
          <w:tcPr>
            <w:tcW w:w="22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3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bottom w:val="single" w:color="auto" w:sz="4" w:space="0"/>
            </w:tcBorders>
            <w:vAlign w:val="center"/>
          </w:tcPr>
          <w:p>
            <w:pPr>
              <w:spacing w:before="197" w:line="184" w:lineRule="auto"/>
              <w:ind w:firstLine="22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continue"/>
            <w:vAlign w:val="center"/>
          </w:tcPr>
          <w:p>
            <w:pPr>
              <w:jc w:val="center"/>
              <w:rPr>
                <w:rFonts w:ascii="仿宋" w:hAnsi="仿宋" w:eastAsia="仿宋" w:cs="仿宋"/>
                <w:color w:val="000000" w:themeColor="text1"/>
                <w:spacing w:val="-7"/>
                <w:sz w:val="18"/>
                <w:szCs w:val="18"/>
              </w:rPr>
            </w:pPr>
          </w:p>
        </w:tc>
        <w:tc>
          <w:tcPr>
            <w:tcW w:w="1397" w:type="dxa"/>
            <w:vMerge w:val="continue"/>
            <w:vAlign w:val="center"/>
          </w:tcPr>
          <w:p>
            <w:pPr>
              <w:jc w:val="center"/>
              <w:rPr>
                <w:rFonts w:ascii="仿宋" w:hAnsi="仿宋" w:eastAsia="仿宋" w:cs="仿宋"/>
                <w:color w:val="000000" w:themeColor="text1"/>
                <w:spacing w:val="-1"/>
                <w:sz w:val="18"/>
                <w:szCs w:val="18"/>
              </w:rPr>
            </w:pPr>
          </w:p>
        </w:tc>
        <w:tc>
          <w:tcPr>
            <w:tcW w:w="760" w:type="dxa"/>
            <w:vMerge w:val="continue"/>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37" w:type="dxa"/>
            <w:tcBorders>
              <w:top w:val="single" w:color="auto" w:sz="4" w:space="0"/>
              <w:left w:val="single" w:color="auto" w:sz="4" w:space="0"/>
              <w:bottom w:val="single" w:color="auto" w:sz="4" w:space="0"/>
            </w:tcBorders>
            <w:vAlign w:val="center"/>
          </w:tcPr>
          <w:p>
            <w:pPr>
              <w:spacing w:before="197" w:line="184" w:lineRule="auto"/>
              <w:ind w:firstLine="22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continue"/>
            <w:vAlign w:val="center"/>
          </w:tcPr>
          <w:p>
            <w:pPr>
              <w:jc w:val="center"/>
              <w:rPr>
                <w:rFonts w:ascii="仿宋" w:hAnsi="仿宋" w:eastAsia="仿宋" w:cs="仿宋"/>
                <w:color w:val="000000" w:themeColor="text1"/>
                <w:spacing w:val="-7"/>
                <w:sz w:val="18"/>
                <w:szCs w:val="18"/>
              </w:rPr>
            </w:pPr>
          </w:p>
        </w:tc>
        <w:tc>
          <w:tcPr>
            <w:tcW w:w="1397" w:type="dxa"/>
            <w:vMerge w:val="continue"/>
            <w:vAlign w:val="center"/>
          </w:tcPr>
          <w:p>
            <w:pPr>
              <w:jc w:val="center"/>
              <w:rPr>
                <w:rFonts w:ascii="仿宋" w:hAnsi="仿宋" w:eastAsia="仿宋" w:cs="仿宋"/>
                <w:color w:val="000000" w:themeColor="text1"/>
                <w:spacing w:val="-1"/>
                <w:sz w:val="18"/>
                <w:szCs w:val="18"/>
              </w:rPr>
            </w:pPr>
          </w:p>
        </w:tc>
        <w:tc>
          <w:tcPr>
            <w:tcW w:w="760" w:type="dxa"/>
            <w:vMerge w:val="continue"/>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73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tcBorders>
            <w:vAlign w:val="center"/>
          </w:tcPr>
          <w:p>
            <w:pPr>
              <w:spacing w:before="197" w:line="184" w:lineRule="auto"/>
              <w:ind w:firstLine="22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主体工程已建成但尚未投入生产或者使用的</w:t>
            </w:r>
          </w:p>
        </w:tc>
        <w:tc>
          <w:tcPr>
            <w:tcW w:w="22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3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bottom w:val="single" w:color="auto" w:sz="4" w:space="0"/>
            </w:tcBorders>
            <w:vAlign w:val="center"/>
          </w:tcPr>
          <w:p>
            <w:pPr>
              <w:spacing w:before="197" w:line="184" w:lineRule="auto"/>
              <w:ind w:firstLine="16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37" w:type="dxa"/>
            <w:tcBorders>
              <w:top w:val="single" w:color="auto" w:sz="4" w:space="0"/>
              <w:left w:val="single" w:color="auto" w:sz="4" w:space="0"/>
              <w:bottom w:val="single" w:color="auto" w:sz="4" w:space="0"/>
            </w:tcBorders>
            <w:vAlign w:val="center"/>
          </w:tcPr>
          <w:p>
            <w:pPr>
              <w:spacing w:before="197" w:line="184" w:lineRule="auto"/>
              <w:ind w:firstLine="16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73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tcBorders>
            <w:vAlign w:val="center"/>
          </w:tcPr>
          <w:p>
            <w:pPr>
              <w:spacing w:before="197" w:line="184" w:lineRule="auto"/>
              <w:ind w:firstLine="16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主体工程已投入生产或者使用的</w:t>
            </w:r>
          </w:p>
        </w:tc>
        <w:tc>
          <w:tcPr>
            <w:tcW w:w="22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3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7" w:type="dxa"/>
            <w:tcBorders>
              <w:left w:val="single" w:color="auto" w:sz="4" w:space="0"/>
              <w:bottom w:val="single" w:color="auto" w:sz="4" w:space="0"/>
            </w:tcBorders>
            <w:vAlign w:val="center"/>
          </w:tcPr>
          <w:p>
            <w:pPr>
              <w:spacing w:before="196" w:line="184" w:lineRule="auto"/>
              <w:ind w:firstLine="156"/>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7" w:type="dxa"/>
            <w:tcBorders>
              <w:top w:val="single" w:color="auto" w:sz="4" w:space="0"/>
              <w:left w:val="single" w:color="auto" w:sz="4" w:space="0"/>
              <w:bottom w:val="single" w:color="auto" w:sz="4" w:space="0"/>
            </w:tcBorders>
            <w:vAlign w:val="center"/>
          </w:tcPr>
          <w:p>
            <w:pPr>
              <w:spacing w:before="196" w:line="184" w:lineRule="auto"/>
              <w:ind w:firstLine="156"/>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6" w:type="dxa"/>
            <w:vMerge w:val="continue"/>
            <w:vAlign w:val="center"/>
          </w:tcPr>
          <w:p>
            <w:pPr>
              <w:jc w:val="center"/>
              <w:rPr>
                <w:rFonts w:ascii="Malgun Gothic"/>
                <w:color w:val="000000" w:themeColor="text1"/>
                <w:sz w:val="18"/>
                <w:szCs w:val="18"/>
              </w:rPr>
            </w:pPr>
          </w:p>
        </w:tc>
        <w:tc>
          <w:tcPr>
            <w:tcW w:w="1397" w:type="dxa"/>
            <w:vMerge w:val="continue"/>
            <w:vAlign w:val="center"/>
          </w:tcPr>
          <w:p>
            <w:pPr>
              <w:jc w:val="center"/>
              <w:rPr>
                <w:rFonts w:ascii="仿宋" w:hAnsi="仿宋" w:eastAsia="仿宋" w:cs="仿宋"/>
                <w:color w:val="000000" w:themeColor="text1"/>
                <w:spacing w:val="-1"/>
                <w:sz w:val="18"/>
                <w:szCs w:val="18"/>
              </w:rPr>
            </w:pPr>
          </w:p>
        </w:tc>
        <w:tc>
          <w:tcPr>
            <w:tcW w:w="760" w:type="dxa"/>
            <w:vMerge w:val="continue"/>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73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37" w:type="dxa"/>
            <w:tcBorders>
              <w:top w:val="single" w:color="auto" w:sz="4" w:space="0"/>
              <w:left w:val="single" w:color="auto" w:sz="4" w:space="0"/>
            </w:tcBorders>
            <w:vAlign w:val="center"/>
          </w:tcPr>
          <w:p>
            <w:pPr>
              <w:spacing w:before="196" w:line="184" w:lineRule="auto"/>
              <w:ind w:firstLine="156"/>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tcBorders>
            <w:vAlign w:val="center"/>
          </w:tcPr>
          <w:p>
            <w:pPr>
              <w:spacing w:before="40" w:line="184" w:lineRule="auto"/>
              <w:ind w:firstLine="459"/>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2" w:line="184" w:lineRule="auto"/>
              <w:ind w:firstLine="402"/>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tcBorders>
            <w:vAlign w:val="center"/>
          </w:tcPr>
          <w:p>
            <w:pPr>
              <w:spacing w:before="41" w:line="184" w:lineRule="auto"/>
              <w:ind w:firstLine="402"/>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left w:val="single" w:color="auto" w:sz="4" w:space="0"/>
            </w:tcBorders>
            <w:vAlign w:val="center"/>
          </w:tcPr>
          <w:p>
            <w:pPr>
              <w:spacing w:before="41" w:line="184" w:lineRule="auto"/>
              <w:ind w:firstLine="396"/>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spacing w:before="41" w:line="184" w:lineRule="auto"/>
              <w:ind w:firstLine="463"/>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tcBorders>
            <w:vAlign w:val="center"/>
          </w:tcPr>
          <w:p>
            <w:pPr>
              <w:spacing w:before="196" w:line="184" w:lineRule="auto"/>
              <w:ind w:firstLine="28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1" w:line="184" w:lineRule="auto"/>
              <w:ind w:firstLine="218"/>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spacing w:before="50" w:line="184" w:lineRule="auto"/>
              <w:ind w:firstLine="22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1" w:line="184" w:lineRule="auto"/>
              <w:ind w:firstLine="463"/>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3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6" w:type="dxa"/>
            <w:vMerge w:val="continue"/>
            <w:vAlign w:val="center"/>
          </w:tcPr>
          <w:p>
            <w:pPr>
              <w:jc w:val="center"/>
              <w:rPr>
                <w:rFonts w:ascii="Malgun Gothic"/>
                <w:color w:val="000000" w:themeColor="text1"/>
                <w:sz w:val="18"/>
                <w:szCs w:val="18"/>
              </w:rPr>
            </w:pPr>
          </w:p>
        </w:tc>
        <w:tc>
          <w:tcPr>
            <w:tcW w:w="1397" w:type="dxa"/>
            <w:vMerge w:val="continue"/>
            <w:vAlign w:val="center"/>
          </w:tcPr>
          <w:p>
            <w:pPr>
              <w:jc w:val="center"/>
              <w:rPr>
                <w:rFonts w:ascii="仿宋" w:hAnsi="仿宋" w:eastAsia="仿宋" w:cs="仿宋"/>
                <w:color w:val="000000" w:themeColor="text1"/>
                <w:spacing w:val="-1"/>
                <w:sz w:val="18"/>
                <w:szCs w:val="18"/>
              </w:rPr>
            </w:pPr>
          </w:p>
        </w:tc>
        <w:tc>
          <w:tcPr>
            <w:tcW w:w="760" w:type="dxa"/>
            <w:vMerge w:val="continue"/>
            <w:vAlign w:val="center"/>
          </w:tcPr>
          <w:p>
            <w:pPr>
              <w:jc w:val="center"/>
              <w:rPr>
                <w:rFonts w:ascii="仿宋" w:hAnsi="仿宋" w:eastAsia="仿宋" w:cs="仿宋"/>
                <w:color w:val="000000" w:themeColor="text1"/>
                <w:spacing w:val="-1"/>
                <w:sz w:val="18"/>
                <w:szCs w:val="18"/>
              </w:rPr>
            </w:pPr>
          </w:p>
        </w:tc>
        <w:tc>
          <w:tcPr>
            <w:tcW w:w="349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1.《中华人民共和国土壤污染防治法》第六十六条第三款未达到土壤污染风险评估报告确定的风险管控、修复目标的建设用地地块，禁止开工建设任何与风险管控、修复无关的项目。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（四）未达到土壤污染风险评估报告确定的风险管控、修复目标的建设用地地块，开工建设与风险管控、修复无关的项目的。</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54" w:name="_Toc26749"/>
      <w:bookmarkStart w:id="255" w:name="_Toc677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76</w:t>
      </w:r>
      <w:r>
        <w:rPr>
          <w:rFonts w:hint="eastAsia" w:ascii="仿宋" w:hAnsi="仿宋" w:eastAsia="仿宋" w:cs="仿宋"/>
          <w:b/>
          <w:bCs/>
          <w:color w:val="000000" w:themeColor="text1"/>
          <w:kern w:val="0"/>
          <w:sz w:val="24"/>
          <w:lang w:val="zh-CN"/>
        </w:rPr>
        <w:t>土壤污染责任人或者土地使用权人未按照规定实施后期管理</w:t>
      </w:r>
      <w:bookmarkEnd w:id="254"/>
      <w:bookmarkEnd w:id="255"/>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lang w:val="zh-CN"/>
        </w:rPr>
      </w:pPr>
      <w:r>
        <w:rPr>
          <w:rFonts w:hint="eastAsia" w:ascii="仿宋" w:hAnsi="仿宋" w:eastAsia="仿宋" w:cs="仿宋"/>
          <w:b/>
          <w:bCs/>
          <w:color w:val="000000" w:themeColor="text1"/>
          <w:kern w:val="0"/>
          <w:sz w:val="24"/>
          <w:lang w:val="zh-CN"/>
        </w:rPr>
        <w:t>的罚款幅度裁定</w:t>
      </w:r>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087"/>
        <w:gridCol w:w="986"/>
        <w:gridCol w:w="1399"/>
        <w:gridCol w:w="2094"/>
        <w:gridCol w:w="846"/>
        <w:gridCol w:w="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351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1437"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要素</w:t>
            </w:r>
          </w:p>
        </w:tc>
        <w:tc>
          <w:tcPr>
            <w:tcW w:w="1087"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具体条件</w:t>
            </w:r>
          </w:p>
        </w:tc>
        <w:tc>
          <w:tcPr>
            <w:tcW w:w="986"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构成比例</w:t>
            </w:r>
          </w:p>
        </w:tc>
        <w:tc>
          <w:tcPr>
            <w:tcW w:w="3493"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846"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百分值</w:t>
            </w:r>
          </w:p>
        </w:tc>
        <w:tc>
          <w:tcPr>
            <w:tcW w:w="670" w:type="dxa"/>
            <w:tcBorders>
              <w:left w:val="single" w:color="auto" w:sz="4" w:space="0"/>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9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已实施后期管理，但未按照要求的</w:t>
            </w:r>
          </w:p>
        </w:tc>
        <w:tc>
          <w:tcPr>
            <w:tcW w:w="209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8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0" w:type="dxa"/>
            <w:tcBorders>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top w:val="single" w:color="auto" w:sz="4" w:space="0"/>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平方米以上8000平方米以下</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0" w:type="dxa"/>
            <w:tcBorders>
              <w:top w:val="single" w:color="auto" w:sz="4" w:space="0"/>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8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0" w:type="dxa"/>
            <w:tcBorders>
              <w:top w:val="single" w:color="auto" w:sz="4" w:space="0"/>
              <w:left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未实施后期管理的</w:t>
            </w:r>
          </w:p>
        </w:tc>
        <w:tc>
          <w:tcPr>
            <w:tcW w:w="209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8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70" w:type="dxa"/>
            <w:tcBorders>
              <w:left w:val="single" w:color="auto" w:sz="4" w:space="0"/>
              <w:bottom w:val="single" w:color="auto" w:sz="4" w:space="0"/>
            </w:tcBorders>
          </w:tcPr>
          <w:p>
            <w:pPr>
              <w:spacing w:before="85"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70" w:type="dxa"/>
            <w:tcBorders>
              <w:top w:val="single" w:color="auto" w:sz="4" w:space="0"/>
              <w:left w:val="single" w:color="auto" w:sz="4" w:space="0"/>
              <w:bottom w:val="single" w:color="auto" w:sz="4" w:space="0"/>
            </w:tcBorders>
          </w:tcPr>
          <w:p>
            <w:pPr>
              <w:spacing w:before="85"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平方米以上8000平方米以下</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70" w:type="dxa"/>
            <w:tcBorders>
              <w:top w:val="single" w:color="auto" w:sz="4" w:space="0"/>
              <w:left w:val="single" w:color="auto" w:sz="4" w:space="0"/>
              <w:bottom w:val="single" w:color="auto" w:sz="4" w:space="0"/>
            </w:tcBorders>
          </w:tcPr>
          <w:p>
            <w:pPr>
              <w:spacing w:before="85"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vAlign w:val="center"/>
          </w:tcPr>
          <w:p>
            <w:pPr>
              <w:jc w:val="center"/>
              <w:rPr>
                <w:rFonts w:ascii="Malgun Gothic"/>
                <w:color w:val="000000" w:themeColor="text1"/>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8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70" w:type="dxa"/>
            <w:tcBorders>
              <w:top w:val="single" w:color="auto" w:sz="4" w:space="0"/>
              <w:left w:val="single" w:color="auto" w:sz="4" w:space="0"/>
            </w:tcBorders>
          </w:tcPr>
          <w:p>
            <w:pPr>
              <w:spacing w:before="85"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0" w:type="dxa"/>
            <w:tcBorders>
              <w:left w:val="single" w:color="auto" w:sz="4" w:space="0"/>
            </w:tcBorders>
          </w:tcPr>
          <w:p>
            <w:pPr>
              <w:spacing w:before="43"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0"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0"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0"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0" w:type="dxa"/>
            <w:tcBorders>
              <w:left w:val="single" w:color="auto" w:sz="4" w:space="0"/>
            </w:tcBorders>
          </w:tcPr>
          <w:p>
            <w:pPr>
              <w:spacing w:before="197"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left w:val="single" w:color="auto" w:sz="4" w:space="0"/>
            </w:tcBorders>
          </w:tcPr>
          <w:p>
            <w:pPr>
              <w:spacing w:before="43"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0" w:type="dxa"/>
            <w:tcBorders>
              <w:left w:val="single" w:color="auto" w:sz="4" w:space="0"/>
            </w:tcBorders>
          </w:tcPr>
          <w:p>
            <w:pPr>
              <w:spacing w:before="4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left w:val="single" w:color="auto" w:sz="4" w:space="0"/>
            </w:tcBorders>
          </w:tcPr>
          <w:p>
            <w:pPr>
              <w:spacing w:before="4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vAlign w:val="center"/>
          </w:tcPr>
          <w:p>
            <w:pPr>
              <w:jc w:val="center"/>
              <w:rPr>
                <w:rFonts w:ascii="Malgun Gothic"/>
                <w:color w:val="000000" w:themeColor="text1"/>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34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1.《中华人民共和国土壤污染防治法》第四十二条第三款风险管控、修复活动完成后，需要实施后期管理的，土壤污染责任人应当按照要求实施后期管理。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二条违反本法规定，土壤污染责任人或者土地使用权人未按照规定实施后期管理的，由地方人民政府生态环境主管部门或者其他负有土壤污染防治监督管理职责的部门责令改正，处1万元以上5万元以下的罚款；情节严重的，处5万元以上50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56" w:name="_Toc781"/>
      <w:bookmarkStart w:id="257" w:name="_Toc1648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77</w:t>
      </w:r>
      <w:r>
        <w:rPr>
          <w:rFonts w:hint="eastAsia" w:ascii="仿宋" w:hAnsi="仿宋" w:eastAsia="仿宋" w:cs="仿宋"/>
          <w:b/>
          <w:bCs/>
          <w:color w:val="000000" w:themeColor="text1"/>
          <w:kern w:val="0"/>
          <w:sz w:val="24"/>
          <w:lang w:val="zh-CN"/>
        </w:rPr>
        <w:t>被检查者拒不配合检查，或者在接受检查时弄虚作假的罚款幅度裁定</w:t>
      </w:r>
      <w:bookmarkEnd w:id="256"/>
      <w:bookmarkEnd w:id="257"/>
    </w:p>
    <w:tbl>
      <w:tblPr>
        <w:tblStyle w:val="15"/>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322"/>
        <w:gridCol w:w="1114"/>
        <w:gridCol w:w="2096"/>
        <w:gridCol w:w="1355"/>
        <w:gridCol w:w="565"/>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3878" w:type="dxa"/>
            <w:gridSpan w:val="3"/>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裁量要素</w:t>
            </w:r>
          </w:p>
        </w:tc>
        <w:tc>
          <w:tcPr>
            <w:tcW w:w="4661" w:type="dxa"/>
            <w:gridSpan w:val="4"/>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144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14" w:type="dxa"/>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451" w:type="dxa"/>
            <w:gridSpan w:val="2"/>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6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4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144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32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11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vAlign w:val="center"/>
          </w:tcPr>
          <w:p>
            <w:pPr>
              <w:jc w:val="center"/>
              <w:rPr>
                <w:rFonts w:ascii="仿宋" w:hAnsi="仿宋" w:eastAsia="仿宋" w:cs="仿宋"/>
                <w:color w:val="000000" w:themeColor="text1"/>
                <w:spacing w:val="-7"/>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vAlign w:val="center"/>
          </w:tcPr>
          <w:p>
            <w:pPr>
              <w:jc w:val="center"/>
              <w:rPr>
                <w:rFonts w:ascii="仿宋" w:hAnsi="仿宋" w:eastAsia="仿宋" w:cs="仿宋"/>
                <w:color w:val="000000" w:themeColor="text1"/>
                <w:spacing w:val="-7"/>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7"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1" w:hRule="atLeast"/>
        </w:trPr>
        <w:tc>
          <w:tcPr>
            <w:tcW w:w="1442" w:type="dxa"/>
            <w:vMerge w:val="continue"/>
            <w:tcBorders>
              <w:top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tcBorders>
              <w:top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0"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14"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2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1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tcBorders>
              <w:top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vAlign w:val="center"/>
          </w:tcPr>
          <w:p>
            <w:pPr>
              <w:jc w:val="center"/>
              <w:rPr>
                <w:rFonts w:ascii="仿宋" w:hAnsi="仿宋" w:eastAsia="仿宋" w:cs="仿宋"/>
                <w:color w:val="000000" w:themeColor="text1"/>
                <w:spacing w:val="-7"/>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vAlign w:val="center"/>
          </w:tcPr>
          <w:p>
            <w:pPr>
              <w:jc w:val="center"/>
              <w:rPr>
                <w:rFonts w:ascii="仿宋" w:hAnsi="仿宋" w:eastAsia="仿宋" w:cs="仿宋"/>
                <w:color w:val="000000" w:themeColor="text1"/>
                <w:spacing w:val="-7"/>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85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85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1.《中华人民共和国土壤污染防治法》第七十七条第二款被检查者应当配合检查工作，如实反映情况，提供必要的资料。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三条违反本法规定，被检查者拒不配合检查，或者在接受检查时弄虚作假的，由地方人民政府生态环境主管部门或者其他负有土壤污染防治监督管理职责的部门责令改正，处2万元以上20万元以下的罚款；对直接负责的主管人员和其他直接责任人员处5000元以上2万元以下的罚款。</w:t>
      </w: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58" w:name="_Toc22557"/>
      <w:bookmarkStart w:id="259" w:name="_Toc2830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78</w:t>
      </w:r>
      <w:r>
        <w:rPr>
          <w:rFonts w:hint="eastAsia" w:ascii="仿宋" w:hAnsi="仿宋" w:eastAsia="仿宋" w:cs="仿宋"/>
          <w:b/>
          <w:bCs/>
          <w:color w:val="000000" w:themeColor="text1"/>
          <w:kern w:val="0"/>
          <w:sz w:val="24"/>
          <w:lang w:val="zh-CN"/>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罚款幅度裁定</w:t>
      </w:r>
      <w:bookmarkEnd w:id="258"/>
      <w:bookmarkEnd w:id="259"/>
    </w:p>
    <w:tbl>
      <w:tblPr>
        <w:tblStyle w:val="15"/>
        <w:tblW w:w="8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862"/>
        <w:gridCol w:w="640"/>
        <w:gridCol w:w="2590"/>
        <w:gridCol w:w="1970"/>
        <w:gridCol w:w="755"/>
        <w:gridCol w:w="5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267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90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1174" w:type="dxa"/>
          </w:tcPr>
          <w:p>
            <w:pPr>
              <w:spacing w:before="194"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86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4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56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9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74" w:type="dxa"/>
            <w:vMerge w:val="restart"/>
            <w:tcBorders>
              <w:bottom w:val="nil"/>
            </w:tcBorders>
            <w:vAlign w:val="center"/>
          </w:tcPr>
          <w:p>
            <w:pPr>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59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已进行土壤污染状况调查/已进行风险评估/已采取风险管控措施/已实施修复/已另行委托有关单位对风险管控效果、修复效果进行评估，但未按照要求的</w:t>
            </w:r>
          </w:p>
        </w:tc>
        <w:tc>
          <w:tcPr>
            <w:tcW w:w="19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3"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74" w:type="dxa"/>
            <w:vMerge w:val="continue"/>
            <w:vAlign w:val="center"/>
          </w:tcPr>
          <w:p>
            <w:pPr>
              <w:ind w:right="119"/>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top w:val="single" w:color="auto" w:sz="4" w:space="0"/>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74" w:type="dxa"/>
            <w:vMerge w:val="continue"/>
            <w:vAlign w:val="center"/>
          </w:tcPr>
          <w:p>
            <w:pPr>
              <w:ind w:right="119"/>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8000平方米以下</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3" w:type="dxa"/>
            <w:tcBorders>
              <w:top w:val="single" w:color="auto" w:sz="4" w:space="0"/>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74" w:type="dxa"/>
            <w:vMerge w:val="continue"/>
            <w:vAlign w:val="center"/>
          </w:tcPr>
          <w:p>
            <w:pPr>
              <w:ind w:right="119"/>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3"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74" w:type="dxa"/>
            <w:vMerge w:val="continue"/>
            <w:tcBorders>
              <w:top w:val="nil"/>
            </w:tcBorders>
            <w:vAlign w:val="center"/>
          </w:tcPr>
          <w:p>
            <w:pPr>
              <w:jc w:val="center"/>
              <w:rPr>
                <w:rFonts w:ascii="Malgun Gothic"/>
                <w:color w:val="000000" w:themeColor="text1"/>
                <w:sz w:val="18"/>
                <w:szCs w:val="18"/>
              </w:rPr>
            </w:pPr>
          </w:p>
        </w:tc>
        <w:tc>
          <w:tcPr>
            <w:tcW w:w="8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9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未进行土壤污染状况调查/未进行土壤污染风险评估/未采取风险管控措施/未实施修复/未另行委托有关单位对风险管控效果、修复效果进行评估的</w:t>
            </w:r>
          </w:p>
        </w:tc>
        <w:tc>
          <w:tcPr>
            <w:tcW w:w="19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93"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74" w:type="dxa"/>
            <w:vMerge w:val="continue"/>
            <w:vAlign w:val="center"/>
          </w:tcPr>
          <w:p>
            <w:pPr>
              <w:jc w:val="center"/>
              <w:rPr>
                <w:rFonts w:ascii="Malgun Gothic"/>
                <w:color w:val="000000" w:themeColor="text1"/>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3" w:type="dxa"/>
            <w:tcBorders>
              <w:top w:val="single" w:color="auto" w:sz="4" w:space="0"/>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74" w:type="dxa"/>
            <w:vMerge w:val="continue"/>
            <w:vAlign w:val="center"/>
          </w:tcPr>
          <w:p>
            <w:pPr>
              <w:jc w:val="center"/>
              <w:rPr>
                <w:rFonts w:ascii="Malgun Gothic"/>
                <w:color w:val="000000" w:themeColor="text1"/>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平方米以上8000平方米以下</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93" w:type="dxa"/>
            <w:tcBorders>
              <w:top w:val="single" w:color="auto" w:sz="4" w:space="0"/>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74" w:type="dxa"/>
            <w:vMerge w:val="continue"/>
            <w:vAlign w:val="center"/>
          </w:tcPr>
          <w:p>
            <w:pPr>
              <w:jc w:val="center"/>
              <w:rPr>
                <w:rFonts w:ascii="Malgun Gothic"/>
                <w:color w:val="000000" w:themeColor="text1"/>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93"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3" w:type="dxa"/>
            <w:tcBorders>
              <w:left w:val="single" w:color="auto" w:sz="4" w:space="0"/>
            </w:tcBorders>
          </w:tcPr>
          <w:p>
            <w:pPr>
              <w:spacing w:before="40" w:line="184" w:lineRule="auto"/>
              <w:ind w:firstLine="434"/>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tcBorders>
              <w:top w:val="nil"/>
              <w:bottom w:val="nil"/>
            </w:tcBorders>
            <w:vAlign w:val="center"/>
          </w:tcPr>
          <w:p>
            <w:pPr>
              <w:jc w:val="center"/>
              <w:rPr>
                <w:rFonts w:ascii="Malgun Gothic"/>
                <w:color w:val="000000" w:themeColor="text1"/>
                <w:sz w:val="18"/>
                <w:szCs w:val="18"/>
              </w:rPr>
            </w:pPr>
          </w:p>
        </w:tc>
        <w:tc>
          <w:tcPr>
            <w:tcW w:w="8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left w:val="single" w:color="auto" w:sz="4" w:space="0"/>
            </w:tcBorders>
          </w:tcPr>
          <w:p>
            <w:pPr>
              <w:spacing w:before="42" w:line="184" w:lineRule="auto"/>
              <w:ind w:firstLine="377"/>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tcBorders>
              <w:top w:val="nil"/>
              <w:bottom w:val="nil"/>
            </w:tcBorders>
            <w:vAlign w:val="center"/>
          </w:tcPr>
          <w:p>
            <w:pPr>
              <w:jc w:val="center"/>
              <w:rPr>
                <w:rFonts w:ascii="Malgun Gothic"/>
                <w:color w:val="000000" w:themeColor="text1"/>
                <w:sz w:val="18"/>
                <w:szCs w:val="18"/>
              </w:rPr>
            </w:pPr>
          </w:p>
        </w:tc>
        <w:tc>
          <w:tcPr>
            <w:tcW w:w="8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3" w:type="dxa"/>
            <w:tcBorders>
              <w:left w:val="single" w:color="auto" w:sz="4" w:space="0"/>
            </w:tcBorders>
          </w:tcPr>
          <w:p>
            <w:pPr>
              <w:spacing w:before="41" w:line="184" w:lineRule="auto"/>
              <w:ind w:firstLine="377"/>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tcBorders>
              <w:top w:val="nil"/>
            </w:tcBorders>
            <w:vAlign w:val="center"/>
          </w:tcPr>
          <w:p>
            <w:pPr>
              <w:jc w:val="center"/>
              <w:rPr>
                <w:rFonts w:ascii="Malgun Gothic"/>
                <w:color w:val="000000" w:themeColor="text1"/>
                <w:sz w:val="18"/>
                <w:szCs w:val="18"/>
              </w:rPr>
            </w:pPr>
          </w:p>
        </w:tc>
        <w:tc>
          <w:tcPr>
            <w:tcW w:w="8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3" w:type="dxa"/>
            <w:tcBorders>
              <w:left w:val="single" w:color="auto" w:sz="4" w:space="0"/>
            </w:tcBorders>
          </w:tcPr>
          <w:p>
            <w:pPr>
              <w:spacing w:before="41" w:line="184" w:lineRule="auto"/>
              <w:ind w:firstLine="371"/>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3" w:type="dxa"/>
            <w:tcBorders>
              <w:left w:val="single" w:color="auto" w:sz="4" w:space="0"/>
            </w:tcBorders>
          </w:tcPr>
          <w:p>
            <w:pPr>
              <w:spacing w:before="40" w:line="184" w:lineRule="auto"/>
              <w:ind w:firstLine="438"/>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tcBorders>
              <w:top w:val="nil"/>
              <w:bottom w:val="nil"/>
            </w:tcBorders>
            <w:vAlign w:val="center"/>
          </w:tcPr>
          <w:p>
            <w:pPr>
              <w:jc w:val="center"/>
              <w:rPr>
                <w:rFonts w:ascii="Malgun Gothic"/>
                <w:color w:val="000000" w:themeColor="text1"/>
                <w:sz w:val="18"/>
                <w:szCs w:val="18"/>
              </w:rPr>
            </w:pPr>
          </w:p>
        </w:tc>
        <w:tc>
          <w:tcPr>
            <w:tcW w:w="8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3" w:type="dxa"/>
            <w:tcBorders>
              <w:left w:val="single" w:color="auto" w:sz="4" w:space="0"/>
            </w:tcBorders>
          </w:tcPr>
          <w:p>
            <w:pPr>
              <w:spacing w:before="196" w:line="184" w:lineRule="auto"/>
              <w:ind w:firstLine="25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tcBorders>
              <w:top w:val="nil"/>
            </w:tcBorders>
            <w:vAlign w:val="center"/>
          </w:tcPr>
          <w:p>
            <w:pPr>
              <w:jc w:val="center"/>
              <w:rPr>
                <w:rFonts w:ascii="Malgun Gothic"/>
                <w:color w:val="000000" w:themeColor="text1"/>
                <w:sz w:val="18"/>
                <w:szCs w:val="18"/>
              </w:rPr>
            </w:pPr>
          </w:p>
        </w:tc>
        <w:tc>
          <w:tcPr>
            <w:tcW w:w="8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left w:val="single" w:color="auto" w:sz="4" w:space="0"/>
            </w:tcBorders>
          </w:tcPr>
          <w:p>
            <w:pPr>
              <w:spacing w:before="40" w:line="184" w:lineRule="auto"/>
              <w:ind w:firstLine="19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1174" w:type="dxa"/>
            <w:vMerge w:val="restart"/>
            <w:tcBorders>
              <w:bottom w:val="nil"/>
            </w:tcBorders>
            <w:vAlign w:val="center"/>
          </w:tcPr>
          <w:p>
            <w:pPr>
              <w:ind w:left="257" w:right="241"/>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3" w:type="dxa"/>
            <w:tcBorders>
              <w:left w:val="single" w:color="auto" w:sz="4" w:space="0"/>
            </w:tcBorders>
          </w:tcPr>
          <w:p>
            <w:pPr>
              <w:spacing w:before="42" w:line="184" w:lineRule="auto"/>
              <w:ind w:firstLine="19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tcBorders>
              <w:top w:val="nil"/>
            </w:tcBorders>
            <w:vAlign w:val="center"/>
          </w:tcPr>
          <w:p>
            <w:pPr>
              <w:jc w:val="center"/>
              <w:rPr>
                <w:rFonts w:ascii="Malgun Gothic"/>
                <w:color w:val="000000" w:themeColor="text1"/>
                <w:sz w:val="18"/>
                <w:szCs w:val="18"/>
              </w:rPr>
            </w:pPr>
          </w:p>
        </w:tc>
        <w:tc>
          <w:tcPr>
            <w:tcW w:w="8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left w:val="single" w:color="auto" w:sz="4" w:space="0"/>
            </w:tcBorders>
          </w:tcPr>
          <w:p>
            <w:pPr>
              <w:spacing w:before="41" w:line="184" w:lineRule="auto"/>
              <w:ind w:firstLine="438"/>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56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vAlign w:val="center"/>
          </w:tcPr>
          <w:p>
            <w:pPr>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456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vAlign w:val="center"/>
          </w:tcPr>
          <w:p>
            <w:pPr>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456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vAlign w:val="center"/>
          </w:tcPr>
          <w:p>
            <w:pPr>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456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17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862"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456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8584"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8584"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五十九条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前两款规定的土壤污染状况调查报告应当报地方人民政府生态环境主管部门，由地方人民政府生态环境主管部门会同自然资源主管部门组织评审。</w:t>
      </w:r>
    </w:p>
    <w:p>
      <w:pPr>
        <w:spacing w:before="73"/>
        <w:ind w:right="108"/>
        <w:outlineLvl w:val="1"/>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第六十条对土壤污染状况调查报告评审表明污染物含量超过土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壤污染风险管控标准的建设用地地块，土壤污染责任人、土地使用权人应当按照国务院生态环境主管部门的规定进行土壤污染风险评估，并将土壤污染风险评估报告报省级人民政府生态环境主管部门。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二条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四条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第六十五条风险管控、修复活动完成后，土壤污染责任人应当另行委托有关单位对风险管控效果、修复效果进行评估，并将效果评估报告报地方人民政府生态环境主管部门备案。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九十四条违反本法规定，土壤污染责任人或者土地使用权人有下列行为之一的，由地方人民政府生态环境主管部门或者其他负有土壤污染防治监督管理职责的部门责令改正，处2万元以上20万元以下的罚款；拒不改正的，处20万元以上100万元以下的罚款，并委托他人代为履行，所需费用由土壤污染责任人或者土地使用权人承担；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(一)未按照规定进行土壤污染状况调查的；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(二)未按照规定进行土壤污染风险评估的；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(三)未按照规定采取风险管控措施的；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(四)未按照规定实施修复的；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(五)风险管控、修复活动完成后，未另行委托有关单位对风险管控效果、修复效果进行评估的。</w:t>
      </w: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60" w:name="_Toc32081"/>
      <w:bookmarkStart w:id="261" w:name="_Toc2610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79</w:t>
      </w:r>
      <w:r>
        <w:rPr>
          <w:rFonts w:hint="eastAsia" w:ascii="仿宋" w:hAnsi="仿宋" w:eastAsia="仿宋" w:cs="仿宋"/>
          <w:b/>
          <w:bCs/>
          <w:color w:val="000000" w:themeColor="text1"/>
          <w:kern w:val="0"/>
          <w:sz w:val="24"/>
          <w:lang w:val="zh-CN"/>
        </w:rPr>
        <w:t>(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罚款幅度裁定</w:t>
      </w:r>
      <w:bookmarkEnd w:id="260"/>
      <w:bookmarkEnd w:id="261"/>
    </w:p>
    <w:tbl>
      <w:tblPr>
        <w:tblStyle w:val="1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1036"/>
        <w:gridCol w:w="656"/>
        <w:gridCol w:w="2249"/>
        <w:gridCol w:w="1929"/>
        <w:gridCol w:w="704"/>
        <w:gridCol w:w="6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3186"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533"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1494" w:type="dxa"/>
          </w:tcPr>
          <w:p>
            <w:pPr>
              <w:spacing w:before="197" w:line="184" w:lineRule="auto"/>
              <w:ind w:firstLine="513"/>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036"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656" w:type="dxa"/>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4180"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65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restart"/>
            <w:tcBorders>
              <w:bottom w:val="nil"/>
            </w:tcBorders>
            <w:vAlign w:val="center"/>
          </w:tcPr>
          <w:p>
            <w:pPr>
              <w:spacing w:before="79"/>
              <w:ind w:right="13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对环境影响</w:t>
            </w:r>
            <w:r>
              <w:rPr>
                <w:rFonts w:hint="eastAsia" w:ascii="仿宋" w:hAnsi="仿宋" w:eastAsia="仿宋" w:cs="仿宋"/>
                <w:color w:val="000000" w:themeColor="text1"/>
                <w:spacing w:val="-7"/>
                <w:sz w:val="18"/>
                <w:szCs w:val="18"/>
              </w:rPr>
              <w:t>程度</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25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已制定土壤污染防治工作方案/已委托有关单位对风险管控效果、修复效果进行评估/已按规定土壤污染状况调查报告，但未按规定报地方人民政府生态环境主管部门备案</w:t>
            </w:r>
          </w:p>
        </w:tc>
        <w:tc>
          <w:tcPr>
            <w:tcW w:w="192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vAlign w:val="center"/>
          </w:tcPr>
          <w:p>
            <w:pPr>
              <w:spacing w:before="79"/>
              <w:ind w:right="133"/>
              <w:jc w:val="center"/>
              <w:rPr>
                <w:rFonts w:ascii="仿宋" w:hAnsi="仿宋" w:eastAsia="仿宋" w:cs="仿宋"/>
                <w:color w:val="000000" w:themeColor="text1"/>
                <w:spacing w:val="-2"/>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vAlign w:val="center"/>
          </w:tcPr>
          <w:p>
            <w:pPr>
              <w:spacing w:before="79"/>
              <w:ind w:right="133"/>
              <w:jc w:val="center"/>
              <w:rPr>
                <w:rFonts w:ascii="仿宋" w:hAnsi="仿宋" w:eastAsia="仿宋" w:cs="仿宋"/>
                <w:color w:val="000000" w:themeColor="text1"/>
                <w:spacing w:val="-2"/>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8000平方米以下</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vAlign w:val="center"/>
          </w:tcPr>
          <w:p>
            <w:pPr>
              <w:spacing w:before="79"/>
              <w:ind w:right="133"/>
              <w:jc w:val="center"/>
              <w:rPr>
                <w:rFonts w:ascii="仿宋" w:hAnsi="仿宋" w:eastAsia="仿宋" w:cs="仿宋"/>
                <w:color w:val="000000" w:themeColor="text1"/>
                <w:spacing w:val="-2"/>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7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25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未制定土壤污染防治工作方案/未委托有关单位对风险管控效果、修复效果进行评估/未按规定土壤污染状况调查报告</w:t>
            </w:r>
          </w:p>
        </w:tc>
        <w:tc>
          <w:tcPr>
            <w:tcW w:w="192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vAlign w:val="center"/>
          </w:tcPr>
          <w:p>
            <w:pPr>
              <w:jc w:val="center"/>
              <w:rPr>
                <w:rFonts w:ascii="仿宋" w:hAnsi="仿宋" w:eastAsia="仿宋" w:cs="仿宋"/>
                <w:color w:val="000000" w:themeColor="text1"/>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vAlign w:val="center"/>
          </w:tcPr>
          <w:p>
            <w:pPr>
              <w:jc w:val="center"/>
              <w:rPr>
                <w:rFonts w:ascii="仿宋" w:hAnsi="仿宋" w:eastAsia="仿宋" w:cs="仿宋"/>
                <w:color w:val="000000" w:themeColor="text1"/>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平方米以上8000平方米以下</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vAlign w:val="center"/>
          </w:tcPr>
          <w:p>
            <w:pPr>
              <w:jc w:val="center"/>
              <w:rPr>
                <w:rFonts w:ascii="仿宋" w:hAnsi="仿宋" w:eastAsia="仿宋" w:cs="仿宋"/>
                <w:color w:val="000000" w:themeColor="text1"/>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7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17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3"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4" w:type="dxa"/>
            <w:vMerge w:val="continue"/>
            <w:vAlign w:val="center"/>
          </w:tcPr>
          <w:p>
            <w:pPr>
              <w:jc w:val="center"/>
              <w:rPr>
                <w:rFonts w:ascii="仿宋" w:hAnsi="仿宋" w:eastAsia="仿宋" w:cs="仿宋"/>
                <w:color w:val="000000" w:themeColor="text1"/>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417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 w:hRule="atLeast"/>
        </w:trPr>
        <w:tc>
          <w:tcPr>
            <w:tcW w:w="871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871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1.《中华人民共和国土壤污染防治法》第二十二条企业事业单位拆除设施、设备或者建筑物、构筑物，应当采取相应的土壤污染防治措施。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土壤污染重点监管单位拆除设施、设备或者建筑物、构筑物，应当制定包括应急措施在内的土壤污染防治工作方案，报地方人民政府生态环境、工业和信息化主管部门备案并实施。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四条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第六十五条风险管控、修复活动完成后，土壤污染责任人应当另行委托有关单位对风险管控效果、修复效果进行评估，并将效果评估报告报地方人民政府生态环境主管部门备案。</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第九十五条违反本法规定，有下列行为之一的，由地方人民政府有关部门责令改正；拒不改正的，处1万元以上5万元以下的罚款：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(一)土壤污染重点监管单位未按照规定将土壤污染防治工作方案报地方人民政府生态环境、工业和信息化主管部门备案的；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（二)土壤污染责任人或者土地使用权人未按照规定将修复方案、效果评估报告报地方人民政府生态环境、农业农村、林业草原主管部门备案的；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(三)土地使用权人未按照规定将土壤污染状况调查报告报地方人民政府生态环境主管部门备案的。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jc w:val="center"/>
        <w:outlineLvl w:val="2"/>
        <w:rPr>
          <w:rFonts w:ascii="黑体" w:hAnsi="黑体" w:eastAsia="黑体" w:cs="黑体"/>
          <w:b/>
          <w:bCs/>
          <w:color w:val="000000" w:themeColor="text1"/>
          <w:spacing w:val="1"/>
          <w:sz w:val="28"/>
          <w:szCs w:val="28"/>
        </w:rPr>
      </w:pPr>
      <w:bookmarkStart w:id="262" w:name="_Toc4715"/>
      <w:bookmarkStart w:id="263" w:name="_Toc10399"/>
      <w:bookmarkStart w:id="264" w:name="_Toc5344"/>
      <w:r>
        <w:rPr>
          <w:rFonts w:hint="eastAsia" w:ascii="黑体" w:hAnsi="黑体" w:eastAsia="黑体" w:cs="黑体"/>
          <w:b/>
          <w:bCs/>
          <w:color w:val="000000" w:themeColor="text1"/>
          <w:spacing w:val="1"/>
          <w:sz w:val="28"/>
          <w:szCs w:val="28"/>
        </w:rPr>
        <w:t>五、本溪市生态环境局环境行政处罚裁量规则(固废类)</w:t>
      </w:r>
      <w:bookmarkEnd w:id="262"/>
      <w:bookmarkEnd w:id="263"/>
      <w:bookmarkEnd w:id="264"/>
    </w:p>
    <w:p>
      <w:pPr>
        <w:jc w:val="center"/>
        <w:outlineLvl w:val="1"/>
        <w:rPr>
          <w:rFonts w:ascii="仿宋" w:hAnsi="仿宋" w:eastAsia="仿宋" w:cs="仿宋"/>
          <w:b/>
          <w:bCs/>
          <w:color w:val="000000" w:themeColor="text1"/>
          <w:kern w:val="0"/>
          <w:sz w:val="24"/>
        </w:rPr>
      </w:pPr>
      <w:bookmarkStart w:id="265" w:name="_Toc30247"/>
      <w:bookmarkStart w:id="266" w:name="_Toc16405"/>
      <w:r>
        <w:rPr>
          <w:rFonts w:hint="eastAsia" w:ascii="仿宋" w:hAnsi="仿宋" w:eastAsia="仿宋" w:cs="仿宋"/>
          <w:b/>
          <w:bCs/>
          <w:color w:val="000000" w:themeColor="text1"/>
          <w:kern w:val="0"/>
          <w:sz w:val="24"/>
        </w:rPr>
        <w:t>表80产生、收集、贮存、运输、利用、处置固体废物的单位未依法及时公开固体废物污染环境防治信息的罚款幅度裁定</w:t>
      </w:r>
      <w:bookmarkEnd w:id="265"/>
      <w:bookmarkEnd w:id="266"/>
    </w:p>
    <w:tbl>
      <w:tblPr>
        <w:tblStyle w:val="15"/>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1886"/>
        <w:gridCol w:w="790"/>
        <w:gridCol w:w="1290"/>
        <w:gridCol w:w="1905"/>
        <w:gridCol w:w="678"/>
        <w:gridCol w:w="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9" w:hRule="atLeast"/>
        </w:trPr>
        <w:tc>
          <w:tcPr>
            <w:tcW w:w="412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3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9" w:hRule="atLeast"/>
        </w:trPr>
        <w:tc>
          <w:tcPr>
            <w:tcW w:w="1451" w:type="dxa"/>
          </w:tcPr>
          <w:p>
            <w:pPr>
              <w:spacing w:before="197"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8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9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9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9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持续时间3天以内的</w:t>
            </w:r>
          </w:p>
        </w:tc>
        <w:tc>
          <w:tcPr>
            <w:tcW w:w="19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10吨以上50吨以下</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50吨以上100吨以下</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100吨以上</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9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持续时间3天以上的</w:t>
            </w:r>
          </w:p>
        </w:tc>
        <w:tc>
          <w:tcPr>
            <w:tcW w:w="19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10吨以上50吨以下</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50吨以上100吨以下</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vAlign w:val="center"/>
          </w:tcPr>
          <w:p>
            <w:pPr>
              <w:jc w:val="center"/>
              <w:rPr>
                <w:rFonts w:ascii="Malgun Gothic"/>
                <w:color w:val="000000" w:themeColor="text1"/>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100吨以上</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bottom w:val="nil"/>
            </w:tcBorders>
            <w:vAlign w:val="center"/>
          </w:tcPr>
          <w:p>
            <w:pPr>
              <w:jc w:val="center"/>
              <w:rPr>
                <w:rFonts w:ascii="Malgun Gothic"/>
                <w:color w:val="000000" w:themeColor="text1"/>
                <w:sz w:val="18"/>
                <w:szCs w:val="18"/>
              </w:rPr>
            </w:pPr>
          </w:p>
        </w:tc>
        <w:tc>
          <w:tcPr>
            <w:tcW w:w="18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bottom w:val="nil"/>
            </w:tcBorders>
            <w:vAlign w:val="center"/>
          </w:tcPr>
          <w:p>
            <w:pPr>
              <w:jc w:val="center"/>
              <w:rPr>
                <w:rFonts w:ascii="Malgun Gothic"/>
                <w:color w:val="000000" w:themeColor="text1"/>
                <w:sz w:val="18"/>
                <w:szCs w:val="18"/>
              </w:rPr>
            </w:pPr>
          </w:p>
        </w:tc>
        <w:tc>
          <w:tcPr>
            <w:tcW w:w="18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bottom w:val="nil"/>
            </w:tcBorders>
            <w:vAlign w:val="center"/>
          </w:tcPr>
          <w:p>
            <w:pPr>
              <w:jc w:val="center"/>
              <w:rPr>
                <w:rFonts w:ascii="Malgun Gothic"/>
                <w:color w:val="000000" w:themeColor="text1"/>
                <w:sz w:val="18"/>
                <w:szCs w:val="18"/>
              </w:rPr>
            </w:pPr>
          </w:p>
        </w:tc>
        <w:tc>
          <w:tcPr>
            <w:tcW w:w="18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9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1"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88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865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865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1.《中华人民共和国固体废物污染环境防治法》第二十九条第二款产生、收集、贮存、运输、利用、处置固体废物的单位，应当依法及时公开固体废物污染环境防治信息，主动接受社会监督。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(一)产生、收集、贮存、运输、利用、处置固体废物的单位未依法及时公开固体废物污染环境防治信息的；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有前款第一项、第八项行为之一，处5万元以上20万元以下的罚款；</w:t>
      </w: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jc w:val="center"/>
        <w:outlineLvl w:val="1"/>
        <w:rPr>
          <w:rFonts w:ascii="仿宋" w:hAnsi="仿宋" w:eastAsia="仿宋" w:cs="仿宋"/>
          <w:b/>
          <w:bCs/>
          <w:color w:val="000000" w:themeColor="text1"/>
          <w:kern w:val="0"/>
          <w:sz w:val="28"/>
          <w:szCs w:val="28"/>
        </w:rPr>
      </w:pPr>
      <w:bookmarkStart w:id="267" w:name="_Toc32426"/>
      <w:bookmarkStart w:id="268" w:name="_Toc28939"/>
      <w:r>
        <w:rPr>
          <w:rFonts w:hint="eastAsia" w:ascii="仿宋" w:hAnsi="仿宋" w:eastAsia="仿宋" w:cs="仿宋"/>
          <w:b/>
          <w:bCs/>
          <w:color w:val="000000" w:themeColor="text1"/>
          <w:kern w:val="0"/>
          <w:sz w:val="24"/>
        </w:rPr>
        <w:t>表81生活垃圾处理单位未按照国家有关规定安装使用监测设备、实时监测污染物的排放情况并公开污染排放数据的罚款幅度裁定</w:t>
      </w:r>
      <w:bookmarkEnd w:id="267"/>
      <w:bookmarkEnd w:id="268"/>
    </w:p>
    <w:p>
      <w:pPr>
        <w:rPr>
          <w:b/>
          <w:bCs/>
          <w:color w:val="000000" w:themeColor="text1"/>
        </w:rPr>
      </w:pPr>
    </w:p>
    <w:tbl>
      <w:tblPr>
        <w:tblStyle w:val="15"/>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1904"/>
        <w:gridCol w:w="772"/>
        <w:gridCol w:w="1540"/>
        <w:gridCol w:w="1655"/>
        <w:gridCol w:w="703"/>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6" w:hRule="atLeast"/>
        </w:trPr>
        <w:tc>
          <w:tcPr>
            <w:tcW w:w="4127"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532"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1451" w:type="dxa"/>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904" w:type="dxa"/>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具体条件</w:t>
            </w:r>
          </w:p>
        </w:tc>
        <w:tc>
          <w:tcPr>
            <w:tcW w:w="772" w:type="dxa"/>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构成比例</w:t>
            </w:r>
          </w:p>
        </w:tc>
        <w:tc>
          <w:tcPr>
            <w:tcW w:w="3195" w:type="dxa"/>
            <w:gridSpan w:val="2"/>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程度</w:t>
            </w:r>
          </w:p>
        </w:tc>
        <w:tc>
          <w:tcPr>
            <w:tcW w:w="703" w:type="dxa"/>
            <w:tcBorders>
              <w:right w:val="single" w:color="auto" w:sz="4" w:space="0"/>
            </w:tcBorders>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百分值</w:t>
            </w:r>
          </w:p>
        </w:tc>
        <w:tc>
          <w:tcPr>
            <w:tcW w:w="634" w:type="dxa"/>
            <w:tcBorders>
              <w:left w:val="single" w:color="auto" w:sz="4" w:space="0"/>
            </w:tcBorders>
            <w:vAlign w:val="center"/>
          </w:tcPr>
          <w:p>
            <w:pPr>
              <w:spacing w:before="198" w:line="184"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trPr>
        <w:tc>
          <w:tcPr>
            <w:tcW w:w="1451"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对环境影响</w:t>
            </w:r>
          </w:p>
          <w:p>
            <w:pPr>
              <w:spacing w:before="196" w:line="184" w:lineRule="auto"/>
              <w:ind w:firstLine="501"/>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程度</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4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已安装监测设备，实时监测污染物的排放情况，但未公开污染物排放数据的</w:t>
            </w:r>
          </w:p>
        </w:tc>
        <w:tc>
          <w:tcPr>
            <w:tcW w:w="16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0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vAlign w:val="center"/>
          </w:tcPr>
          <w:p>
            <w:pPr>
              <w:jc w:val="center"/>
              <w:rPr>
                <w:rFonts w:ascii="仿宋" w:hAnsi="仿宋" w:eastAsia="仿宋" w:cs="仿宋"/>
                <w:color w:val="000000" w:themeColor="text1"/>
                <w:spacing w:val="-1"/>
                <w:sz w:val="18"/>
                <w:szCs w:val="18"/>
              </w:rPr>
            </w:pPr>
          </w:p>
        </w:tc>
        <w:tc>
          <w:tcPr>
            <w:tcW w:w="772" w:type="dxa"/>
            <w:vMerge w:val="continue"/>
            <w:vAlign w:val="center"/>
          </w:tcPr>
          <w:p>
            <w:pPr>
              <w:jc w:val="center"/>
              <w:rPr>
                <w:rFonts w:ascii="仿宋" w:hAnsi="仿宋" w:eastAsia="仿宋" w:cs="仿宋"/>
                <w:color w:val="000000" w:themeColor="text1"/>
                <w:spacing w:val="-1"/>
                <w:sz w:val="18"/>
                <w:szCs w:val="18"/>
              </w:rPr>
            </w:pPr>
          </w:p>
        </w:tc>
        <w:tc>
          <w:tcPr>
            <w:tcW w:w="154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0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已安装监测设备，但未实时监测污染物的排放情况的</w:t>
            </w:r>
          </w:p>
        </w:tc>
        <w:tc>
          <w:tcPr>
            <w:tcW w:w="16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0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0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未安装监测设备的</w:t>
            </w:r>
          </w:p>
        </w:tc>
        <w:tc>
          <w:tcPr>
            <w:tcW w:w="16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0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vAlign w:val="center"/>
          </w:tcPr>
          <w:p>
            <w:pPr>
              <w:jc w:val="center"/>
              <w:rPr>
                <w:rFonts w:ascii="仿宋" w:hAnsi="仿宋" w:eastAsia="仿宋" w:cs="仿宋"/>
                <w:color w:val="000000" w:themeColor="text1"/>
                <w:spacing w:val="-1"/>
                <w:sz w:val="18"/>
                <w:szCs w:val="18"/>
              </w:rPr>
            </w:pPr>
          </w:p>
        </w:tc>
        <w:tc>
          <w:tcPr>
            <w:tcW w:w="772" w:type="dxa"/>
            <w:vMerge w:val="continue"/>
            <w:vAlign w:val="center"/>
          </w:tcPr>
          <w:p>
            <w:pPr>
              <w:jc w:val="center"/>
              <w:rPr>
                <w:rFonts w:ascii="仿宋" w:hAnsi="仿宋" w:eastAsia="仿宋" w:cs="仿宋"/>
                <w:color w:val="000000" w:themeColor="text1"/>
                <w:spacing w:val="-1"/>
                <w:sz w:val="18"/>
                <w:szCs w:val="18"/>
              </w:rPr>
            </w:pPr>
          </w:p>
        </w:tc>
        <w:tc>
          <w:tcPr>
            <w:tcW w:w="154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0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restart"/>
            <w:tcBorders>
              <w:bottom w:val="nil"/>
            </w:tcBorders>
            <w:vAlign w:val="center"/>
          </w:tcPr>
          <w:p>
            <w:pPr>
              <w:spacing w:before="196" w:line="184" w:lineRule="auto"/>
              <w:ind w:firstLine="162" w:firstLineChars="100"/>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违法频次</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4"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restart"/>
            <w:tcBorders>
              <w:bottom w:val="nil"/>
            </w:tcBorders>
            <w:vAlign w:val="center"/>
          </w:tcPr>
          <w:p>
            <w:pPr>
              <w:spacing w:before="196" w:line="184" w:lineRule="auto"/>
              <w:ind w:firstLine="162" w:firstLineChars="100"/>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整改情况</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restart"/>
            <w:tcBorders>
              <w:bottom w:val="nil"/>
            </w:tcBorders>
            <w:vAlign w:val="center"/>
          </w:tcPr>
          <w:p>
            <w:pPr>
              <w:spacing w:before="196" w:line="184" w:lineRule="auto"/>
              <w:ind w:firstLine="162" w:firstLineChars="100"/>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配合调查</w:t>
            </w:r>
          </w:p>
          <w:p>
            <w:pPr>
              <w:spacing w:before="196" w:line="184" w:lineRule="auto"/>
              <w:ind w:firstLine="162" w:firstLineChars="100"/>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取证情况</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1" w:type="dxa"/>
            <w:vMerge w:val="continue"/>
            <w:vAlign w:val="center"/>
          </w:tcPr>
          <w:p>
            <w:pPr>
              <w:jc w:val="center"/>
              <w:rPr>
                <w:rFonts w:ascii="仿宋" w:hAnsi="仿宋" w:eastAsia="仿宋" w:cs="仿宋"/>
                <w:color w:val="000000" w:themeColor="text1"/>
                <w:sz w:val="18"/>
                <w:szCs w:val="18"/>
              </w:rPr>
            </w:pPr>
          </w:p>
        </w:tc>
        <w:tc>
          <w:tcPr>
            <w:tcW w:w="1904" w:type="dxa"/>
            <w:vMerge w:val="continue"/>
            <w:vAlign w:val="center"/>
          </w:tcPr>
          <w:p>
            <w:pPr>
              <w:jc w:val="center"/>
              <w:rPr>
                <w:rFonts w:ascii="仿宋" w:hAnsi="仿宋" w:eastAsia="仿宋" w:cs="仿宋"/>
                <w:color w:val="000000" w:themeColor="text1"/>
                <w:spacing w:val="-1"/>
                <w:sz w:val="18"/>
                <w:szCs w:val="18"/>
              </w:rPr>
            </w:pPr>
          </w:p>
        </w:tc>
        <w:tc>
          <w:tcPr>
            <w:tcW w:w="772" w:type="dxa"/>
            <w:vMerge w:val="continue"/>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86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86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五十六条生活垃圾处理单位应当按照国家有关规定，安装使用监测设备，实时监测污染物的排放情况，将污染排放数据实时公开。监测设备应当与所在地生态环境主管部门的监控设备联网。</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(二)生活垃圾处理单位未按照国家有关规定安装使用监测设备、实时监测污染物的排放情况并公开污染排放数据的；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b/>
          <w:bCs/>
          <w:color w:val="000000" w:themeColor="text1"/>
          <w:kern w:val="0"/>
          <w:sz w:val="28"/>
          <w:szCs w:val="28"/>
        </w:rPr>
      </w:pPr>
    </w:p>
    <w:p>
      <w:pPr>
        <w:jc w:val="center"/>
        <w:outlineLvl w:val="3"/>
        <w:rPr>
          <w:rFonts w:ascii="仿宋" w:hAnsi="仿宋" w:eastAsia="仿宋" w:cs="仿宋"/>
          <w:b/>
          <w:bCs/>
          <w:color w:val="000000" w:themeColor="text1"/>
          <w:kern w:val="0"/>
          <w:sz w:val="24"/>
        </w:rPr>
      </w:pPr>
      <w:bookmarkStart w:id="269" w:name="_Toc13178"/>
      <w:bookmarkStart w:id="270" w:name="_Toc30492"/>
      <w:r>
        <w:rPr>
          <w:rFonts w:hint="eastAsia" w:ascii="仿宋" w:hAnsi="仿宋" w:eastAsia="仿宋" w:cs="仿宋"/>
          <w:b/>
          <w:bCs/>
          <w:color w:val="000000" w:themeColor="text1"/>
          <w:kern w:val="0"/>
          <w:sz w:val="24"/>
        </w:rPr>
        <w:t>表82将列入限期淘汰名录被淘汰的设备转让给他人使用的罚款</w:t>
      </w:r>
      <w:bookmarkEnd w:id="269"/>
      <w:bookmarkEnd w:id="270"/>
    </w:p>
    <w:p>
      <w:pPr>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幅度裁定</w:t>
      </w:r>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850"/>
        <w:gridCol w:w="800"/>
        <w:gridCol w:w="1278"/>
        <w:gridCol w:w="1885"/>
        <w:gridCol w:w="597"/>
        <w:gridCol w:w="5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408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7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0" w:hRule="atLeast"/>
        </w:trPr>
        <w:tc>
          <w:tcPr>
            <w:tcW w:w="1437" w:type="dxa"/>
          </w:tcPr>
          <w:p>
            <w:pPr>
              <w:spacing w:before="198"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0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6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1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对环境影响</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程度</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设备原值&lt;50万的</w:t>
            </w:r>
          </w:p>
        </w:tc>
        <w:tc>
          <w:tcPr>
            <w:tcW w:w="18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数量5件以下</w:t>
            </w:r>
          </w:p>
        </w:tc>
        <w:tc>
          <w:tcPr>
            <w:tcW w:w="597"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2" w:type="dxa"/>
            <w:tcBorders>
              <w:left w:val="single" w:color="auto" w:sz="4" w:space="0"/>
              <w:bottom w:val="single" w:color="auto" w:sz="4" w:space="0"/>
            </w:tcBorders>
          </w:tcPr>
          <w:p>
            <w:pPr>
              <w:spacing w:before="7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vAlign w:val="center"/>
          </w:tcPr>
          <w:p>
            <w:pPr>
              <w:jc w:val="center"/>
              <w:rPr>
                <w:rFonts w:ascii="仿宋" w:hAnsi="仿宋" w:eastAsia="仿宋" w:cs="仿宋"/>
                <w:color w:val="000000" w:themeColor="text1"/>
                <w:spacing w:val="-4"/>
                <w:sz w:val="18"/>
                <w:szCs w:val="18"/>
              </w:rPr>
            </w:pPr>
          </w:p>
        </w:tc>
        <w:tc>
          <w:tcPr>
            <w:tcW w:w="1850" w:type="dxa"/>
            <w:vMerge w:val="continue"/>
            <w:vAlign w:val="center"/>
          </w:tcPr>
          <w:p>
            <w:pPr>
              <w:jc w:val="center"/>
              <w:rPr>
                <w:rFonts w:ascii="仿宋" w:hAnsi="仿宋" w:eastAsia="仿宋" w:cs="仿宋"/>
                <w:color w:val="000000" w:themeColor="text1"/>
                <w:spacing w:val="-1"/>
                <w:sz w:val="18"/>
                <w:szCs w:val="18"/>
              </w:rPr>
            </w:pPr>
          </w:p>
        </w:tc>
        <w:tc>
          <w:tcPr>
            <w:tcW w:w="800" w:type="dxa"/>
            <w:vMerge w:val="continue"/>
            <w:vAlign w:val="center"/>
          </w:tcPr>
          <w:p>
            <w:pPr>
              <w:jc w:val="center"/>
              <w:rPr>
                <w:rFonts w:ascii="仿宋" w:hAnsi="仿宋" w:eastAsia="仿宋" w:cs="仿宋"/>
                <w:color w:val="000000" w:themeColor="text1"/>
                <w:spacing w:val="-1"/>
                <w:sz w:val="18"/>
                <w:szCs w:val="18"/>
              </w:rPr>
            </w:pPr>
          </w:p>
        </w:tc>
        <w:tc>
          <w:tcPr>
            <w:tcW w:w="12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数量5件以上的</w:t>
            </w:r>
          </w:p>
        </w:tc>
        <w:tc>
          <w:tcPr>
            <w:tcW w:w="597"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top w:val="single" w:color="auto" w:sz="4" w:space="0"/>
              <w:left w:val="single" w:color="auto" w:sz="4" w:space="0"/>
            </w:tcBorders>
          </w:tcPr>
          <w:p>
            <w:pPr>
              <w:spacing w:before="7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50万≤设备原值&lt;100万的</w:t>
            </w:r>
          </w:p>
        </w:tc>
        <w:tc>
          <w:tcPr>
            <w:tcW w:w="18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数量5件以下</w:t>
            </w:r>
          </w:p>
        </w:tc>
        <w:tc>
          <w:tcPr>
            <w:tcW w:w="597"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2" w:type="dxa"/>
            <w:tcBorders>
              <w:left w:val="single" w:color="auto" w:sz="4" w:space="0"/>
              <w:bottom w:val="single" w:color="auto" w:sz="4" w:space="0"/>
            </w:tcBorders>
          </w:tcPr>
          <w:p>
            <w:pPr>
              <w:spacing w:before="83"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数量5件以上的</w:t>
            </w:r>
          </w:p>
        </w:tc>
        <w:tc>
          <w:tcPr>
            <w:tcW w:w="597"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2" w:type="dxa"/>
            <w:tcBorders>
              <w:top w:val="single" w:color="auto" w:sz="4" w:space="0"/>
              <w:left w:val="single" w:color="auto" w:sz="4" w:space="0"/>
            </w:tcBorders>
          </w:tcPr>
          <w:p>
            <w:pPr>
              <w:spacing w:before="83"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100万≤设备原值&lt;200万的</w:t>
            </w:r>
          </w:p>
        </w:tc>
        <w:tc>
          <w:tcPr>
            <w:tcW w:w="18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数量5件以下</w:t>
            </w:r>
          </w:p>
        </w:tc>
        <w:tc>
          <w:tcPr>
            <w:tcW w:w="597"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12" w:type="dxa"/>
            <w:tcBorders>
              <w:left w:val="single" w:color="auto" w:sz="4" w:space="0"/>
              <w:bottom w:val="single" w:color="auto" w:sz="4" w:space="0"/>
            </w:tcBorders>
          </w:tcPr>
          <w:p>
            <w:pPr>
              <w:spacing w:before="84"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数量5件以上的</w:t>
            </w:r>
          </w:p>
        </w:tc>
        <w:tc>
          <w:tcPr>
            <w:tcW w:w="597"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12" w:type="dxa"/>
            <w:tcBorders>
              <w:top w:val="single" w:color="auto" w:sz="4" w:space="0"/>
              <w:left w:val="single" w:color="auto" w:sz="4" w:space="0"/>
            </w:tcBorders>
          </w:tcPr>
          <w:p>
            <w:pPr>
              <w:spacing w:before="84"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tcBorders>
              <w:top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设备原值≥200万的</w:t>
            </w:r>
          </w:p>
        </w:tc>
        <w:tc>
          <w:tcPr>
            <w:tcW w:w="18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数量5件以下</w:t>
            </w:r>
          </w:p>
        </w:tc>
        <w:tc>
          <w:tcPr>
            <w:tcW w:w="597"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12" w:type="dxa"/>
            <w:tcBorders>
              <w:left w:val="single" w:color="auto" w:sz="4" w:space="0"/>
              <w:bottom w:val="single" w:color="auto" w:sz="4" w:space="0"/>
            </w:tcBorders>
          </w:tcPr>
          <w:p>
            <w:pPr>
              <w:spacing w:before="85"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7" w:type="dxa"/>
            <w:vMerge w:val="continue"/>
            <w:vAlign w:val="center"/>
          </w:tcPr>
          <w:p>
            <w:pPr>
              <w:jc w:val="center"/>
              <w:rPr>
                <w:rFonts w:ascii="仿宋" w:hAnsi="仿宋" w:eastAsia="仿宋" w:cs="仿宋"/>
                <w:color w:val="000000" w:themeColor="text1"/>
                <w:spacing w:val="-4"/>
                <w:sz w:val="18"/>
                <w:szCs w:val="18"/>
              </w:rPr>
            </w:pPr>
          </w:p>
        </w:tc>
        <w:tc>
          <w:tcPr>
            <w:tcW w:w="1850" w:type="dxa"/>
            <w:vMerge w:val="continue"/>
            <w:vAlign w:val="center"/>
          </w:tcPr>
          <w:p>
            <w:pPr>
              <w:jc w:val="center"/>
              <w:rPr>
                <w:rFonts w:ascii="仿宋" w:hAnsi="仿宋" w:eastAsia="仿宋" w:cs="仿宋"/>
                <w:color w:val="000000" w:themeColor="text1"/>
                <w:spacing w:val="-1"/>
                <w:sz w:val="18"/>
                <w:szCs w:val="18"/>
              </w:rPr>
            </w:pPr>
          </w:p>
        </w:tc>
        <w:tc>
          <w:tcPr>
            <w:tcW w:w="800" w:type="dxa"/>
            <w:vMerge w:val="continue"/>
            <w:vAlign w:val="center"/>
          </w:tcPr>
          <w:p>
            <w:pPr>
              <w:jc w:val="center"/>
              <w:rPr>
                <w:rFonts w:ascii="仿宋" w:hAnsi="仿宋" w:eastAsia="仿宋" w:cs="仿宋"/>
                <w:color w:val="000000" w:themeColor="text1"/>
                <w:spacing w:val="-1"/>
                <w:sz w:val="18"/>
                <w:szCs w:val="18"/>
              </w:rPr>
            </w:pPr>
          </w:p>
        </w:tc>
        <w:tc>
          <w:tcPr>
            <w:tcW w:w="12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数量5件以上的</w:t>
            </w:r>
          </w:p>
        </w:tc>
        <w:tc>
          <w:tcPr>
            <w:tcW w:w="597"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12" w:type="dxa"/>
            <w:tcBorders>
              <w:top w:val="single" w:color="auto" w:sz="4" w:space="0"/>
              <w:left w:val="single" w:color="auto" w:sz="4" w:space="0"/>
            </w:tcBorders>
          </w:tcPr>
          <w:p>
            <w:pPr>
              <w:spacing w:before="85"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违法频次</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2" w:type="dxa"/>
            <w:tcBorders>
              <w:left w:val="single" w:color="auto" w:sz="4" w:space="0"/>
            </w:tcBorders>
          </w:tcPr>
          <w:p>
            <w:pPr>
              <w:spacing w:before="42"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2"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2"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整改情况</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2" w:type="dxa"/>
            <w:tcBorders>
              <w:left w:val="single" w:color="auto" w:sz="4" w:space="0"/>
            </w:tcBorders>
          </w:tcPr>
          <w:p>
            <w:pPr>
              <w:spacing w:before="5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2" w:type="dxa"/>
            <w:tcBorders>
              <w:left w:val="single" w:color="auto" w:sz="4" w:space="0"/>
            </w:tcBorders>
          </w:tcPr>
          <w:p>
            <w:pPr>
              <w:spacing w:before="198"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left w:val="single" w:color="auto" w:sz="4" w:space="0"/>
            </w:tcBorders>
          </w:tcPr>
          <w:p>
            <w:pPr>
              <w:spacing w:before="42"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配合调查</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取证情况</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2" w:type="dxa"/>
            <w:tcBorders>
              <w:left w:val="single" w:color="auto" w:sz="4" w:space="0"/>
            </w:tcBorders>
          </w:tcPr>
          <w:p>
            <w:pPr>
              <w:spacing w:before="51"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left w:val="single" w:color="auto" w:sz="4" w:space="0"/>
            </w:tcBorders>
          </w:tcPr>
          <w:p>
            <w:pPr>
              <w:spacing w:before="42"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437" w:type="dxa"/>
            <w:vMerge w:val="continue"/>
            <w:vAlign w:val="center"/>
          </w:tcPr>
          <w:p>
            <w:pPr>
              <w:jc w:val="center"/>
              <w:rPr>
                <w:rFonts w:ascii="Malgun Gothic"/>
                <w:color w:val="000000" w:themeColor="text1"/>
                <w:sz w:val="18"/>
                <w:szCs w:val="18"/>
              </w:rPr>
            </w:pPr>
          </w:p>
        </w:tc>
        <w:tc>
          <w:tcPr>
            <w:tcW w:w="1850" w:type="dxa"/>
            <w:vMerge w:val="continue"/>
            <w:vAlign w:val="center"/>
          </w:tcPr>
          <w:p>
            <w:pPr>
              <w:jc w:val="center"/>
              <w:rPr>
                <w:rFonts w:ascii="仿宋" w:hAnsi="仿宋" w:eastAsia="仿宋" w:cs="仿宋"/>
                <w:color w:val="000000" w:themeColor="text1"/>
                <w:spacing w:val="-1"/>
                <w:sz w:val="18"/>
                <w:szCs w:val="18"/>
              </w:rPr>
            </w:pPr>
          </w:p>
        </w:tc>
        <w:tc>
          <w:tcPr>
            <w:tcW w:w="800"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1.《中华人民共和国固体废物污染环境防治法》第三十三条列入限期淘汰名录被淘汰的设备，不得转让给他人使用。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(三)将列入限期淘汰名录被淘汰的设备转让给他人使用的；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b/>
          <w:bCs/>
          <w:color w:val="000000" w:themeColor="text1"/>
          <w:sz w:val="24"/>
        </w:rPr>
      </w:pPr>
      <w:bookmarkStart w:id="271" w:name="_Toc18432"/>
      <w:bookmarkStart w:id="272" w:name="_Toc1261"/>
      <w:r>
        <w:rPr>
          <w:rFonts w:hint="eastAsia" w:ascii="仿宋" w:hAnsi="仿宋" w:eastAsia="仿宋" w:cs="仿宋"/>
          <w:b/>
          <w:bCs/>
          <w:color w:val="000000" w:themeColor="text1"/>
          <w:kern w:val="0"/>
          <w:sz w:val="24"/>
        </w:rPr>
        <w:t>表83在生态保护红线区域、永久基本农田集中区域和其他需要特别保护的区域内，建设工业固体废物、危险废物集中贮存、利用、处置的设施、场所和生活垃圾填埋场的罚款幅度裁定</w:t>
      </w:r>
      <w:bookmarkEnd w:id="271"/>
      <w:bookmarkEnd w:id="272"/>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1091"/>
        <w:gridCol w:w="814"/>
        <w:gridCol w:w="1844"/>
        <w:gridCol w:w="2570"/>
        <w:gridCol w:w="631"/>
        <w:gridCol w:w="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2942"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537"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7" w:hRule="atLeast"/>
        </w:trPr>
        <w:tc>
          <w:tcPr>
            <w:tcW w:w="1037" w:type="dxa"/>
          </w:tcPr>
          <w:p>
            <w:pPr>
              <w:spacing w:before="197" w:line="184" w:lineRule="auto"/>
              <w:ind w:firstLine="162" w:firstLineChars="100"/>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091"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814" w:type="dxa"/>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4414"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631"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49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对环境影响</w:t>
            </w:r>
            <w:r>
              <w:rPr>
                <w:rFonts w:hint="eastAsia" w:ascii="仿宋" w:hAnsi="仿宋" w:eastAsia="仿宋" w:cs="仿宋"/>
                <w:color w:val="000000" w:themeColor="text1"/>
                <w:spacing w:val="-7"/>
                <w:sz w:val="18"/>
                <w:szCs w:val="18"/>
              </w:rPr>
              <w:t>程度</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贮存、处置、填埋能力为1000立方米以下的</w:t>
            </w:r>
          </w:p>
        </w:tc>
        <w:tc>
          <w:tcPr>
            <w:tcW w:w="25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建设生活垃圾填埋场</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vAlign w:val="center"/>
          </w:tcPr>
          <w:p>
            <w:pPr>
              <w:jc w:val="center"/>
              <w:rPr>
                <w:rFonts w:ascii="仿宋" w:hAnsi="仿宋" w:eastAsia="仿宋" w:cs="仿宋"/>
                <w:color w:val="000000" w:themeColor="text1"/>
                <w:spacing w:val="-7"/>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建设工业固体废物集中贮 存、利用、处置的设施、场所</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vAlign w:val="center"/>
          </w:tcPr>
          <w:p>
            <w:pPr>
              <w:jc w:val="center"/>
              <w:rPr>
                <w:rFonts w:ascii="仿宋" w:hAnsi="仿宋" w:eastAsia="仿宋" w:cs="仿宋"/>
                <w:color w:val="000000" w:themeColor="text1"/>
                <w:spacing w:val="-7"/>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建设危险废物集中贮存、 利用、处置的设施、场所</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贮存、处置、填埋能力为1000立方米以上5000立方米以下的</w:t>
            </w:r>
          </w:p>
        </w:tc>
        <w:tc>
          <w:tcPr>
            <w:tcW w:w="25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建设生活垃圾填埋场</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2"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建设工业固体废物集中贮 存、利用、处置的设施、场所</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4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建设危险废物集中贮存、 利用、处置的设施、场所</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2"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贮存、处置、填埋能力为5000立方米以上10000立方米以下的</w:t>
            </w:r>
          </w:p>
        </w:tc>
        <w:tc>
          <w:tcPr>
            <w:tcW w:w="25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建设生活垃圾填埋场</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49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建设工业固体废物集中贮 存、利用、处置的设施、场所</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4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建设危险废物集中贮存、 利用、处置的设施、场所</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49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贮存、处置、填埋能力为10000立方米以上的</w:t>
            </w:r>
          </w:p>
        </w:tc>
        <w:tc>
          <w:tcPr>
            <w:tcW w:w="25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建设生活垃圾填埋场</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49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建设工业固体废物集中贮 存、利用、处置的设施、场所</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4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037" w:type="dxa"/>
            <w:vMerge w:val="continue"/>
            <w:vAlign w:val="center"/>
          </w:tcPr>
          <w:p>
            <w:pPr>
              <w:jc w:val="center"/>
              <w:rPr>
                <w:rFonts w:ascii="仿宋" w:hAnsi="仿宋" w:eastAsia="仿宋" w:cs="仿宋"/>
                <w:color w:val="000000" w:themeColor="text1"/>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建设危险废物集中贮存、 利用、处置的设施、场所</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9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对社会影响或生态破坏程度</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41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2"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vAlign w:val="center"/>
          </w:tcPr>
          <w:p>
            <w:pPr>
              <w:jc w:val="center"/>
              <w:rPr>
                <w:rFonts w:ascii="仿宋" w:hAnsi="仿宋" w:eastAsia="仿宋" w:cs="仿宋"/>
                <w:color w:val="000000" w:themeColor="text1"/>
                <w:spacing w:val="-7"/>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441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vAlign w:val="center"/>
          </w:tcPr>
          <w:p>
            <w:pPr>
              <w:jc w:val="center"/>
              <w:rPr>
                <w:rFonts w:ascii="仿宋" w:hAnsi="仿宋" w:eastAsia="仿宋" w:cs="仿宋"/>
                <w:color w:val="000000" w:themeColor="text1"/>
                <w:spacing w:val="-7"/>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441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41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2"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037" w:type="dxa"/>
            <w:vMerge w:val="continue"/>
            <w:vAlign w:val="center"/>
          </w:tcPr>
          <w:p>
            <w:pPr>
              <w:jc w:val="center"/>
              <w:rPr>
                <w:rFonts w:ascii="仿宋" w:hAnsi="仿宋" w:eastAsia="仿宋" w:cs="仿宋"/>
                <w:color w:val="000000" w:themeColor="text1"/>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441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一条在生态保护红线区域、永久基本农田集中区域和其他需要特别保护的区域内，禁止建设工业固体废物、危险废物集中贮存、利用、处置的设施、场所和生活垃圾填埋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(四)在生态保护红线区域、永久基本农田集中区域和其他需要特别保护的区域内，建设工业固体废物、危险废物集中贮存、利用、处置的设施、场所和生活垃圾填埋场的；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73" w:name="_Toc28701"/>
      <w:bookmarkStart w:id="274" w:name="_Toc25150"/>
      <w:r>
        <w:rPr>
          <w:rFonts w:hint="eastAsia" w:ascii="仿宋" w:hAnsi="仿宋" w:eastAsia="仿宋" w:cs="仿宋"/>
          <w:b/>
          <w:bCs/>
          <w:color w:val="000000" w:themeColor="text1"/>
          <w:kern w:val="0"/>
          <w:sz w:val="24"/>
        </w:rPr>
        <w:t>表84转移固体废物出省、自治区、直辖市行政区域贮存、处置未经批准的罚款幅度裁定</w:t>
      </w:r>
      <w:bookmarkEnd w:id="273"/>
      <w:bookmarkEnd w:id="274"/>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982"/>
        <w:gridCol w:w="680"/>
        <w:gridCol w:w="1282"/>
        <w:gridCol w:w="1688"/>
        <w:gridCol w:w="821"/>
        <w:gridCol w:w="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9" w:hRule="atLeast"/>
        </w:trPr>
        <w:tc>
          <w:tcPr>
            <w:tcW w:w="410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9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1" w:hRule="atLeast"/>
        </w:trPr>
        <w:tc>
          <w:tcPr>
            <w:tcW w:w="144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7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2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0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2"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转移5吨以下的</w:t>
            </w:r>
          </w:p>
        </w:tc>
        <w:tc>
          <w:tcPr>
            <w:tcW w:w="16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tcPr>
          <w:p>
            <w:pPr>
              <w:spacing w:before="42"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1444" w:type="dxa"/>
            <w:vMerge w:val="continue"/>
            <w:vAlign w:val="center"/>
          </w:tcPr>
          <w:p>
            <w:pPr>
              <w:jc w:val="center"/>
              <w:rPr>
                <w:rFonts w:ascii="仿宋" w:hAnsi="仿宋" w:eastAsia="仿宋" w:cs="仿宋"/>
                <w:color w:val="000000" w:themeColor="text1"/>
                <w:spacing w:val="-9"/>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02" w:type="dxa"/>
            <w:tcBorders>
              <w:top w:val="single" w:color="auto" w:sz="4" w:space="0"/>
              <w:left w:val="single" w:color="auto" w:sz="4" w:space="0"/>
              <w:bottom w:val="single" w:color="auto" w:sz="4" w:space="0"/>
            </w:tcBorders>
          </w:tcPr>
          <w:p>
            <w:pPr>
              <w:spacing w:before="42"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1444" w:type="dxa"/>
            <w:vMerge w:val="continue"/>
            <w:vAlign w:val="center"/>
          </w:tcPr>
          <w:p>
            <w:pPr>
              <w:jc w:val="center"/>
              <w:rPr>
                <w:rFonts w:ascii="仿宋" w:hAnsi="仿宋" w:eastAsia="仿宋" w:cs="仿宋"/>
                <w:color w:val="000000" w:themeColor="text1"/>
                <w:spacing w:val="-9"/>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8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tcBorders>
          </w:tcPr>
          <w:p>
            <w:pPr>
              <w:spacing w:before="42"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转移5吨以上10吨以下的</w:t>
            </w:r>
          </w:p>
        </w:tc>
        <w:tc>
          <w:tcPr>
            <w:tcW w:w="16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left w:val="single" w:color="auto" w:sz="4" w:space="0"/>
              <w:bottom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02" w:type="dxa"/>
            <w:tcBorders>
              <w:top w:val="single" w:color="auto" w:sz="4" w:space="0"/>
              <w:left w:val="single" w:color="auto" w:sz="4" w:space="0"/>
              <w:bottom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8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5"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转移10吨以上20吨以下的</w:t>
            </w:r>
          </w:p>
        </w:tc>
        <w:tc>
          <w:tcPr>
            <w:tcW w:w="16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02" w:type="dxa"/>
            <w:tcBorders>
              <w:left w:val="single" w:color="auto" w:sz="4" w:space="0"/>
              <w:bottom w:val="single" w:color="auto" w:sz="4" w:space="0"/>
            </w:tcBorders>
          </w:tcPr>
          <w:p>
            <w:pPr>
              <w:spacing w:before="5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02" w:type="dxa"/>
            <w:tcBorders>
              <w:top w:val="single" w:color="auto" w:sz="4" w:space="0"/>
              <w:left w:val="single" w:color="auto" w:sz="4" w:space="0"/>
              <w:bottom w:val="single" w:color="auto" w:sz="4" w:space="0"/>
            </w:tcBorders>
          </w:tcPr>
          <w:p>
            <w:pPr>
              <w:spacing w:before="5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8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02" w:type="dxa"/>
            <w:tcBorders>
              <w:top w:val="single" w:color="auto" w:sz="4" w:space="0"/>
              <w:left w:val="single" w:color="auto" w:sz="4" w:space="0"/>
            </w:tcBorders>
          </w:tcPr>
          <w:p>
            <w:pPr>
              <w:spacing w:before="5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转移20吨以上的</w:t>
            </w:r>
          </w:p>
        </w:tc>
        <w:tc>
          <w:tcPr>
            <w:tcW w:w="16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02" w:type="dxa"/>
            <w:tcBorders>
              <w:left w:val="single" w:color="auto" w:sz="4" w:space="0"/>
              <w:bottom w:val="single" w:color="auto" w:sz="4" w:space="0"/>
            </w:tcBorders>
          </w:tcPr>
          <w:p>
            <w:pPr>
              <w:spacing w:before="4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02" w:type="dxa"/>
            <w:tcBorders>
              <w:top w:val="single" w:color="auto" w:sz="4" w:space="0"/>
              <w:left w:val="single" w:color="auto" w:sz="4" w:space="0"/>
              <w:bottom w:val="single" w:color="auto" w:sz="4" w:space="0"/>
            </w:tcBorders>
          </w:tcPr>
          <w:p>
            <w:pPr>
              <w:spacing w:before="4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1444" w:type="dxa"/>
            <w:vMerge w:val="continue"/>
            <w:vAlign w:val="center"/>
          </w:tcPr>
          <w:p>
            <w:pPr>
              <w:jc w:val="center"/>
              <w:rPr>
                <w:rFonts w:ascii="仿宋" w:hAnsi="仿宋" w:eastAsia="仿宋" w:cs="仿宋"/>
                <w:color w:val="000000" w:themeColor="text1"/>
                <w:spacing w:val="-9"/>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8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02" w:type="dxa"/>
            <w:tcBorders>
              <w:top w:val="single" w:color="auto" w:sz="4" w:space="0"/>
              <w:left w:val="single" w:color="auto" w:sz="4" w:space="0"/>
            </w:tcBorders>
          </w:tcPr>
          <w:p>
            <w:pPr>
              <w:spacing w:before="4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tcBorders>
          </w:tcPr>
          <w:p>
            <w:pPr>
              <w:spacing w:before="42"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1"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left w:val="single" w:color="auto" w:sz="4" w:space="0"/>
            </w:tcBorders>
          </w:tcPr>
          <w:p>
            <w:pPr>
              <w:spacing w:before="41"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left w:val="single" w:color="auto" w:sz="4" w:space="0"/>
            </w:tcBorders>
          </w:tcPr>
          <w:p>
            <w:pPr>
              <w:spacing w:before="43"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tcPr>
          <w:p>
            <w:pPr>
              <w:spacing w:before="8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tcBorders>
          </w:tcPr>
          <w:p>
            <w:pPr>
              <w:spacing w:before="197"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1"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tcPr>
          <w:p>
            <w:pPr>
              <w:spacing w:before="50"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4" w:type="dxa"/>
            <w:vMerge w:val="continue"/>
            <w:vAlign w:val="center"/>
          </w:tcPr>
          <w:p>
            <w:pPr>
              <w:jc w:val="center"/>
              <w:rPr>
                <w:rFonts w:ascii="Malgun Gothic"/>
                <w:color w:val="000000" w:themeColor="text1"/>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29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1"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1.《中华人民共和国固体废物污染环境防治法》第二十二条第一款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(五)转移固体废物出省、自治区、直辖市行政区域贮存、处置未经批准的；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75" w:name="_Toc2618"/>
      <w:bookmarkStart w:id="276" w:name="_Toc16991"/>
      <w:r>
        <w:rPr>
          <w:rFonts w:hint="eastAsia" w:ascii="仿宋" w:hAnsi="仿宋" w:eastAsia="仿宋" w:cs="仿宋"/>
          <w:b/>
          <w:bCs/>
          <w:color w:val="000000" w:themeColor="text1"/>
          <w:kern w:val="0"/>
          <w:sz w:val="24"/>
        </w:rPr>
        <w:t>表85转移固体废物出省、自治区、直辖市行政区域利用未报备案的罚款幅度裁定</w:t>
      </w:r>
      <w:bookmarkEnd w:id="275"/>
      <w:bookmarkEnd w:id="276"/>
    </w:p>
    <w:tbl>
      <w:tblPr>
        <w:tblStyle w:val="15"/>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0"/>
        <w:gridCol w:w="1963"/>
        <w:gridCol w:w="674"/>
        <w:gridCol w:w="1382"/>
        <w:gridCol w:w="1599"/>
        <w:gridCol w:w="700"/>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4" w:hRule="atLeast"/>
        </w:trPr>
        <w:tc>
          <w:tcPr>
            <w:tcW w:w="406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5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trPr>
        <w:tc>
          <w:tcPr>
            <w:tcW w:w="14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6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4"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8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转移10吨以下的</w:t>
            </w:r>
          </w:p>
        </w:tc>
        <w:tc>
          <w:tcPr>
            <w:tcW w:w="15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vAlign w:val="center"/>
          </w:tcPr>
          <w:p>
            <w:pPr>
              <w:jc w:val="center"/>
              <w:rPr>
                <w:rFonts w:ascii="仿宋" w:hAnsi="仿宋" w:eastAsia="仿宋" w:cs="仿宋"/>
                <w:color w:val="000000" w:themeColor="text1"/>
                <w:spacing w:val="-9"/>
                <w:sz w:val="18"/>
                <w:szCs w:val="18"/>
              </w:rPr>
            </w:pPr>
          </w:p>
        </w:tc>
        <w:tc>
          <w:tcPr>
            <w:tcW w:w="1963" w:type="dxa"/>
            <w:vMerge w:val="continue"/>
            <w:vAlign w:val="center"/>
          </w:tcPr>
          <w:p>
            <w:pPr>
              <w:jc w:val="center"/>
              <w:rPr>
                <w:rFonts w:ascii="仿宋" w:hAnsi="仿宋" w:eastAsia="仿宋" w:cs="仿宋"/>
                <w:color w:val="000000" w:themeColor="text1"/>
                <w:spacing w:val="-1"/>
                <w:sz w:val="18"/>
                <w:szCs w:val="18"/>
              </w:rPr>
            </w:pPr>
          </w:p>
        </w:tc>
        <w:tc>
          <w:tcPr>
            <w:tcW w:w="674" w:type="dxa"/>
            <w:vMerge w:val="continue"/>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vAlign w:val="center"/>
          </w:tcPr>
          <w:p>
            <w:pPr>
              <w:jc w:val="center"/>
              <w:rPr>
                <w:rFonts w:ascii="仿宋" w:hAnsi="仿宋" w:eastAsia="仿宋" w:cs="仿宋"/>
                <w:color w:val="000000" w:themeColor="text1"/>
                <w:spacing w:val="-9"/>
                <w:sz w:val="18"/>
                <w:szCs w:val="18"/>
              </w:rPr>
            </w:pPr>
          </w:p>
        </w:tc>
        <w:tc>
          <w:tcPr>
            <w:tcW w:w="1963" w:type="dxa"/>
            <w:vMerge w:val="continue"/>
            <w:vAlign w:val="center"/>
          </w:tcPr>
          <w:p>
            <w:pPr>
              <w:jc w:val="center"/>
              <w:rPr>
                <w:rFonts w:ascii="仿宋" w:hAnsi="仿宋" w:eastAsia="仿宋" w:cs="仿宋"/>
                <w:color w:val="000000" w:themeColor="text1"/>
                <w:spacing w:val="-1"/>
                <w:sz w:val="18"/>
                <w:szCs w:val="18"/>
              </w:rPr>
            </w:pPr>
          </w:p>
        </w:tc>
        <w:tc>
          <w:tcPr>
            <w:tcW w:w="674" w:type="dxa"/>
            <w:vMerge w:val="continue"/>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转移10吨以上20吨以下的</w:t>
            </w:r>
          </w:p>
        </w:tc>
        <w:tc>
          <w:tcPr>
            <w:tcW w:w="15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转移20吨以上30吨以下的</w:t>
            </w:r>
          </w:p>
        </w:tc>
        <w:tc>
          <w:tcPr>
            <w:tcW w:w="15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转移30吨以上的</w:t>
            </w:r>
          </w:p>
        </w:tc>
        <w:tc>
          <w:tcPr>
            <w:tcW w:w="15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0" w:type="dxa"/>
            <w:vMerge w:val="continue"/>
            <w:vAlign w:val="center"/>
          </w:tcPr>
          <w:p>
            <w:pPr>
              <w:jc w:val="center"/>
              <w:rPr>
                <w:rFonts w:ascii="仿宋" w:hAnsi="仿宋" w:eastAsia="仿宋" w:cs="仿宋"/>
                <w:color w:val="000000" w:themeColor="text1"/>
                <w:spacing w:val="-9"/>
                <w:sz w:val="18"/>
                <w:szCs w:val="18"/>
              </w:rPr>
            </w:pPr>
          </w:p>
        </w:tc>
        <w:tc>
          <w:tcPr>
            <w:tcW w:w="1963" w:type="dxa"/>
            <w:vMerge w:val="continue"/>
            <w:vAlign w:val="center"/>
          </w:tcPr>
          <w:p>
            <w:pPr>
              <w:jc w:val="center"/>
              <w:rPr>
                <w:rFonts w:ascii="仿宋" w:hAnsi="仿宋" w:eastAsia="仿宋" w:cs="仿宋"/>
                <w:color w:val="000000" w:themeColor="text1"/>
                <w:spacing w:val="-1"/>
                <w:sz w:val="18"/>
                <w:szCs w:val="18"/>
              </w:rPr>
            </w:pPr>
          </w:p>
        </w:tc>
        <w:tc>
          <w:tcPr>
            <w:tcW w:w="674" w:type="dxa"/>
            <w:vMerge w:val="continue"/>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0" w:type="dxa"/>
            <w:vMerge w:val="continue"/>
            <w:vAlign w:val="center"/>
          </w:tcPr>
          <w:p>
            <w:pPr>
              <w:jc w:val="center"/>
              <w:rPr>
                <w:rFonts w:ascii="Malgun Gothic"/>
                <w:color w:val="000000" w:themeColor="text1"/>
                <w:sz w:val="18"/>
                <w:szCs w:val="18"/>
              </w:rPr>
            </w:pPr>
          </w:p>
        </w:tc>
        <w:tc>
          <w:tcPr>
            <w:tcW w:w="1963" w:type="dxa"/>
            <w:vMerge w:val="continue"/>
            <w:vAlign w:val="center"/>
          </w:tcPr>
          <w:p>
            <w:pPr>
              <w:jc w:val="center"/>
              <w:rPr>
                <w:rFonts w:ascii="仿宋" w:hAnsi="仿宋" w:eastAsia="仿宋" w:cs="仿宋"/>
                <w:color w:val="000000" w:themeColor="text1"/>
                <w:spacing w:val="-1"/>
                <w:sz w:val="18"/>
                <w:szCs w:val="18"/>
              </w:rPr>
            </w:pPr>
          </w:p>
        </w:tc>
        <w:tc>
          <w:tcPr>
            <w:tcW w:w="674" w:type="dxa"/>
            <w:vMerge w:val="continue"/>
            <w:vAlign w:val="center"/>
          </w:tcPr>
          <w:p>
            <w:pPr>
              <w:jc w:val="center"/>
              <w:rPr>
                <w:rFonts w:ascii="仿宋" w:hAnsi="仿宋" w:eastAsia="仿宋" w:cs="仿宋"/>
                <w:color w:val="000000" w:themeColor="text1"/>
                <w:spacing w:val="-1"/>
                <w:sz w:val="18"/>
                <w:szCs w:val="18"/>
              </w:rPr>
            </w:pPr>
          </w:p>
        </w:tc>
        <w:tc>
          <w:tcPr>
            <w:tcW w:w="29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83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83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1.《中华人民共和国固体废物污染环境防治法》第二十二条 第二款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(六)转移固体废物出省、自治区、直辖市行政区域利用未报备案的；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77" w:name="_Toc14546"/>
      <w:bookmarkStart w:id="278" w:name="_Toc5587"/>
      <w:r>
        <w:rPr>
          <w:rFonts w:hint="eastAsia" w:ascii="仿宋" w:hAnsi="仿宋" w:eastAsia="仿宋" w:cs="仿宋"/>
          <w:b/>
          <w:bCs/>
          <w:color w:val="000000" w:themeColor="text1"/>
          <w:kern w:val="0"/>
          <w:sz w:val="24"/>
        </w:rPr>
        <w:t>表86擅自倾倒、堆放、丢弃、遗撒工业固体废物，或者未采取相应防范措施，造成工业固体废物扬散、流失、渗漏或者其他环境污染的罚款幅度裁定</w:t>
      </w:r>
      <w:bookmarkEnd w:id="277"/>
      <w:bookmarkEnd w:id="278"/>
    </w:p>
    <w:tbl>
      <w:tblPr>
        <w:tblStyle w:val="15"/>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190"/>
        <w:gridCol w:w="1238"/>
        <w:gridCol w:w="2266"/>
        <w:gridCol w:w="1188"/>
        <w:gridCol w:w="757"/>
        <w:gridCol w:w="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388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96"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1454"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要素</w:t>
            </w:r>
          </w:p>
        </w:tc>
        <w:tc>
          <w:tcPr>
            <w:tcW w:w="1190"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具体条件</w:t>
            </w:r>
          </w:p>
        </w:tc>
        <w:tc>
          <w:tcPr>
            <w:tcW w:w="1238"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构成比例</w:t>
            </w:r>
          </w:p>
        </w:tc>
        <w:tc>
          <w:tcPr>
            <w:tcW w:w="3454"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757"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百分值</w:t>
            </w:r>
          </w:p>
        </w:tc>
        <w:tc>
          <w:tcPr>
            <w:tcW w:w="585" w:type="dxa"/>
            <w:tcBorders>
              <w:left w:val="single" w:color="auto" w:sz="4" w:space="0"/>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145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扬散、流失、渗漏或者造成其他环境污染的工业固体废物数量5吨以下的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扬散、流失、渗漏或者造成其他环境污染的工业固体废物数量5吨以上10吨以下的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扬散、流失、渗漏或者造成其他环境污染的工业固体废物数量10吨以上20吨以下的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扬散、流失、渗漏或者造成其他环境污染的工业固体废物数量20吨以上的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擅自倾倒、堆放、丢弃、遗撒工业固体废物数量1吨以下的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1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擅自倾倒、堆放、丢弃、遗撒固体废物数量1吨以上3吨以下的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vAlign w:val="center"/>
          </w:tcPr>
          <w:p>
            <w:pPr>
              <w:jc w:val="center"/>
              <w:rPr>
                <w:rFonts w:ascii="Malgun Gothic"/>
                <w:color w:val="000000" w:themeColor="text1"/>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restart"/>
            <w:tcBorders>
              <w:top w:val="nil"/>
            </w:tcBorders>
            <w:vAlign w:val="center"/>
          </w:tcPr>
          <w:p>
            <w:pPr>
              <w:jc w:val="center"/>
              <w:rPr>
                <w:rFonts w:ascii="Malgun Gothic"/>
                <w:color w:val="000000" w:themeColor="text1"/>
                <w:sz w:val="18"/>
                <w:szCs w:val="18"/>
              </w:rPr>
            </w:pPr>
          </w:p>
        </w:tc>
        <w:tc>
          <w:tcPr>
            <w:tcW w:w="1190" w:type="dxa"/>
            <w:vMerge w:val="restart"/>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restart"/>
            <w:tcBorders>
              <w:top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擅自倾倒、堆放、丢弃、遗撒固体废物数量3吨以上的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vAlign w:val="center"/>
          </w:tcPr>
          <w:p>
            <w:pPr>
              <w:jc w:val="center"/>
              <w:rPr>
                <w:rFonts w:ascii="Malgun Gothic"/>
                <w:color w:val="000000" w:themeColor="text1"/>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1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5"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1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1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5"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345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345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345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5"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5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9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5"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8678"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×1～3（由总百分值确定），但罚款金额不能低于</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8678"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(七)擅自倾倒、堆放、丢弃、遗撒工业固体废物，或者未采取相应防范措施,造成工业固体废物扬散.流失、渗漏或者其他环污染的；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有前款第七项行为，处所需处置费用一倍以上三倍以下的罚款，所需处置费用不足10万元的，按10万元计算。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3</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79" w:name="_Toc29007"/>
      <w:bookmarkStart w:id="280" w:name="_Toc21441"/>
      <w:r>
        <w:rPr>
          <w:rFonts w:hint="eastAsia" w:ascii="仿宋" w:hAnsi="仿宋" w:eastAsia="仿宋" w:cs="仿宋"/>
          <w:b/>
          <w:bCs/>
          <w:color w:val="000000" w:themeColor="text1"/>
          <w:kern w:val="0"/>
          <w:sz w:val="24"/>
        </w:rPr>
        <w:t>表87产生工业固体废物的单位未建立固体废物管理台账并如实记录的罚款幅度裁定</w:t>
      </w:r>
      <w:bookmarkEnd w:id="279"/>
      <w:bookmarkEnd w:id="280"/>
    </w:p>
    <w:tbl>
      <w:tblPr>
        <w:tblStyle w:val="1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8"/>
        <w:gridCol w:w="2015"/>
        <w:gridCol w:w="693"/>
        <w:gridCol w:w="1408"/>
        <w:gridCol w:w="1824"/>
        <w:gridCol w:w="794"/>
        <w:gridCol w:w="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417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6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9" w:hRule="atLeast"/>
        </w:trPr>
        <w:tc>
          <w:tcPr>
            <w:tcW w:w="146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1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93"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3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9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0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台账记录不全或更新不及时的</w:t>
            </w:r>
          </w:p>
        </w:tc>
        <w:tc>
          <w:tcPr>
            <w:tcW w:w="182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9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continue"/>
            <w:vAlign w:val="center"/>
          </w:tcPr>
          <w:p>
            <w:pPr>
              <w:jc w:val="center"/>
              <w:rPr>
                <w:rFonts w:ascii="仿宋" w:hAnsi="仿宋" w:eastAsia="仿宋" w:cs="仿宋"/>
                <w:color w:val="000000" w:themeColor="text1"/>
                <w:spacing w:val="-7"/>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37" w:type="dxa"/>
            <w:tcBorders>
              <w:top w:val="single" w:color="auto" w:sz="4" w:space="0"/>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continue"/>
            <w:vAlign w:val="center"/>
          </w:tcPr>
          <w:p>
            <w:pPr>
              <w:jc w:val="center"/>
              <w:rPr>
                <w:rFonts w:ascii="仿宋" w:hAnsi="仿宋" w:eastAsia="仿宋" w:cs="仿宋"/>
                <w:color w:val="000000" w:themeColor="text1"/>
                <w:spacing w:val="-7"/>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9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top w:val="single" w:color="auto" w:sz="4" w:space="0"/>
              <w:left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0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台账未如实记录的</w:t>
            </w:r>
          </w:p>
        </w:tc>
        <w:tc>
          <w:tcPr>
            <w:tcW w:w="182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9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left w:val="single" w:color="auto" w:sz="4" w:space="0"/>
              <w:bottom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37" w:type="dxa"/>
            <w:tcBorders>
              <w:top w:val="single" w:color="auto" w:sz="4" w:space="0"/>
              <w:left w:val="single" w:color="auto" w:sz="4" w:space="0"/>
              <w:bottom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9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top w:val="single" w:color="auto" w:sz="4" w:space="0"/>
              <w:left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0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未建立台账的</w:t>
            </w:r>
          </w:p>
        </w:tc>
        <w:tc>
          <w:tcPr>
            <w:tcW w:w="182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9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7" w:type="dxa"/>
            <w:tcBorders>
              <w:left w:val="single" w:color="auto" w:sz="4" w:space="0"/>
              <w:bottom w:val="single" w:color="auto" w:sz="4" w:space="0"/>
            </w:tcBorders>
          </w:tcPr>
          <w:p>
            <w:pPr>
              <w:spacing w:before="83"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7" w:type="dxa"/>
            <w:tcBorders>
              <w:top w:val="single" w:color="auto" w:sz="4" w:space="0"/>
              <w:left w:val="single" w:color="auto" w:sz="4" w:space="0"/>
              <w:bottom w:val="single" w:color="auto" w:sz="4" w:space="0"/>
            </w:tcBorders>
          </w:tcPr>
          <w:p>
            <w:pPr>
              <w:spacing w:before="83"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8" w:type="dxa"/>
            <w:vMerge w:val="continue"/>
            <w:vAlign w:val="center"/>
          </w:tcPr>
          <w:p>
            <w:pPr>
              <w:jc w:val="center"/>
              <w:rPr>
                <w:rFonts w:ascii="Malgun Gothic"/>
                <w:color w:val="000000" w:themeColor="text1"/>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9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7" w:type="dxa"/>
            <w:tcBorders>
              <w:top w:val="single" w:color="auto" w:sz="4" w:space="0"/>
              <w:left w:val="single" w:color="auto" w:sz="4" w:space="0"/>
            </w:tcBorders>
          </w:tcPr>
          <w:p>
            <w:pPr>
              <w:spacing w:before="83"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tcBorders>
          </w:tcPr>
          <w:p>
            <w:pPr>
              <w:spacing w:before="89"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left w:val="single" w:color="auto" w:sz="4" w:space="0"/>
            </w:tcBorders>
          </w:tcPr>
          <w:p>
            <w:pPr>
              <w:spacing w:before="41"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tcPr>
          <w:p>
            <w:pPr>
              <w:spacing w:before="84"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tcBorders>
          </w:tcPr>
          <w:p>
            <w:pPr>
              <w:spacing w:before="198"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tcPr>
          <w:p>
            <w:pPr>
              <w:spacing w:before="41"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tcPr>
          <w:p>
            <w:pPr>
              <w:spacing w:before="65"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3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9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vAlign w:val="center"/>
          </w:tcPr>
          <w:p>
            <w:pPr>
              <w:jc w:val="center"/>
              <w:rPr>
                <w:rFonts w:ascii="仿宋" w:hAnsi="仿宋" w:eastAsia="仿宋" w:cs="仿宋"/>
                <w:color w:val="000000" w:themeColor="text1"/>
                <w:spacing w:val="-2"/>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323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vAlign w:val="center"/>
          </w:tcPr>
          <w:p>
            <w:pPr>
              <w:jc w:val="center"/>
              <w:rPr>
                <w:rFonts w:ascii="仿宋" w:hAnsi="仿宋" w:eastAsia="仿宋" w:cs="仿宋"/>
                <w:color w:val="000000" w:themeColor="text1"/>
                <w:spacing w:val="-2"/>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323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vAlign w:val="center"/>
          </w:tcPr>
          <w:p>
            <w:pPr>
              <w:jc w:val="center"/>
              <w:rPr>
                <w:rFonts w:ascii="仿宋" w:hAnsi="仿宋" w:eastAsia="仿宋" w:cs="仿宋"/>
                <w:color w:val="000000" w:themeColor="text1"/>
                <w:spacing w:val="-2"/>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323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9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8"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201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94"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vAlign w:val="center"/>
          </w:tcPr>
          <w:p>
            <w:pPr>
              <w:pStyle w:val="16"/>
              <w:spacing w:before="38"/>
              <w:ind w:left="131" w:right="116"/>
              <w:jc w:val="center"/>
              <w:rPr>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883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883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六条第一款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(八)产生工业固体废物的单位未建立固体废物管理台账并如实记录的；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有前款第一项、第八项行为之一，处5万元以上20万元以下的罚款；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81" w:name="_Toc2355"/>
      <w:bookmarkStart w:id="282" w:name="_Toc30291"/>
      <w:r>
        <w:rPr>
          <w:rFonts w:hint="eastAsia" w:ascii="仿宋" w:hAnsi="仿宋" w:eastAsia="仿宋" w:cs="仿宋"/>
          <w:b/>
          <w:bCs/>
          <w:color w:val="000000" w:themeColor="text1"/>
          <w:kern w:val="0"/>
          <w:sz w:val="24"/>
        </w:rPr>
        <w:t>表88产生工业固体废物的单位违反本法规定委托他人运输、利用、处置工业固体废物的罚款幅度裁定</w:t>
      </w:r>
      <w:bookmarkEnd w:id="281"/>
      <w:bookmarkEnd w:id="282"/>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1970"/>
        <w:gridCol w:w="676"/>
        <w:gridCol w:w="1391"/>
        <w:gridCol w:w="1768"/>
        <w:gridCol w:w="776"/>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4081"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58"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14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5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7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17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委托他人运输</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bottom w:val="single" w:color="auto" w:sz="4" w:space="0"/>
            </w:tcBorders>
          </w:tcPr>
          <w:p>
            <w:pPr>
              <w:spacing w:before="10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vAlign w:val="center"/>
          </w:tcPr>
          <w:p>
            <w:pPr>
              <w:jc w:val="center"/>
              <w:rPr>
                <w:rFonts w:ascii="仿宋" w:hAnsi="仿宋" w:eastAsia="仿宋" w:cs="仿宋"/>
                <w:color w:val="000000" w:themeColor="text1"/>
                <w:spacing w:val="-7"/>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委托他人利用</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23" w:type="dxa"/>
            <w:tcBorders>
              <w:top w:val="single" w:color="auto" w:sz="4" w:space="0"/>
              <w:left w:val="single" w:color="auto" w:sz="4" w:space="0"/>
              <w:bottom w:val="single" w:color="auto" w:sz="4" w:space="0"/>
            </w:tcBorders>
          </w:tcPr>
          <w:p>
            <w:pPr>
              <w:spacing w:before="10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vAlign w:val="center"/>
          </w:tcPr>
          <w:p>
            <w:pPr>
              <w:jc w:val="center"/>
              <w:rPr>
                <w:rFonts w:ascii="仿宋" w:hAnsi="仿宋" w:eastAsia="仿宋" w:cs="仿宋"/>
                <w:color w:val="000000" w:themeColor="text1"/>
                <w:spacing w:val="-7"/>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委托他人处置</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tcBorders>
          </w:tcPr>
          <w:p>
            <w:pPr>
              <w:spacing w:before="10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17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委托他人运输</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left w:val="single" w:color="auto" w:sz="4" w:space="0"/>
              <w:bottom w:val="single" w:color="auto" w:sz="4" w:space="0"/>
            </w:tcBorders>
          </w:tcPr>
          <w:p>
            <w:pPr>
              <w:spacing w:before="196"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委托他人利用</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23" w:type="dxa"/>
            <w:tcBorders>
              <w:top w:val="single" w:color="auto" w:sz="4" w:space="0"/>
              <w:left w:val="single" w:color="auto" w:sz="4" w:space="0"/>
              <w:bottom w:val="single" w:color="auto" w:sz="4" w:space="0"/>
            </w:tcBorders>
          </w:tcPr>
          <w:p>
            <w:pPr>
              <w:spacing w:before="196"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委托他人处置</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tcBorders>
          </w:tcPr>
          <w:p>
            <w:pPr>
              <w:spacing w:before="196"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17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委托他人运输</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3" w:type="dxa"/>
            <w:tcBorders>
              <w:left w:val="single" w:color="auto" w:sz="4" w:space="0"/>
              <w:bottom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委托他人利用</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23" w:type="dxa"/>
            <w:tcBorders>
              <w:top w:val="single" w:color="auto" w:sz="4" w:space="0"/>
              <w:left w:val="single" w:color="auto" w:sz="4" w:space="0"/>
              <w:bottom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委托他人处置</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3" w:type="dxa"/>
            <w:tcBorders>
              <w:top w:val="single" w:color="auto" w:sz="4" w:space="0"/>
              <w:left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17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委托他人运输</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3" w:type="dxa"/>
            <w:tcBorders>
              <w:left w:val="single" w:color="auto" w:sz="4" w:space="0"/>
              <w:bottom w:val="single" w:color="auto" w:sz="4" w:space="0"/>
            </w:tcBorders>
          </w:tcPr>
          <w:p>
            <w:pPr>
              <w:spacing w:before="8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委托他人利用</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23" w:type="dxa"/>
            <w:tcBorders>
              <w:top w:val="single" w:color="auto" w:sz="4" w:space="0"/>
              <w:left w:val="single" w:color="auto" w:sz="4" w:space="0"/>
              <w:bottom w:val="single" w:color="auto" w:sz="4" w:space="0"/>
            </w:tcBorders>
          </w:tcPr>
          <w:p>
            <w:pPr>
              <w:spacing w:before="8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35" w:type="dxa"/>
            <w:vMerge w:val="continue"/>
            <w:vAlign w:val="center"/>
          </w:tcPr>
          <w:p>
            <w:pPr>
              <w:jc w:val="center"/>
              <w:rPr>
                <w:rFonts w:ascii="Malgun Gothic"/>
                <w:color w:val="000000" w:themeColor="text1"/>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委托他人处置</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3" w:type="dxa"/>
            <w:tcBorders>
              <w:top w:val="single" w:color="auto" w:sz="4" w:space="0"/>
              <w:left w:val="single" w:color="auto" w:sz="4" w:space="0"/>
            </w:tcBorders>
          </w:tcPr>
          <w:p>
            <w:pPr>
              <w:spacing w:before="8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tcPr>
          <w:p>
            <w:pPr>
              <w:spacing w:before="90"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tcPr>
          <w:p>
            <w:pPr>
              <w:spacing w:before="84"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tcPr>
          <w:p>
            <w:pPr>
              <w:spacing w:before="198"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97"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tcPr>
          <w:p>
            <w:pPr>
              <w:spacing w:before="42"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5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vAlign w:val="center"/>
          </w:tcPr>
          <w:p>
            <w:pPr>
              <w:jc w:val="center"/>
              <w:rPr>
                <w:rFonts w:ascii="仿宋" w:hAnsi="仿宋" w:eastAsia="仿宋" w:cs="仿宋"/>
                <w:color w:val="000000" w:themeColor="text1"/>
                <w:spacing w:val="-2"/>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315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vAlign w:val="center"/>
          </w:tcPr>
          <w:p>
            <w:pPr>
              <w:jc w:val="center"/>
              <w:rPr>
                <w:rFonts w:ascii="仿宋" w:hAnsi="仿宋" w:eastAsia="仿宋" w:cs="仿宋"/>
                <w:color w:val="000000" w:themeColor="text1"/>
                <w:spacing w:val="-2"/>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315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vAlign w:val="center"/>
          </w:tcPr>
          <w:p>
            <w:pPr>
              <w:jc w:val="center"/>
              <w:rPr>
                <w:rFonts w:ascii="仿宋" w:hAnsi="仿宋" w:eastAsia="仿宋" w:cs="仿宋"/>
                <w:color w:val="000000" w:themeColor="text1"/>
                <w:spacing w:val="-2"/>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3159"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76"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vAlign w:val="center"/>
          </w:tcPr>
          <w:p>
            <w:pPr>
              <w:pStyle w:val="16"/>
              <w:spacing w:before="38"/>
              <w:ind w:left="131" w:right="116"/>
              <w:jc w:val="center"/>
              <w:rPr>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4" w:hRule="atLeast"/>
        </w:trPr>
        <w:tc>
          <w:tcPr>
            <w:tcW w:w="863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9" w:hRule="atLeast"/>
        </w:trPr>
        <w:tc>
          <w:tcPr>
            <w:tcW w:w="863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1.《中华人民共和国固体废物污染环境防治法》第三十七条 第一款 产生工业固体废物的单位委托他人运输、利用、处置工业固体废物的，应当对受托方的主体资格和技术能力进行核实，依法签订书面合同，在合同中约定污染防治要求。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(九)产生工业固体废物的单位违反本法规定委托他人运输、利用、处置工业固体废物的；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b/>
          <w:bCs/>
          <w:color w:val="000000" w:themeColor="text1"/>
          <w:sz w:val="24"/>
        </w:rPr>
      </w:pPr>
      <w:bookmarkStart w:id="283" w:name="_Toc10736"/>
      <w:bookmarkStart w:id="284" w:name="_Toc4845"/>
      <w:r>
        <w:rPr>
          <w:rFonts w:hint="eastAsia" w:ascii="仿宋" w:hAnsi="仿宋" w:eastAsia="仿宋" w:cs="仿宋"/>
          <w:b/>
          <w:bCs/>
          <w:color w:val="000000" w:themeColor="text1"/>
          <w:kern w:val="0"/>
          <w:sz w:val="24"/>
        </w:rPr>
        <w:t>表89贮存工业固体废物未采取符合国家环境保护标准的防护措施的罚款幅度裁定</w:t>
      </w:r>
      <w:bookmarkEnd w:id="283"/>
      <w:bookmarkEnd w:id="284"/>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996"/>
        <w:gridCol w:w="685"/>
        <w:gridCol w:w="1785"/>
        <w:gridCol w:w="1428"/>
        <w:gridCol w:w="730"/>
        <w:gridCol w:w="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413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8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145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9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5"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1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7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14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bottom w:val="single" w:color="auto" w:sz="4" w:space="0"/>
            </w:tcBorders>
          </w:tcPr>
          <w:p>
            <w:pPr>
              <w:spacing w:before="108" w:line="184" w:lineRule="auto"/>
              <w:ind w:firstLine="21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996"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41" w:type="dxa"/>
            <w:tcBorders>
              <w:top w:val="single" w:color="auto" w:sz="4" w:space="0"/>
              <w:left w:val="single" w:color="auto" w:sz="4" w:space="0"/>
              <w:bottom w:val="single" w:color="auto" w:sz="4" w:space="0"/>
            </w:tcBorders>
          </w:tcPr>
          <w:p>
            <w:pPr>
              <w:spacing w:before="108" w:line="184" w:lineRule="auto"/>
              <w:ind w:firstLine="21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996"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auto" w:sz="4" w:space="0"/>
              <w:left w:val="single" w:color="auto" w:sz="4" w:space="0"/>
            </w:tcBorders>
          </w:tcPr>
          <w:p>
            <w:pPr>
              <w:spacing w:before="108" w:line="184" w:lineRule="auto"/>
              <w:ind w:firstLine="21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14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bottom w:val="single" w:color="auto" w:sz="4" w:space="0"/>
            </w:tcBorders>
          </w:tcPr>
          <w:p>
            <w:pPr>
              <w:spacing w:before="196" w:line="184" w:lineRule="auto"/>
              <w:ind w:firstLine="157"/>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41" w:type="dxa"/>
            <w:tcBorders>
              <w:top w:val="single" w:color="auto" w:sz="4" w:space="0"/>
              <w:left w:val="single" w:color="auto" w:sz="4" w:space="0"/>
              <w:bottom w:val="single" w:color="auto" w:sz="4" w:space="0"/>
            </w:tcBorders>
          </w:tcPr>
          <w:p>
            <w:pPr>
              <w:spacing w:before="196" w:line="184" w:lineRule="auto"/>
              <w:ind w:firstLine="157"/>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top w:val="single" w:color="auto" w:sz="4" w:space="0"/>
              <w:left w:val="single" w:color="auto" w:sz="4" w:space="0"/>
            </w:tcBorders>
          </w:tcPr>
          <w:p>
            <w:pPr>
              <w:spacing w:before="196" w:line="184" w:lineRule="auto"/>
              <w:ind w:firstLine="157"/>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14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1" w:type="dxa"/>
            <w:tcBorders>
              <w:left w:val="single" w:color="auto" w:sz="4" w:space="0"/>
              <w:bottom w:val="single" w:color="auto" w:sz="4" w:space="0"/>
            </w:tcBorders>
          </w:tcPr>
          <w:p>
            <w:pPr>
              <w:spacing w:before="197" w:line="184" w:lineRule="auto"/>
              <w:ind w:firstLine="151"/>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41" w:type="dxa"/>
            <w:tcBorders>
              <w:top w:val="single" w:color="auto" w:sz="4" w:space="0"/>
              <w:left w:val="single" w:color="auto" w:sz="4" w:space="0"/>
              <w:bottom w:val="single" w:color="auto" w:sz="4" w:space="0"/>
            </w:tcBorders>
          </w:tcPr>
          <w:p>
            <w:pPr>
              <w:spacing w:before="197" w:line="184" w:lineRule="auto"/>
              <w:ind w:firstLine="151"/>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1" w:type="dxa"/>
            <w:tcBorders>
              <w:top w:val="single" w:color="auto" w:sz="4" w:space="0"/>
              <w:left w:val="single" w:color="auto" w:sz="4" w:space="0"/>
            </w:tcBorders>
          </w:tcPr>
          <w:p>
            <w:pPr>
              <w:spacing w:before="197" w:line="184" w:lineRule="auto"/>
              <w:ind w:firstLine="151"/>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9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14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1" w:type="dxa"/>
            <w:tcBorders>
              <w:left w:val="single" w:color="auto" w:sz="4" w:space="0"/>
              <w:bottom w:val="single" w:color="auto" w:sz="4" w:space="0"/>
            </w:tcBorders>
          </w:tcPr>
          <w:p>
            <w:pPr>
              <w:spacing w:before="84" w:line="184" w:lineRule="auto"/>
              <w:ind w:firstLine="16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9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41" w:type="dxa"/>
            <w:tcBorders>
              <w:top w:val="single" w:color="auto" w:sz="4" w:space="0"/>
              <w:left w:val="single" w:color="auto" w:sz="4" w:space="0"/>
              <w:bottom w:val="single" w:color="auto" w:sz="4" w:space="0"/>
            </w:tcBorders>
          </w:tcPr>
          <w:p>
            <w:pPr>
              <w:spacing w:before="84" w:line="184" w:lineRule="auto"/>
              <w:ind w:firstLine="16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4" w:type="dxa"/>
            <w:vMerge w:val="continue"/>
            <w:vAlign w:val="center"/>
          </w:tcPr>
          <w:p>
            <w:pPr>
              <w:jc w:val="center"/>
              <w:rPr>
                <w:rFonts w:ascii="Malgun Gothic"/>
                <w:color w:val="000000" w:themeColor="text1"/>
                <w:sz w:val="18"/>
                <w:szCs w:val="18"/>
              </w:rPr>
            </w:pPr>
          </w:p>
        </w:tc>
        <w:tc>
          <w:tcPr>
            <w:tcW w:w="1996"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1" w:type="dxa"/>
            <w:tcBorders>
              <w:top w:val="single" w:color="auto" w:sz="4" w:space="0"/>
              <w:left w:val="single" w:color="auto" w:sz="4" w:space="0"/>
            </w:tcBorders>
          </w:tcPr>
          <w:p>
            <w:pPr>
              <w:spacing w:before="84" w:line="184" w:lineRule="auto"/>
              <w:ind w:firstLine="16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tcBorders>
          </w:tcPr>
          <w:p>
            <w:pPr>
              <w:spacing w:before="90" w:line="184" w:lineRule="auto"/>
              <w:ind w:firstLine="454"/>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tcPr>
          <w:p>
            <w:pPr>
              <w:spacing w:before="42" w:line="184" w:lineRule="auto"/>
              <w:ind w:firstLine="397"/>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tcBorders>
          </w:tcPr>
          <w:p>
            <w:pPr>
              <w:spacing w:before="42" w:line="184" w:lineRule="auto"/>
              <w:ind w:firstLine="397"/>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9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left w:val="single" w:color="auto" w:sz="4" w:space="0"/>
            </w:tcBorders>
          </w:tcPr>
          <w:p>
            <w:pPr>
              <w:spacing w:before="41" w:line="184" w:lineRule="auto"/>
              <w:ind w:firstLine="391"/>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tcBorders>
          </w:tcPr>
          <w:p>
            <w:pPr>
              <w:spacing w:before="84" w:line="184" w:lineRule="auto"/>
              <w:ind w:firstLine="459"/>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tcBorders>
          </w:tcPr>
          <w:p>
            <w:pPr>
              <w:spacing w:before="198" w:line="184" w:lineRule="auto"/>
              <w:ind w:firstLine="27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9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tcPr>
          <w:p>
            <w:pPr>
              <w:spacing w:before="97" w:line="184" w:lineRule="auto"/>
              <w:ind w:firstLine="21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restart"/>
            <w:tcBorders>
              <w:bottom w:val="single" w:color="000000" w:sz="2" w:space="0"/>
              <w:right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96" w:type="dxa"/>
            <w:vMerge w:val="restart"/>
            <w:tcBorders>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85" w:type="dxa"/>
            <w:vMerge w:val="restart"/>
            <w:tcBorders>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3" w:type="dxa"/>
            <w:gridSpan w:val="2"/>
            <w:tcBorders>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30" w:type="dxa"/>
            <w:tcBorders>
              <w:left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bottom w:val="single" w:color="000000" w:sz="2" w:space="0"/>
            </w:tcBorders>
          </w:tcPr>
          <w:p>
            <w:pPr>
              <w:spacing w:before="63" w:line="184" w:lineRule="auto"/>
              <w:ind w:firstLine="21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single" w:color="000000" w:sz="2" w:space="0"/>
              <w:bottom w:val="single" w:color="000000" w:sz="2" w:space="0"/>
              <w:right w:val="single" w:color="000000" w:sz="2" w:space="0"/>
            </w:tcBorders>
            <w:vAlign w:val="center"/>
          </w:tcPr>
          <w:p>
            <w:pPr>
              <w:jc w:val="center"/>
              <w:rPr>
                <w:rFonts w:ascii="Malgun Gothic"/>
                <w:color w:val="000000" w:themeColor="text1"/>
                <w:sz w:val="18"/>
                <w:szCs w:val="18"/>
              </w:rPr>
            </w:pPr>
          </w:p>
        </w:tc>
        <w:tc>
          <w:tcPr>
            <w:tcW w:w="1996"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30" w:type="dxa"/>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000000" w:sz="2" w:space="0"/>
              <w:left w:val="single" w:color="auto" w:sz="4" w:space="0"/>
              <w:bottom w:val="single" w:color="000000" w:sz="2" w:space="0"/>
            </w:tcBorders>
          </w:tcPr>
          <w:p>
            <w:pPr>
              <w:spacing w:before="52" w:line="184" w:lineRule="auto"/>
              <w:ind w:firstLine="459"/>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restart"/>
            <w:tcBorders>
              <w:top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96"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30" w:type="dxa"/>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9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30"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9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9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54" w:type="dxa"/>
            <w:vMerge w:val="continue"/>
            <w:vAlign w:val="center"/>
          </w:tcPr>
          <w:p>
            <w:pPr>
              <w:jc w:val="center"/>
              <w:rPr>
                <w:rFonts w:ascii="Malgun Gothic"/>
                <w:color w:val="000000" w:themeColor="text1"/>
                <w:sz w:val="18"/>
                <w:szCs w:val="18"/>
              </w:rPr>
            </w:pPr>
          </w:p>
        </w:tc>
        <w:tc>
          <w:tcPr>
            <w:tcW w:w="1996"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86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86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1.《中华人民共和国固体废物污染环境防治法》第四十条 第一款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(十)贮存工业固体废物未采取符合国家环境保护标准的防护措施的；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85" w:name="_Toc20547"/>
      <w:bookmarkStart w:id="286" w:name="_Toc7374"/>
      <w:r>
        <w:rPr>
          <w:rFonts w:hint="eastAsia" w:ascii="仿宋" w:hAnsi="仿宋" w:eastAsia="仿宋" w:cs="仿宋"/>
          <w:b/>
          <w:bCs/>
          <w:color w:val="000000" w:themeColor="text1"/>
          <w:kern w:val="0"/>
          <w:sz w:val="24"/>
        </w:rPr>
        <w:t>表90以拖延、围堵、滞留执法人员等方式拒绝、阻挠监督检查，或者在接受监督检查时弄虚作假的罚款幅度裁定</w:t>
      </w:r>
      <w:bookmarkEnd w:id="285"/>
      <w:bookmarkEnd w:id="286"/>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386"/>
        <w:gridCol w:w="1045"/>
        <w:gridCol w:w="2091"/>
        <w:gridCol w:w="1352"/>
        <w:gridCol w:w="563"/>
        <w:gridCol w:w="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9" w:hRule="atLeast"/>
        </w:trPr>
        <w:tc>
          <w:tcPr>
            <w:tcW w:w="3869" w:type="dxa"/>
            <w:gridSpan w:val="3"/>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裁量要素</w:t>
            </w:r>
          </w:p>
        </w:tc>
        <w:tc>
          <w:tcPr>
            <w:tcW w:w="4650" w:type="dxa"/>
            <w:gridSpan w:val="4"/>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1438"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要素</w:t>
            </w:r>
          </w:p>
        </w:tc>
        <w:tc>
          <w:tcPr>
            <w:tcW w:w="1386"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具体条件</w:t>
            </w:r>
          </w:p>
        </w:tc>
        <w:tc>
          <w:tcPr>
            <w:tcW w:w="1045"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构成比例</w:t>
            </w:r>
          </w:p>
        </w:tc>
        <w:tc>
          <w:tcPr>
            <w:tcW w:w="3443"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563"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百分值</w:t>
            </w:r>
          </w:p>
        </w:tc>
        <w:tc>
          <w:tcPr>
            <w:tcW w:w="644" w:type="dxa"/>
            <w:tcBorders>
              <w:left w:val="single" w:color="auto" w:sz="4" w:space="0"/>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13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10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违法频次</w:t>
            </w:r>
          </w:p>
        </w:tc>
        <w:tc>
          <w:tcPr>
            <w:tcW w:w="138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4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整改情况</w:t>
            </w:r>
          </w:p>
        </w:tc>
        <w:tc>
          <w:tcPr>
            <w:tcW w:w="13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0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对社会影响或生态破坏程度</w:t>
            </w:r>
          </w:p>
        </w:tc>
        <w:tc>
          <w:tcPr>
            <w:tcW w:w="13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4"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vAlign w:val="center"/>
          </w:tcPr>
          <w:p>
            <w:pPr>
              <w:jc w:val="center"/>
              <w:rPr>
                <w:rFonts w:ascii="仿宋" w:hAnsi="仿宋" w:eastAsia="仿宋" w:cs="仿宋"/>
                <w:color w:val="000000" w:themeColor="text1"/>
                <w:spacing w:val="-7"/>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vAlign w:val="center"/>
          </w:tcPr>
          <w:p>
            <w:pPr>
              <w:jc w:val="center"/>
              <w:rPr>
                <w:rFonts w:ascii="仿宋" w:hAnsi="仿宋" w:eastAsia="仿宋" w:cs="仿宋"/>
                <w:color w:val="000000" w:themeColor="text1"/>
                <w:spacing w:val="-7"/>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tcBorders>
              <w:top w:val="nil"/>
              <w:bottom w:val="nil"/>
            </w:tcBorders>
            <w:vAlign w:val="center"/>
          </w:tcPr>
          <w:p>
            <w:pPr>
              <w:jc w:val="center"/>
              <w:rPr>
                <w:rFonts w:ascii="Malgun Gothic"/>
                <w:color w:val="000000" w:themeColor="text1"/>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trPr>
        <w:tc>
          <w:tcPr>
            <w:tcW w:w="1438" w:type="dxa"/>
            <w:vMerge w:val="continue"/>
            <w:vAlign w:val="center"/>
          </w:tcPr>
          <w:p>
            <w:pPr>
              <w:jc w:val="center"/>
              <w:rPr>
                <w:rFonts w:ascii="Malgun Gothic"/>
                <w:color w:val="000000" w:themeColor="text1"/>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5"/>
                <w:szCs w:val="15"/>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1"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1.《中华人民共和国固体废物污染环境防治法》第二十六条 第一款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2.《中华人民共和国固体废物污染环境防治法》第一百零三条 违反本法规定，以拖延、围堵、滞留执法人员等方式拒绝、阻挠监督检查，或者在接受监督检查时弄虚作假的，由生态环境主管部门或者其他负有固体废物污染环境防治监督管理职责的部门责令改正，处5万元以上20万元以下的罚款；对直接负责的主管人员和其他直接责任人员，处2万元以上10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87" w:name="_Toc23715"/>
      <w:bookmarkStart w:id="288" w:name="_Toc15369"/>
      <w:r>
        <w:rPr>
          <w:rFonts w:hint="eastAsia" w:ascii="仿宋" w:hAnsi="仿宋" w:eastAsia="仿宋" w:cs="仿宋"/>
          <w:b/>
          <w:bCs/>
          <w:color w:val="000000" w:themeColor="text1"/>
          <w:kern w:val="0"/>
          <w:sz w:val="24"/>
        </w:rPr>
        <w:t>表91未依法取得排污许可证产生工业固体废物的罚款幅度裁定</w:t>
      </w:r>
      <w:bookmarkEnd w:id="287"/>
      <w:bookmarkEnd w:id="288"/>
    </w:p>
    <w:tbl>
      <w:tblPr>
        <w:tblStyle w:val="15"/>
        <w:tblW w:w="8519"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1994"/>
        <w:gridCol w:w="685"/>
        <w:gridCol w:w="1544"/>
        <w:gridCol w:w="1497"/>
        <w:gridCol w:w="724"/>
        <w:gridCol w:w="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5" w:hRule="atLeast"/>
        </w:trPr>
        <w:tc>
          <w:tcPr>
            <w:tcW w:w="4199" w:type="dxa"/>
            <w:gridSpan w:val="3"/>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裁量要素</w:t>
            </w:r>
          </w:p>
        </w:tc>
        <w:tc>
          <w:tcPr>
            <w:tcW w:w="4320" w:type="dxa"/>
            <w:gridSpan w:val="4"/>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6" w:hRule="atLeast"/>
        </w:trPr>
        <w:tc>
          <w:tcPr>
            <w:tcW w:w="1520"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要素</w:t>
            </w:r>
          </w:p>
        </w:tc>
        <w:tc>
          <w:tcPr>
            <w:tcW w:w="1994"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具体条件</w:t>
            </w:r>
          </w:p>
        </w:tc>
        <w:tc>
          <w:tcPr>
            <w:tcW w:w="685"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构成</w:t>
            </w:r>
          </w:p>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比例</w:t>
            </w:r>
          </w:p>
        </w:tc>
        <w:tc>
          <w:tcPr>
            <w:tcW w:w="3041"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724"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百分值</w:t>
            </w:r>
          </w:p>
        </w:tc>
        <w:tc>
          <w:tcPr>
            <w:tcW w:w="555" w:type="dxa"/>
            <w:tcBorders>
              <w:left w:val="single" w:color="auto" w:sz="4" w:space="0"/>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对环境影响程度</w:t>
            </w: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bottom w:val="single" w:color="auto" w:sz="4" w:space="0"/>
            </w:tcBorders>
          </w:tcPr>
          <w:p>
            <w:pPr>
              <w:spacing w:before="197"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vAlign w:val="center"/>
          </w:tcPr>
          <w:p>
            <w:pPr>
              <w:jc w:val="center"/>
              <w:rPr>
                <w:rFonts w:ascii="仿宋" w:hAnsi="仿宋" w:eastAsia="仿宋" w:cs="仿宋"/>
                <w:color w:val="000000" w:themeColor="text1"/>
                <w:spacing w:val="-2"/>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top w:val="single" w:color="auto" w:sz="4" w:space="0"/>
              <w:left w:val="single" w:color="auto" w:sz="4" w:space="0"/>
            </w:tcBorders>
          </w:tcPr>
          <w:p>
            <w:pPr>
              <w:spacing w:before="197"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5" w:type="dxa"/>
            <w:tcBorders>
              <w:left w:val="single" w:color="auto" w:sz="4" w:space="0"/>
              <w:bottom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5" w:type="dxa"/>
            <w:tcBorders>
              <w:top w:val="single" w:color="auto" w:sz="4" w:space="0"/>
              <w:left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55" w:type="dxa"/>
            <w:tcBorders>
              <w:left w:val="single" w:color="auto" w:sz="4" w:space="0"/>
              <w:bottom w:val="single" w:color="auto" w:sz="4" w:space="0"/>
            </w:tcBorders>
          </w:tcPr>
          <w:p>
            <w:pPr>
              <w:spacing w:before="197" w:line="184" w:lineRule="auto"/>
              <w:ind w:firstLine="12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55" w:type="dxa"/>
            <w:tcBorders>
              <w:top w:val="single" w:color="auto" w:sz="4" w:space="0"/>
              <w:left w:val="single" w:color="auto" w:sz="4" w:space="0"/>
            </w:tcBorders>
          </w:tcPr>
          <w:p>
            <w:pPr>
              <w:spacing w:before="197" w:line="184" w:lineRule="auto"/>
              <w:ind w:firstLine="12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违法行为形式</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经收集处理的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涉及20吨以下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bottom w:val="single" w:color="auto" w:sz="4" w:space="0"/>
            </w:tcBorders>
          </w:tcPr>
          <w:p>
            <w:pPr>
              <w:spacing w:before="8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涉及20吨以上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top w:val="single" w:color="auto" w:sz="4" w:space="0"/>
              <w:left w:val="single" w:color="auto" w:sz="4" w:space="0"/>
            </w:tcBorders>
          </w:tcPr>
          <w:p>
            <w:pPr>
              <w:spacing w:before="8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未经收集处理的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涉及20吨以下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5" w:type="dxa"/>
            <w:tcBorders>
              <w:left w:val="single" w:color="auto" w:sz="4" w:space="0"/>
              <w:bottom w:val="single" w:color="auto" w:sz="4" w:space="0"/>
            </w:tcBorders>
          </w:tcPr>
          <w:p>
            <w:pPr>
              <w:spacing w:before="89"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vAlign w:val="center"/>
          </w:tcPr>
          <w:p>
            <w:pPr>
              <w:jc w:val="center"/>
              <w:rPr>
                <w:rFonts w:ascii="仿宋" w:hAnsi="仿宋" w:eastAsia="仿宋" w:cs="仿宋"/>
                <w:color w:val="000000" w:themeColor="text1"/>
                <w:spacing w:val="-2"/>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涉及20吨以上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5" w:type="dxa"/>
            <w:tcBorders>
              <w:top w:val="single" w:color="auto" w:sz="4" w:space="0"/>
              <w:left w:val="single" w:color="auto" w:sz="4" w:space="0"/>
            </w:tcBorders>
          </w:tcPr>
          <w:p>
            <w:pPr>
              <w:spacing w:before="89"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违法频次</w:t>
            </w: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tcBorders>
          </w:tcPr>
          <w:p>
            <w:pPr>
              <w:spacing w:before="52"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left w:val="single" w:color="auto" w:sz="4" w:space="0"/>
            </w:tcBorders>
          </w:tcPr>
          <w:p>
            <w:pPr>
              <w:spacing w:before="41"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5" w:type="dxa"/>
            <w:tcBorders>
              <w:left w:val="single" w:color="auto" w:sz="4" w:space="0"/>
            </w:tcBorders>
          </w:tcPr>
          <w:p>
            <w:pPr>
              <w:spacing w:before="43"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5" w:type="dxa"/>
            <w:tcBorders>
              <w:left w:val="single" w:color="auto" w:sz="4" w:space="0"/>
            </w:tcBorders>
          </w:tcPr>
          <w:p>
            <w:pPr>
              <w:spacing w:before="42"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整改情况</w:t>
            </w: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5" w:type="dxa"/>
            <w:tcBorders>
              <w:left w:val="single" w:color="auto" w:sz="4" w:space="0"/>
            </w:tcBorders>
          </w:tcPr>
          <w:p>
            <w:pPr>
              <w:spacing w:before="42"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tcBorders>
          </w:tcPr>
          <w:p>
            <w:pPr>
              <w:spacing w:before="198"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left w:val="single" w:color="auto" w:sz="4" w:space="0"/>
            </w:tcBorders>
          </w:tcPr>
          <w:p>
            <w:pPr>
              <w:spacing w:before="41"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对社会影响或生态破坏程度</w:t>
            </w: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5"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Malgun Gothic"/>
                <w:color w:val="000000" w:themeColor="text1"/>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Malgun Gothic"/>
                <w:color w:val="000000" w:themeColor="text1"/>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2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tcBorders>
              <w:top w:val="nil"/>
              <w:bottom w:val="nil"/>
            </w:tcBorders>
            <w:vAlign w:val="center"/>
          </w:tcPr>
          <w:p>
            <w:pPr>
              <w:jc w:val="center"/>
              <w:rPr>
                <w:rFonts w:ascii="Malgun Gothic"/>
                <w:color w:val="000000" w:themeColor="text1"/>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2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5"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20" w:type="dxa"/>
            <w:vMerge w:val="continue"/>
            <w:vAlign w:val="center"/>
          </w:tcPr>
          <w:p>
            <w:pPr>
              <w:jc w:val="center"/>
              <w:rPr>
                <w:rFonts w:ascii="Malgun Gothic"/>
                <w:color w:val="000000" w:themeColor="text1"/>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30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2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1.《中华人民共和国固体废物污染环境防治法》第三十九条 产生工业固体废物的单位应当取得排污许可证。排污许可的具体办法和实施步骤由国务院规定。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2.《中华人民共和国固体废物污染环境防治法》第一百零四条 违反本法规定，未依法取得排污许可证产生工业固体废物的，由生态环境主管部门责令改正或者限制生产、停产整治，处10万元以上100万元以下的罚款；情节严重的，报经有批准权的人民政府批准，责令停业或者关闭。</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89" w:name="_Toc11912"/>
      <w:bookmarkStart w:id="290" w:name="_Toc21510"/>
      <w:r>
        <w:rPr>
          <w:rFonts w:hint="eastAsia" w:ascii="仿宋" w:hAnsi="仿宋" w:eastAsia="仿宋" w:cs="仿宋"/>
          <w:b/>
          <w:bCs/>
          <w:color w:val="000000" w:themeColor="text1"/>
          <w:kern w:val="0"/>
          <w:sz w:val="24"/>
        </w:rPr>
        <w:t>表92从事畜禽规模养殖未及时收集、贮存、利用或者处置养殖过程中产生的畜禽粪污等固体废物的罚款幅度裁定</w:t>
      </w:r>
      <w:bookmarkEnd w:id="289"/>
      <w:bookmarkEnd w:id="290"/>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4"/>
        <w:gridCol w:w="1232"/>
        <w:gridCol w:w="741"/>
        <w:gridCol w:w="2177"/>
        <w:gridCol w:w="1775"/>
        <w:gridCol w:w="583"/>
        <w:gridCol w:w="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343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8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146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3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4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5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8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9" w:hRule="atLeast"/>
        </w:trPr>
        <w:tc>
          <w:tcPr>
            <w:tcW w:w="146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2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4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17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常年存栏量在100头以上500头以下猪、2000羽以上5000羽以下鸡、50头以上100头以下牛或其他同规模的畜禽养殖场</w:t>
            </w:r>
          </w:p>
        </w:tc>
        <w:tc>
          <w:tcPr>
            <w:tcW w:w="17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未及时利用或处置的</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4" w:type="dxa"/>
            <w:vMerge w:val="continue"/>
            <w:vAlign w:val="center"/>
          </w:tcPr>
          <w:p>
            <w:pPr>
              <w:jc w:val="center"/>
              <w:rPr>
                <w:rFonts w:ascii="仿宋" w:hAnsi="仿宋" w:eastAsia="仿宋" w:cs="仿宋"/>
                <w:color w:val="000000" w:themeColor="text1"/>
                <w:spacing w:val="-7"/>
                <w:sz w:val="18"/>
                <w:szCs w:val="18"/>
              </w:rPr>
            </w:pPr>
          </w:p>
        </w:tc>
        <w:tc>
          <w:tcPr>
            <w:tcW w:w="1232" w:type="dxa"/>
            <w:vMerge w:val="continue"/>
            <w:vAlign w:val="center"/>
          </w:tcPr>
          <w:p>
            <w:pPr>
              <w:jc w:val="center"/>
              <w:rPr>
                <w:rFonts w:ascii="仿宋" w:hAnsi="仿宋" w:eastAsia="仿宋" w:cs="仿宋"/>
                <w:color w:val="000000" w:themeColor="text1"/>
                <w:spacing w:val="-1"/>
                <w:sz w:val="18"/>
                <w:szCs w:val="18"/>
              </w:rPr>
            </w:pPr>
          </w:p>
        </w:tc>
        <w:tc>
          <w:tcPr>
            <w:tcW w:w="741" w:type="dxa"/>
            <w:vMerge w:val="continue"/>
            <w:vAlign w:val="center"/>
          </w:tcPr>
          <w:p>
            <w:pPr>
              <w:jc w:val="center"/>
              <w:rPr>
                <w:rFonts w:ascii="仿宋" w:hAnsi="仿宋" w:eastAsia="仿宋" w:cs="仿宋"/>
                <w:color w:val="000000" w:themeColor="text1"/>
                <w:spacing w:val="-1"/>
                <w:sz w:val="18"/>
                <w:szCs w:val="18"/>
              </w:rPr>
            </w:pPr>
          </w:p>
        </w:tc>
        <w:tc>
          <w:tcPr>
            <w:tcW w:w="217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未及时收集或贮存的</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7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常年存栏量在500头以上1000头以下猪、5000羽以上10000羽以下鸡、100头以上200头以下牛或其他同规模的畜禽养殖场</w:t>
            </w:r>
          </w:p>
        </w:tc>
        <w:tc>
          <w:tcPr>
            <w:tcW w:w="17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未及时利用或处置的</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7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未及时收集或贮存的</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 w:hRule="atLeast"/>
        </w:trPr>
        <w:tc>
          <w:tcPr>
            <w:tcW w:w="1464" w:type="dxa"/>
            <w:vMerge w:val="continue"/>
            <w:tcBorders>
              <w:top w:val="nil"/>
            </w:tcBorders>
            <w:vAlign w:val="center"/>
          </w:tcPr>
          <w:p>
            <w:pPr>
              <w:jc w:val="center"/>
              <w:rPr>
                <w:rFonts w:ascii="Malgun Gothic"/>
                <w:color w:val="000000" w:themeColor="text1"/>
                <w:sz w:val="18"/>
                <w:szCs w:val="18"/>
              </w:rPr>
            </w:pPr>
          </w:p>
        </w:tc>
        <w:tc>
          <w:tcPr>
            <w:tcW w:w="12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7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常年存栏量在1000头以上猪、10000羽以上鸡、200头以上牛或其他同规模的畜禽养殖场</w:t>
            </w:r>
          </w:p>
        </w:tc>
        <w:tc>
          <w:tcPr>
            <w:tcW w:w="17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未及时利用或处置的</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4" w:type="dxa"/>
            <w:vMerge w:val="continue"/>
            <w:vAlign w:val="center"/>
          </w:tcPr>
          <w:p>
            <w:pPr>
              <w:jc w:val="center"/>
              <w:rPr>
                <w:rFonts w:ascii="Malgun Gothic"/>
                <w:color w:val="000000" w:themeColor="text1"/>
                <w:sz w:val="18"/>
                <w:szCs w:val="18"/>
              </w:rPr>
            </w:pPr>
          </w:p>
        </w:tc>
        <w:tc>
          <w:tcPr>
            <w:tcW w:w="1232" w:type="dxa"/>
            <w:vMerge w:val="continue"/>
            <w:vAlign w:val="center"/>
          </w:tcPr>
          <w:p>
            <w:pPr>
              <w:jc w:val="center"/>
              <w:rPr>
                <w:rFonts w:ascii="仿宋" w:hAnsi="仿宋" w:eastAsia="仿宋" w:cs="仿宋"/>
                <w:color w:val="000000" w:themeColor="text1"/>
                <w:spacing w:val="-1"/>
                <w:sz w:val="18"/>
                <w:szCs w:val="18"/>
              </w:rPr>
            </w:pPr>
          </w:p>
        </w:tc>
        <w:tc>
          <w:tcPr>
            <w:tcW w:w="741" w:type="dxa"/>
            <w:vMerge w:val="continue"/>
            <w:vAlign w:val="center"/>
          </w:tcPr>
          <w:p>
            <w:pPr>
              <w:jc w:val="center"/>
              <w:rPr>
                <w:rFonts w:ascii="仿宋" w:hAnsi="仿宋" w:eastAsia="仿宋" w:cs="仿宋"/>
                <w:color w:val="000000" w:themeColor="text1"/>
                <w:spacing w:val="-1"/>
                <w:sz w:val="18"/>
                <w:szCs w:val="18"/>
              </w:rPr>
            </w:pPr>
          </w:p>
        </w:tc>
        <w:tc>
          <w:tcPr>
            <w:tcW w:w="217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未及时收集或贮存的</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4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Borders>
              <w:top w:val="nil"/>
            </w:tcBorders>
            <w:vAlign w:val="center"/>
          </w:tcPr>
          <w:p>
            <w:pPr>
              <w:jc w:val="center"/>
              <w:rPr>
                <w:rFonts w:ascii="Malgun Gothic"/>
                <w:color w:val="000000" w:themeColor="text1"/>
                <w:sz w:val="18"/>
                <w:szCs w:val="18"/>
              </w:rPr>
            </w:pPr>
          </w:p>
        </w:tc>
        <w:tc>
          <w:tcPr>
            <w:tcW w:w="12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整改</w:t>
            </w:r>
          </w:p>
        </w:tc>
        <w:tc>
          <w:tcPr>
            <w:tcW w:w="74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Borders>
              <w:top w:val="nil"/>
            </w:tcBorders>
            <w:vAlign w:val="center"/>
          </w:tcPr>
          <w:p>
            <w:pPr>
              <w:jc w:val="center"/>
              <w:rPr>
                <w:rFonts w:ascii="Malgun Gothic"/>
                <w:color w:val="000000" w:themeColor="text1"/>
                <w:sz w:val="18"/>
                <w:szCs w:val="18"/>
              </w:rPr>
            </w:pPr>
          </w:p>
        </w:tc>
        <w:tc>
          <w:tcPr>
            <w:tcW w:w="12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23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4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Pr>
          <w:p>
            <w:pPr>
              <w:jc w:val="center"/>
              <w:rPr>
                <w:rFonts w:ascii="仿宋" w:hAnsi="仿宋" w:eastAsia="仿宋" w:cs="仿宋"/>
                <w:color w:val="000000" w:themeColor="text1"/>
                <w:spacing w:val="-9"/>
                <w:sz w:val="18"/>
                <w:szCs w:val="18"/>
              </w:rPr>
            </w:pPr>
          </w:p>
        </w:tc>
        <w:tc>
          <w:tcPr>
            <w:tcW w:w="1232" w:type="dxa"/>
            <w:vMerge w:val="continue"/>
            <w:vAlign w:val="center"/>
          </w:tcPr>
          <w:p>
            <w:pPr>
              <w:jc w:val="center"/>
              <w:rPr>
                <w:rFonts w:ascii="仿宋" w:hAnsi="仿宋" w:eastAsia="仿宋" w:cs="仿宋"/>
                <w:color w:val="000000" w:themeColor="text1"/>
                <w:spacing w:val="-1"/>
                <w:sz w:val="18"/>
                <w:szCs w:val="18"/>
              </w:rPr>
            </w:pPr>
          </w:p>
        </w:tc>
        <w:tc>
          <w:tcPr>
            <w:tcW w:w="741" w:type="dxa"/>
            <w:vMerge w:val="continue"/>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tcPr>
          <w:p>
            <w:pPr>
              <w:spacing w:before="42"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2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4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64" w:type="dxa"/>
            <w:vMerge w:val="continue"/>
            <w:vAlign w:val="center"/>
          </w:tcPr>
          <w:p>
            <w:pPr>
              <w:jc w:val="center"/>
              <w:rPr>
                <w:rFonts w:ascii="Malgun Gothic"/>
                <w:color w:val="000000" w:themeColor="text1"/>
                <w:sz w:val="18"/>
                <w:szCs w:val="18"/>
              </w:rPr>
            </w:pPr>
          </w:p>
        </w:tc>
        <w:tc>
          <w:tcPr>
            <w:tcW w:w="1232" w:type="dxa"/>
            <w:vMerge w:val="continue"/>
            <w:vAlign w:val="center"/>
          </w:tcPr>
          <w:p>
            <w:pPr>
              <w:jc w:val="center"/>
              <w:rPr>
                <w:rFonts w:ascii="仿宋" w:hAnsi="仿宋" w:eastAsia="仿宋" w:cs="仿宋"/>
                <w:color w:val="000000" w:themeColor="text1"/>
                <w:spacing w:val="-1"/>
                <w:sz w:val="18"/>
                <w:szCs w:val="18"/>
              </w:rPr>
            </w:pPr>
          </w:p>
        </w:tc>
        <w:tc>
          <w:tcPr>
            <w:tcW w:w="741" w:type="dxa"/>
            <w:vMerge w:val="continue"/>
            <w:vAlign w:val="center"/>
          </w:tcPr>
          <w:p>
            <w:pPr>
              <w:jc w:val="center"/>
              <w:rPr>
                <w:rFonts w:ascii="仿宋" w:hAnsi="仿宋" w:eastAsia="仿宋" w:cs="仿宋"/>
                <w:color w:val="000000" w:themeColor="text1"/>
                <w:spacing w:val="-1"/>
                <w:sz w:val="18"/>
                <w:szCs w:val="18"/>
              </w:rPr>
            </w:pPr>
          </w:p>
        </w:tc>
        <w:tc>
          <w:tcPr>
            <w:tcW w:w="395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1.《中华人民共和国固体废物污染环境防治法》第六十五条 第二款 从事畜禽规模养殖应当及时收集、贮存、利用或者处置养殖过程中产生的畜禽粪污等固体废物，避免造成环境污染。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2.《中华人民共和国固体废物污染环境防治法》第一百零七条 从事畜禽规模养殖未及时收集、贮存、利用或者处置养殖过程中产生的畜禽粪污等固体废物的，由生态环境主管部门责令改正，可以处10万元以下的罚款；情节严重的，报经有批准权的人民政府批准，责令停业或者关闭。</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91" w:name="_Toc18232"/>
      <w:bookmarkStart w:id="292" w:name="_Toc21362"/>
      <w:r>
        <w:rPr>
          <w:rFonts w:hint="eastAsia" w:ascii="仿宋" w:hAnsi="仿宋" w:eastAsia="仿宋" w:cs="仿宋"/>
          <w:b/>
          <w:bCs/>
          <w:color w:val="000000" w:themeColor="text1"/>
          <w:kern w:val="0"/>
          <w:sz w:val="24"/>
        </w:rPr>
        <w:t>表93尾矿、煤矸石、废石等矿业固体废物贮存设施停止使用后，未按照国家有关环境保护规定进行封场的罚款幅度裁定</w:t>
      </w:r>
      <w:bookmarkEnd w:id="291"/>
      <w:bookmarkEnd w:id="292"/>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2001"/>
        <w:gridCol w:w="687"/>
        <w:gridCol w:w="1518"/>
        <w:gridCol w:w="1547"/>
        <w:gridCol w:w="699"/>
        <w:gridCol w:w="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414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3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4" w:hRule="atLeast"/>
        </w:trPr>
        <w:tc>
          <w:tcPr>
            <w:tcW w:w="145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06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9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1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应封场3万立方米以下的</w:t>
            </w:r>
          </w:p>
        </w:tc>
        <w:tc>
          <w:tcPr>
            <w:tcW w:w="1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9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bottom w:val="single" w:color="auto" w:sz="4" w:space="0"/>
            </w:tcBorders>
          </w:tcPr>
          <w:p>
            <w:pPr>
              <w:spacing w:before="10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0" w:type="dxa"/>
            <w:tcBorders>
              <w:top w:val="single" w:color="auto" w:sz="4" w:space="0"/>
              <w:left w:val="single" w:color="auto" w:sz="4" w:space="0"/>
              <w:bottom w:val="single" w:color="auto" w:sz="4" w:space="0"/>
            </w:tcBorders>
          </w:tcPr>
          <w:p>
            <w:pPr>
              <w:spacing w:before="10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9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tcBorders>
          </w:tcPr>
          <w:p>
            <w:pPr>
              <w:spacing w:before="10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应封场3万立方米以上5万立方米以下的</w:t>
            </w:r>
          </w:p>
        </w:tc>
        <w:tc>
          <w:tcPr>
            <w:tcW w:w="1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9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left w:val="single" w:color="auto" w:sz="4" w:space="0"/>
              <w:bottom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70" w:type="dxa"/>
            <w:tcBorders>
              <w:top w:val="single" w:color="auto" w:sz="4" w:space="0"/>
              <w:left w:val="single" w:color="auto" w:sz="4" w:space="0"/>
              <w:bottom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9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top w:val="single" w:color="auto" w:sz="4" w:space="0"/>
              <w:left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1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应封场5万立方米以上的</w:t>
            </w:r>
          </w:p>
        </w:tc>
        <w:tc>
          <w:tcPr>
            <w:tcW w:w="1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9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0" w:type="dxa"/>
            <w:tcBorders>
              <w:left w:val="single" w:color="auto" w:sz="4" w:space="0"/>
              <w:bottom w:val="single" w:color="auto" w:sz="4" w:space="0"/>
            </w:tcBorders>
          </w:tcPr>
          <w:p>
            <w:pPr>
              <w:spacing w:before="8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0" w:type="dxa"/>
            <w:tcBorders>
              <w:top w:val="single" w:color="auto" w:sz="4" w:space="0"/>
              <w:left w:val="single" w:color="auto" w:sz="4" w:space="0"/>
              <w:bottom w:val="single" w:color="auto" w:sz="4" w:space="0"/>
            </w:tcBorders>
          </w:tcPr>
          <w:p>
            <w:pPr>
              <w:spacing w:before="8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7" w:type="dxa"/>
            <w:vMerge w:val="continue"/>
            <w:vAlign w:val="center"/>
          </w:tcPr>
          <w:p>
            <w:pPr>
              <w:jc w:val="center"/>
              <w:rPr>
                <w:rFonts w:ascii="Malgun Gothic"/>
                <w:color w:val="000000" w:themeColor="text1"/>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9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0" w:type="dxa"/>
            <w:tcBorders>
              <w:top w:val="single" w:color="auto" w:sz="4" w:space="0"/>
              <w:left w:val="single" w:color="auto" w:sz="4" w:space="0"/>
            </w:tcBorders>
          </w:tcPr>
          <w:p>
            <w:pPr>
              <w:spacing w:before="8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tcBorders>
          </w:tcPr>
          <w:p>
            <w:pPr>
              <w:spacing w:before="51"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3"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left w:val="single" w:color="auto" w:sz="4" w:space="0"/>
            </w:tcBorders>
          </w:tcPr>
          <w:p>
            <w:pPr>
              <w:spacing w:before="42"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tcPr>
          <w:p>
            <w:pPr>
              <w:spacing w:before="5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tcBorders>
          </w:tcPr>
          <w:p>
            <w:pPr>
              <w:spacing w:before="199"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2"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tcPr>
          <w:p>
            <w:pPr>
              <w:spacing w:before="5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对社会影响或生态破坏程度</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6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9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30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30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306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9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2001"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5" w:hRule="atLeast"/>
        </w:trPr>
        <w:tc>
          <w:tcPr>
            <w:tcW w:w="847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1" w:hRule="atLeast"/>
        </w:trPr>
        <w:tc>
          <w:tcPr>
            <w:tcW w:w="847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1.《中华人民共和国固体废物污染环境防治法》第四十二条 第三款 尾矿、煤矸石、废石等矿业固体废物贮存设施停止使用后，矿山企业应当按照国家有关环境保护等规定进行封场，防止造成环境污染和生态破坏。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条尾矿、煤矸石、废石等矿业固体废物贮存设施停止使用后，未按照国家有关环境保护规定进行封场的，由生态环境主管部门责令改正，处20万元以上100万元以下的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293" w:name="_Toc14272"/>
      <w:bookmarkStart w:id="294" w:name="_Toc17849"/>
      <w:r>
        <w:rPr>
          <w:rFonts w:hint="eastAsia" w:ascii="仿宋" w:hAnsi="仿宋" w:eastAsia="仿宋" w:cs="仿宋"/>
          <w:b/>
          <w:bCs/>
          <w:color w:val="000000" w:themeColor="text1"/>
          <w:kern w:val="0"/>
          <w:sz w:val="24"/>
        </w:rPr>
        <w:t>表94未按照规定设置危险废物识别标志的罚款幅度裁定</w:t>
      </w:r>
      <w:bookmarkEnd w:id="293"/>
      <w:bookmarkEnd w:id="294"/>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1939"/>
        <w:gridCol w:w="667"/>
        <w:gridCol w:w="1134"/>
        <w:gridCol w:w="1976"/>
        <w:gridCol w:w="764"/>
        <w:gridCol w:w="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4018"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0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141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3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1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6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13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未按国家规定设置危险废物识别标志的</w:t>
            </w:r>
          </w:p>
        </w:tc>
        <w:tc>
          <w:tcPr>
            <w:tcW w:w="197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涉及量1吨以下</w:t>
            </w:r>
          </w:p>
        </w:tc>
        <w:tc>
          <w:tcPr>
            <w:tcW w:w="76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2" w:type="dxa"/>
            <w:vMerge w:val="continue"/>
            <w:vAlign w:val="center"/>
          </w:tcPr>
          <w:p>
            <w:pPr>
              <w:jc w:val="center"/>
              <w:rPr>
                <w:rFonts w:ascii="仿宋" w:hAnsi="仿宋" w:eastAsia="仿宋" w:cs="仿宋"/>
                <w:color w:val="000000" w:themeColor="text1"/>
                <w:spacing w:val="-9"/>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涉及量1吨以上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5吨以下</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2" w:type="dxa"/>
            <w:vMerge w:val="continue"/>
            <w:vAlign w:val="center"/>
          </w:tcPr>
          <w:p>
            <w:pPr>
              <w:jc w:val="center"/>
              <w:rPr>
                <w:rFonts w:ascii="仿宋" w:hAnsi="仿宋" w:eastAsia="仿宋" w:cs="仿宋"/>
                <w:color w:val="000000" w:themeColor="text1"/>
                <w:spacing w:val="-9"/>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涉及量5吨以上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2" w:type="dxa"/>
            <w:vMerge w:val="continue"/>
            <w:vAlign w:val="center"/>
          </w:tcPr>
          <w:p>
            <w:pPr>
              <w:jc w:val="center"/>
              <w:rPr>
                <w:rFonts w:ascii="仿宋" w:hAnsi="仿宋" w:eastAsia="仿宋" w:cs="仿宋"/>
                <w:color w:val="000000" w:themeColor="text1"/>
                <w:spacing w:val="-9"/>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涉及量10吨以上</w:t>
            </w:r>
          </w:p>
        </w:tc>
        <w:tc>
          <w:tcPr>
            <w:tcW w:w="76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未设置危险废物识别标志的</w:t>
            </w:r>
          </w:p>
        </w:tc>
        <w:tc>
          <w:tcPr>
            <w:tcW w:w="197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涉及量1吨以下</w:t>
            </w:r>
          </w:p>
        </w:tc>
        <w:tc>
          <w:tcPr>
            <w:tcW w:w="76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涉及量1吨以上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5吨以下</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涉及量5吨以上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2" w:type="dxa"/>
            <w:vMerge w:val="continue"/>
            <w:vAlign w:val="center"/>
          </w:tcPr>
          <w:p>
            <w:pPr>
              <w:jc w:val="center"/>
              <w:rPr>
                <w:rFonts w:ascii="仿宋" w:hAnsi="仿宋" w:eastAsia="仿宋" w:cs="仿宋"/>
                <w:color w:val="000000" w:themeColor="text1"/>
                <w:spacing w:val="-9"/>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涉及量10吨以上</w:t>
            </w:r>
          </w:p>
        </w:tc>
        <w:tc>
          <w:tcPr>
            <w:tcW w:w="76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6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vAlign w:val="center"/>
          </w:tcPr>
          <w:p>
            <w:pPr>
              <w:jc w:val="center"/>
              <w:rPr>
                <w:rFonts w:ascii="仿宋" w:hAnsi="仿宋" w:eastAsia="仿宋" w:cs="仿宋"/>
                <w:color w:val="000000" w:themeColor="text1"/>
                <w:spacing w:val="-7"/>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vAlign w:val="center"/>
          </w:tcPr>
          <w:p>
            <w:pPr>
              <w:jc w:val="center"/>
              <w:rPr>
                <w:rFonts w:ascii="仿宋" w:hAnsi="仿宋" w:eastAsia="仿宋" w:cs="仿宋"/>
                <w:color w:val="000000" w:themeColor="text1"/>
                <w:spacing w:val="-7"/>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vAlign w:val="center"/>
          </w:tcPr>
          <w:p>
            <w:pPr>
              <w:jc w:val="center"/>
              <w:rPr>
                <w:rFonts w:ascii="仿宋" w:hAnsi="仿宋" w:eastAsia="仿宋" w:cs="仿宋"/>
                <w:color w:val="000000" w:themeColor="text1"/>
                <w:spacing w:val="-7"/>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6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2"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39"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3" w:hRule="atLeast"/>
        </w:trPr>
        <w:tc>
          <w:tcPr>
            <w:tcW w:w="851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9" w:hRule="atLeast"/>
        </w:trPr>
        <w:tc>
          <w:tcPr>
            <w:tcW w:w="851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1.《中华人民共和国固体废物污染环境防治法》第七十七条 对危险废物的容器和包装物以及收集、贮存、运输、利用、处置危险废物的设施、场所，应当按照规定设置危险废物识别标志。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(一)未按照规定设置危险废物识别标志的；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95" w:name="_Toc2357"/>
      <w:bookmarkStart w:id="296" w:name="_Toc17745"/>
      <w:r>
        <w:rPr>
          <w:rFonts w:hint="eastAsia" w:ascii="仿宋" w:hAnsi="仿宋" w:eastAsia="仿宋" w:cs="仿宋"/>
          <w:b/>
          <w:bCs/>
          <w:color w:val="000000" w:themeColor="text1"/>
          <w:kern w:val="0"/>
          <w:sz w:val="24"/>
        </w:rPr>
        <w:t>表95未按照国家有关规定制定危险废物管理计划或者申报危险废物</w:t>
      </w:r>
      <w:bookmarkStart w:id="297" w:name="_Toc26111"/>
      <w:r>
        <w:rPr>
          <w:rFonts w:hint="eastAsia" w:ascii="仿宋" w:hAnsi="仿宋" w:eastAsia="仿宋" w:cs="仿宋"/>
          <w:b/>
          <w:bCs/>
          <w:color w:val="000000" w:themeColor="text1"/>
          <w:kern w:val="0"/>
          <w:sz w:val="24"/>
        </w:rPr>
        <w:t>有关资料的罚款幅度裁定</w:t>
      </w:r>
      <w:bookmarkEnd w:id="295"/>
      <w:bookmarkEnd w:id="296"/>
      <w:bookmarkEnd w:id="297"/>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9"/>
        <w:gridCol w:w="1975"/>
        <w:gridCol w:w="679"/>
        <w:gridCol w:w="1971"/>
        <w:gridCol w:w="1197"/>
        <w:gridCol w:w="586"/>
        <w:gridCol w:w="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8" w:hRule="atLeast"/>
        </w:trPr>
        <w:tc>
          <w:tcPr>
            <w:tcW w:w="4093"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86"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1" w:hRule="atLeast"/>
        </w:trPr>
        <w:tc>
          <w:tcPr>
            <w:tcW w:w="143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6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7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1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vAlign w:val="center"/>
          </w:tcPr>
          <w:p>
            <w:pPr>
              <w:jc w:val="center"/>
              <w:rPr>
                <w:rFonts w:ascii="仿宋" w:hAnsi="仿宋" w:eastAsia="仿宋" w:cs="仿宋"/>
                <w:color w:val="000000" w:themeColor="text1"/>
                <w:spacing w:val="-9"/>
                <w:sz w:val="18"/>
                <w:szCs w:val="18"/>
              </w:rPr>
            </w:pPr>
          </w:p>
        </w:tc>
        <w:tc>
          <w:tcPr>
            <w:tcW w:w="1975"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vAlign w:val="center"/>
          </w:tcPr>
          <w:p>
            <w:pPr>
              <w:jc w:val="center"/>
              <w:rPr>
                <w:rFonts w:ascii="仿宋" w:hAnsi="仿宋" w:eastAsia="仿宋" w:cs="仿宋"/>
                <w:color w:val="000000" w:themeColor="text1"/>
                <w:spacing w:val="-9"/>
                <w:sz w:val="18"/>
                <w:szCs w:val="18"/>
              </w:rPr>
            </w:pPr>
          </w:p>
        </w:tc>
        <w:tc>
          <w:tcPr>
            <w:tcW w:w="1975"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1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1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7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1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39" w:type="dxa"/>
            <w:vMerge w:val="continue"/>
            <w:vAlign w:val="center"/>
          </w:tcPr>
          <w:p>
            <w:pPr>
              <w:jc w:val="center"/>
              <w:rPr>
                <w:rFonts w:ascii="仿宋" w:hAnsi="仿宋" w:eastAsia="仿宋" w:cs="仿宋"/>
                <w:color w:val="000000" w:themeColor="text1"/>
                <w:spacing w:val="-9"/>
                <w:sz w:val="18"/>
                <w:szCs w:val="18"/>
              </w:rPr>
            </w:pPr>
          </w:p>
        </w:tc>
        <w:tc>
          <w:tcPr>
            <w:tcW w:w="1975"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restart"/>
            <w:tcBorders>
              <w:bottom w:val="single" w:color="000000" w:sz="2" w:space="0"/>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975"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79"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8"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6"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6"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7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9"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6"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7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6"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7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7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439" w:type="dxa"/>
            <w:vMerge w:val="continue"/>
            <w:vAlign w:val="center"/>
          </w:tcPr>
          <w:p>
            <w:pPr>
              <w:jc w:val="center"/>
              <w:rPr>
                <w:rFonts w:ascii="Malgun Gothic"/>
                <w:color w:val="000000" w:themeColor="text1"/>
                <w:sz w:val="18"/>
                <w:szCs w:val="18"/>
              </w:rPr>
            </w:pPr>
          </w:p>
        </w:tc>
        <w:tc>
          <w:tcPr>
            <w:tcW w:w="1975"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1.《中华人民共和国固体废物污染环境防治法》第七十八条 第一款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(二)未按照国家有关规定制定危险废物管理计划或者申报危险废物有关资料的；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98" w:name="_Toc27644"/>
      <w:bookmarkStart w:id="299" w:name="_Toc4686"/>
      <w:r>
        <w:rPr>
          <w:rFonts w:hint="eastAsia" w:ascii="仿宋" w:hAnsi="仿宋" w:eastAsia="仿宋" w:cs="仿宋"/>
          <w:b/>
          <w:bCs/>
          <w:color w:val="000000" w:themeColor="text1"/>
          <w:kern w:val="0"/>
          <w:sz w:val="24"/>
        </w:rPr>
        <w:t>表96擅自倾倒、堆放危险废物的罚款幅度裁定</w:t>
      </w:r>
      <w:bookmarkEnd w:id="298"/>
      <w:bookmarkEnd w:id="299"/>
    </w:p>
    <w:tbl>
      <w:tblPr>
        <w:tblStyle w:val="15"/>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987"/>
        <w:gridCol w:w="682"/>
        <w:gridCol w:w="1582"/>
        <w:gridCol w:w="1604"/>
        <w:gridCol w:w="589"/>
        <w:gridCol w:w="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411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0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8" w:hRule="atLeast"/>
        </w:trPr>
        <w:tc>
          <w:tcPr>
            <w:tcW w:w="144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2"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8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8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8"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60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bottom w:val="single" w:color="auto" w:sz="4" w:space="0"/>
            </w:tcBorders>
          </w:tcPr>
          <w:p>
            <w:pPr>
              <w:spacing w:before="197"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7" w:type="dxa"/>
            <w:vMerge w:val="continue"/>
            <w:vAlign w:val="center"/>
          </w:tcPr>
          <w:p>
            <w:pPr>
              <w:jc w:val="center"/>
              <w:rPr>
                <w:rFonts w:ascii="仿宋" w:hAnsi="仿宋" w:eastAsia="仿宋" w:cs="仿宋"/>
                <w:color w:val="000000" w:themeColor="text1"/>
                <w:spacing w:val="-7"/>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15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0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8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top w:val="single" w:color="auto" w:sz="4" w:space="0"/>
              <w:left w:val="single" w:color="auto" w:sz="4" w:space="0"/>
            </w:tcBorders>
          </w:tcPr>
          <w:p>
            <w:pPr>
              <w:spacing w:before="197"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60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left w:val="single" w:color="auto" w:sz="4" w:space="0"/>
              <w:bottom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0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8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top w:val="single" w:color="auto" w:sz="4" w:space="0"/>
              <w:left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60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28" w:type="dxa"/>
            <w:tcBorders>
              <w:left w:val="single" w:color="auto" w:sz="4" w:space="0"/>
              <w:bottom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0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8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8" w:type="dxa"/>
            <w:tcBorders>
              <w:top w:val="single" w:color="auto" w:sz="4" w:space="0"/>
              <w:left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60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28"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15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0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8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8"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×3～5（由总百分值确定），但罚款金额不能低于</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的3倍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(三)擅自倾倒、堆放危险废物的；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00" w:name="_Toc1892"/>
      <w:bookmarkStart w:id="301" w:name="_Toc20666"/>
      <w:r>
        <w:rPr>
          <w:rFonts w:hint="eastAsia" w:ascii="仿宋" w:hAnsi="仿宋" w:eastAsia="仿宋" w:cs="仿宋"/>
          <w:b/>
          <w:bCs/>
          <w:color w:val="000000" w:themeColor="text1"/>
          <w:kern w:val="0"/>
          <w:sz w:val="24"/>
        </w:rPr>
        <w:t>表97将危险废物提供或者委托给无许可证的单位或者其他生产经营者从事经营活动的罚款幅度裁定</w:t>
      </w:r>
      <w:bookmarkEnd w:id="300"/>
      <w:bookmarkEnd w:id="301"/>
    </w:p>
    <w:tbl>
      <w:tblPr>
        <w:tblStyle w:val="15"/>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2127"/>
        <w:gridCol w:w="731"/>
        <w:gridCol w:w="1775"/>
        <w:gridCol w:w="1637"/>
        <w:gridCol w:w="657"/>
        <w:gridCol w:w="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4" w:hRule="atLeast"/>
        </w:trPr>
        <w:tc>
          <w:tcPr>
            <w:tcW w:w="4408"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7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2" w:hRule="atLeast"/>
        </w:trPr>
        <w:tc>
          <w:tcPr>
            <w:tcW w:w="15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1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1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5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55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77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涉及数量10吨以下的</w:t>
            </w:r>
          </w:p>
        </w:tc>
        <w:tc>
          <w:tcPr>
            <w:tcW w:w="1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资源化综合利用</w:t>
            </w:r>
          </w:p>
        </w:tc>
        <w:tc>
          <w:tcPr>
            <w:tcW w:w="6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1550" w:type="dxa"/>
            <w:vMerge w:val="continue"/>
            <w:vAlign w:val="center"/>
          </w:tcPr>
          <w:p>
            <w:pPr>
              <w:jc w:val="center"/>
              <w:rPr>
                <w:rFonts w:ascii="仿宋" w:hAnsi="仿宋" w:eastAsia="仿宋" w:cs="仿宋"/>
                <w:color w:val="000000" w:themeColor="text1"/>
                <w:spacing w:val="-7"/>
                <w:sz w:val="18"/>
                <w:szCs w:val="18"/>
              </w:rPr>
            </w:pPr>
          </w:p>
        </w:tc>
        <w:tc>
          <w:tcPr>
            <w:tcW w:w="2127" w:type="dxa"/>
            <w:vMerge w:val="continue"/>
            <w:vAlign w:val="center"/>
          </w:tcPr>
          <w:p>
            <w:pPr>
              <w:jc w:val="center"/>
              <w:rPr>
                <w:rFonts w:ascii="仿宋" w:hAnsi="仿宋" w:eastAsia="仿宋" w:cs="仿宋"/>
                <w:color w:val="000000" w:themeColor="text1"/>
                <w:spacing w:val="-1"/>
                <w:sz w:val="18"/>
                <w:szCs w:val="18"/>
              </w:rPr>
            </w:pPr>
          </w:p>
        </w:tc>
        <w:tc>
          <w:tcPr>
            <w:tcW w:w="731" w:type="dxa"/>
            <w:vMerge w:val="continue"/>
            <w:vAlign w:val="center"/>
          </w:tcPr>
          <w:p>
            <w:pPr>
              <w:jc w:val="center"/>
              <w:rPr>
                <w:rFonts w:ascii="仿宋" w:hAnsi="仿宋" w:eastAsia="仿宋" w:cs="仿宋"/>
                <w:color w:val="000000" w:themeColor="text1"/>
                <w:spacing w:val="-1"/>
                <w:sz w:val="18"/>
                <w:szCs w:val="18"/>
              </w:rPr>
            </w:pPr>
          </w:p>
        </w:tc>
        <w:tc>
          <w:tcPr>
            <w:tcW w:w="177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7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1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资源化综合利用</w:t>
            </w:r>
          </w:p>
        </w:tc>
        <w:tc>
          <w:tcPr>
            <w:tcW w:w="6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2"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0"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7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2"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1550" w:type="dxa"/>
            <w:vMerge w:val="continue"/>
            <w:tcBorders>
              <w:top w:val="nil"/>
            </w:tcBorders>
            <w:vAlign w:val="center"/>
          </w:tcPr>
          <w:p>
            <w:pPr>
              <w:jc w:val="center"/>
              <w:rPr>
                <w:rFonts w:ascii="Malgun Gothic"/>
                <w:color w:val="000000" w:themeColor="text1"/>
                <w:sz w:val="18"/>
                <w:szCs w:val="18"/>
              </w:rPr>
            </w:pPr>
          </w:p>
        </w:tc>
        <w:tc>
          <w:tcPr>
            <w:tcW w:w="21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7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1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资源化综合利用</w:t>
            </w:r>
          </w:p>
        </w:tc>
        <w:tc>
          <w:tcPr>
            <w:tcW w:w="6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0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1550" w:type="dxa"/>
            <w:vMerge w:val="continue"/>
            <w:vAlign w:val="center"/>
          </w:tcPr>
          <w:p>
            <w:pPr>
              <w:jc w:val="center"/>
              <w:rPr>
                <w:rFonts w:ascii="Malgun Gothic"/>
                <w:color w:val="000000" w:themeColor="text1"/>
                <w:sz w:val="18"/>
                <w:szCs w:val="18"/>
              </w:rPr>
            </w:pPr>
          </w:p>
        </w:tc>
        <w:tc>
          <w:tcPr>
            <w:tcW w:w="2127" w:type="dxa"/>
            <w:vMerge w:val="continue"/>
            <w:vAlign w:val="center"/>
          </w:tcPr>
          <w:p>
            <w:pPr>
              <w:jc w:val="center"/>
              <w:rPr>
                <w:rFonts w:ascii="仿宋" w:hAnsi="仿宋" w:eastAsia="仿宋" w:cs="仿宋"/>
                <w:color w:val="000000" w:themeColor="text1"/>
                <w:spacing w:val="-1"/>
                <w:sz w:val="18"/>
                <w:szCs w:val="18"/>
              </w:rPr>
            </w:pPr>
          </w:p>
        </w:tc>
        <w:tc>
          <w:tcPr>
            <w:tcW w:w="731" w:type="dxa"/>
            <w:vMerge w:val="continue"/>
            <w:vAlign w:val="center"/>
          </w:tcPr>
          <w:p>
            <w:pPr>
              <w:jc w:val="center"/>
              <w:rPr>
                <w:rFonts w:ascii="仿宋" w:hAnsi="仿宋" w:eastAsia="仿宋" w:cs="仿宋"/>
                <w:color w:val="000000" w:themeColor="text1"/>
                <w:spacing w:val="-1"/>
                <w:sz w:val="18"/>
                <w:szCs w:val="18"/>
              </w:rPr>
            </w:pPr>
          </w:p>
        </w:tc>
        <w:tc>
          <w:tcPr>
            <w:tcW w:w="177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tcBorders>
            <w:vAlign w:val="center"/>
          </w:tcPr>
          <w:p>
            <w:pPr>
              <w:jc w:val="center"/>
              <w:rPr>
                <w:rFonts w:ascii="Malgun Gothic"/>
                <w:color w:val="000000" w:themeColor="text1"/>
                <w:sz w:val="18"/>
                <w:szCs w:val="18"/>
              </w:rPr>
            </w:pPr>
          </w:p>
        </w:tc>
        <w:tc>
          <w:tcPr>
            <w:tcW w:w="21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tcBorders>
            <w:vAlign w:val="center"/>
          </w:tcPr>
          <w:p>
            <w:pPr>
              <w:jc w:val="center"/>
              <w:rPr>
                <w:rFonts w:ascii="Malgun Gothic"/>
                <w:color w:val="000000" w:themeColor="text1"/>
                <w:sz w:val="18"/>
                <w:szCs w:val="18"/>
              </w:rPr>
            </w:pPr>
          </w:p>
        </w:tc>
        <w:tc>
          <w:tcPr>
            <w:tcW w:w="21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tcBorders>
            <w:vAlign w:val="center"/>
          </w:tcPr>
          <w:p>
            <w:pPr>
              <w:jc w:val="center"/>
              <w:rPr>
                <w:rFonts w:ascii="Malgun Gothic"/>
                <w:color w:val="000000" w:themeColor="text1"/>
                <w:sz w:val="18"/>
                <w:szCs w:val="18"/>
              </w:rPr>
            </w:pPr>
          </w:p>
        </w:tc>
        <w:tc>
          <w:tcPr>
            <w:tcW w:w="21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550" w:type="dxa"/>
            <w:vMerge w:val="continue"/>
            <w:vAlign w:val="center"/>
          </w:tcPr>
          <w:p>
            <w:pPr>
              <w:jc w:val="center"/>
              <w:rPr>
                <w:rFonts w:ascii="Malgun Gothic"/>
                <w:color w:val="000000" w:themeColor="text1"/>
                <w:sz w:val="18"/>
                <w:szCs w:val="18"/>
              </w:rPr>
            </w:pPr>
          </w:p>
        </w:tc>
        <w:tc>
          <w:tcPr>
            <w:tcW w:w="2127" w:type="dxa"/>
            <w:vMerge w:val="continue"/>
            <w:vAlign w:val="center"/>
          </w:tcPr>
          <w:p>
            <w:pPr>
              <w:jc w:val="center"/>
              <w:rPr>
                <w:rFonts w:ascii="仿宋" w:hAnsi="仿宋" w:eastAsia="仿宋" w:cs="仿宋"/>
                <w:color w:val="000000" w:themeColor="text1"/>
                <w:spacing w:val="-1"/>
                <w:sz w:val="18"/>
                <w:szCs w:val="18"/>
              </w:rPr>
            </w:pPr>
          </w:p>
        </w:tc>
        <w:tc>
          <w:tcPr>
            <w:tcW w:w="731" w:type="dxa"/>
            <w:vMerge w:val="continue"/>
            <w:vAlign w:val="center"/>
          </w:tcPr>
          <w:p>
            <w:pPr>
              <w:jc w:val="center"/>
              <w:rPr>
                <w:rFonts w:ascii="仿宋" w:hAnsi="仿宋" w:eastAsia="仿宋" w:cs="仿宋"/>
                <w:color w:val="000000" w:themeColor="text1"/>
                <w:spacing w:val="-1"/>
                <w:sz w:val="18"/>
                <w:szCs w:val="18"/>
              </w:rPr>
            </w:pPr>
          </w:p>
        </w:tc>
        <w:tc>
          <w:tcPr>
            <w:tcW w:w="341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91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×3～5（由总百分值确定），但罚款金额不能低于</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的3倍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91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第三款 禁止将危险废物提供或者委托给无许可证的单位或者其他生产经营者从事收集、贮存、利用、处置活动。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(四)将危险废物提供或者委托给无许可证的单位或者其他生产经营者从事经营活动的；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02" w:name="_Toc20989"/>
      <w:bookmarkStart w:id="303" w:name="_Toc18344"/>
      <w:r>
        <w:rPr>
          <w:rFonts w:hint="eastAsia" w:ascii="仿宋" w:hAnsi="仿宋" w:eastAsia="仿宋" w:cs="仿宋"/>
          <w:b/>
          <w:bCs/>
          <w:color w:val="000000" w:themeColor="text1"/>
          <w:kern w:val="0"/>
          <w:sz w:val="24"/>
        </w:rPr>
        <w:t>表98未按照国家有关规定填写、运行危险废物转移联单或者未经批准擅自转移危险废物的罚款幅度裁定</w:t>
      </w:r>
      <w:bookmarkEnd w:id="302"/>
      <w:bookmarkEnd w:id="303"/>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1977"/>
        <w:gridCol w:w="679"/>
        <w:gridCol w:w="1848"/>
        <w:gridCol w:w="1323"/>
        <w:gridCol w:w="512"/>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4096"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83"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7" w:hRule="atLeast"/>
        </w:trPr>
        <w:tc>
          <w:tcPr>
            <w:tcW w:w="144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7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1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0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32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vAlign w:val="center"/>
          </w:tcPr>
          <w:p>
            <w:pPr>
              <w:jc w:val="center"/>
              <w:rPr>
                <w:rFonts w:ascii="仿宋" w:hAnsi="仿宋" w:eastAsia="仿宋" w:cs="仿宋"/>
                <w:color w:val="000000" w:themeColor="text1"/>
                <w:spacing w:val="-7"/>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vAlign w:val="center"/>
          </w:tcPr>
          <w:p>
            <w:pPr>
              <w:jc w:val="center"/>
              <w:rPr>
                <w:rFonts w:ascii="仿宋" w:hAnsi="仿宋" w:eastAsia="仿宋" w:cs="仿宋"/>
                <w:color w:val="000000" w:themeColor="text1"/>
                <w:spacing w:val="-7"/>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32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32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0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0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32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0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0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0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0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0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0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对社会影响或生态破坏程度</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0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0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0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31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0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5"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1.《中华人民共和国固体废物污染环境防治法》第八十二条 第一款 转移危险废物的，应当按照国家有关规定填写、运行危险废物电子或者纸质转移联单。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(五)未按照国家有关规定填写、运行危险废物转移联单或者未</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经批准擅自转移危险废物的；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04" w:name="_Toc30292"/>
      <w:bookmarkStart w:id="305" w:name="_Toc21138"/>
      <w:r>
        <w:rPr>
          <w:rFonts w:hint="eastAsia" w:ascii="仿宋" w:hAnsi="仿宋" w:eastAsia="仿宋" w:cs="仿宋"/>
          <w:b/>
          <w:bCs/>
          <w:color w:val="000000" w:themeColor="text1"/>
          <w:kern w:val="0"/>
          <w:sz w:val="24"/>
        </w:rPr>
        <w:t>表99未按照国家环境保护标准贮存、利用、处置危险废物或者将危险废物混入非危险废物中贮存的罚款幅度裁定</w:t>
      </w:r>
      <w:bookmarkEnd w:id="304"/>
      <w:bookmarkEnd w:id="305"/>
    </w:p>
    <w:tbl>
      <w:tblPr>
        <w:tblStyle w:val="15"/>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987"/>
        <w:gridCol w:w="682"/>
        <w:gridCol w:w="2083"/>
        <w:gridCol w:w="1103"/>
        <w:gridCol w:w="577"/>
        <w:gridCol w:w="5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411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0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144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2"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8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7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8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08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未按照国家环境保护标准贮存、利用、处置量1吨以下的或混合量1吨以下的</w:t>
            </w:r>
          </w:p>
        </w:tc>
        <w:tc>
          <w:tcPr>
            <w:tcW w:w="11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仿宋" w:hAnsi="仿宋" w:eastAsia="仿宋" w:cs="仿宋"/>
                <w:color w:val="000000" w:themeColor="text1"/>
                <w:spacing w:val="-7"/>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top w:val="single" w:color="auto" w:sz="4" w:space="0"/>
              <w:left w:val="single" w:color="auto" w:sz="4" w:space="0"/>
            </w:tcBorders>
            <w:vAlign w:val="center"/>
          </w:tcPr>
          <w:p>
            <w:pPr>
              <w:jc w:val="center"/>
              <w:rPr>
                <w:rFonts w:ascii="Malgun Gothic"/>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未按照国家环境保护标准贮存、利用、处置量1吨以上5吨以下的或混合量1吨以上5吨以下的</w:t>
            </w:r>
          </w:p>
        </w:tc>
        <w:tc>
          <w:tcPr>
            <w:tcW w:w="11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0" w:type="dxa"/>
            <w:tcBorders>
              <w:top w:val="single" w:color="auto" w:sz="4" w:space="0"/>
              <w:left w:val="single" w:color="auto" w:sz="4" w:space="0"/>
            </w:tcBorders>
            <w:vAlign w:val="center"/>
          </w:tcPr>
          <w:p>
            <w:pPr>
              <w:jc w:val="center"/>
              <w:rPr>
                <w:rFonts w:ascii="Malgun Gothic"/>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未按照国家环境保护标准贮存、利用、处置量5吨以上10吨以下的或混合量5吨以上10吨以下的</w:t>
            </w:r>
          </w:p>
        </w:tc>
        <w:tc>
          <w:tcPr>
            <w:tcW w:w="11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0" w:type="dxa"/>
            <w:tcBorders>
              <w:top w:val="single" w:color="auto" w:sz="4" w:space="0"/>
              <w:left w:val="single" w:color="auto" w:sz="4" w:space="0"/>
              <w:bottom w:val="single" w:color="auto" w:sz="4" w:space="0"/>
            </w:tcBorders>
            <w:vAlign w:val="center"/>
          </w:tcPr>
          <w:p>
            <w:pPr>
              <w:jc w:val="center"/>
              <w:rPr>
                <w:rFonts w:ascii="Malgun Gothic"/>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未按照国家环境保护标准贮存、利用、处置量10吨以上的或混合量10吨以上的</w:t>
            </w:r>
          </w:p>
        </w:tc>
        <w:tc>
          <w:tcPr>
            <w:tcW w:w="11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0" w:type="dxa"/>
            <w:tcBorders>
              <w:top w:val="single" w:color="auto" w:sz="4" w:space="0"/>
              <w:left w:val="single" w:color="auto" w:sz="4" w:space="0"/>
              <w:bottom w:val="single" w:color="auto" w:sz="4" w:space="0"/>
            </w:tcBorders>
          </w:tcPr>
          <w:p>
            <w:pPr>
              <w:rPr>
                <w:rFonts w:ascii="Malgun Gothic"/>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6"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0" w:type="dxa"/>
            <w:tcBorders>
              <w:top w:val="single" w:color="auto" w:sz="4" w:space="0"/>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2"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447" w:type="dxa"/>
            <w:vMerge w:val="restart"/>
            <w:tcBorders>
              <w:bottom w:val="nil"/>
            </w:tcBorders>
            <w:vAlign w:val="center"/>
          </w:tcPr>
          <w:p>
            <w:pPr>
              <w:ind w:left="257" w:right="241"/>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1"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第八十一条 第二款贮存危险废物应当采取符合国家环境保护标准的防护措施。禁止将危险废物混入非危险废物中贮存。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(六)未按照国家环境保护标准贮存、利用、处置危险废物或者将危险废物混入非危险废物中贮存的；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06" w:name="_Toc26391"/>
      <w:bookmarkStart w:id="307" w:name="_Toc21989"/>
      <w:r>
        <w:rPr>
          <w:rFonts w:hint="eastAsia" w:ascii="仿宋" w:hAnsi="仿宋" w:eastAsia="仿宋" w:cs="仿宋"/>
          <w:b/>
          <w:bCs/>
          <w:color w:val="000000" w:themeColor="text1"/>
          <w:kern w:val="0"/>
          <w:sz w:val="24"/>
        </w:rPr>
        <w:t>表100未经安全性处置，混合收集、贮存、运输、处置具有不相容性质的危险废物的罚款幅度裁定</w:t>
      </w:r>
      <w:bookmarkEnd w:id="306"/>
      <w:bookmarkEnd w:id="307"/>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2001"/>
        <w:gridCol w:w="687"/>
        <w:gridCol w:w="1814"/>
        <w:gridCol w:w="1395"/>
        <w:gridCol w:w="581"/>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145" w:type="dxa"/>
            <w:gridSpan w:val="3"/>
          </w:tcPr>
          <w:p>
            <w:pPr>
              <w:spacing w:before="176"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34" w:type="dxa"/>
            <w:gridSpan w:val="4"/>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2" w:hRule="atLeast"/>
        </w:trPr>
        <w:tc>
          <w:tcPr>
            <w:tcW w:w="145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0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8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混合量1吨以下的</w:t>
            </w:r>
          </w:p>
        </w:tc>
        <w:tc>
          <w:tcPr>
            <w:tcW w:w="13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混合量1吨以上5吨以下的</w:t>
            </w:r>
          </w:p>
        </w:tc>
        <w:tc>
          <w:tcPr>
            <w:tcW w:w="13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混合量5吨以上10吨以下的</w:t>
            </w:r>
          </w:p>
        </w:tc>
        <w:tc>
          <w:tcPr>
            <w:tcW w:w="13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混合量10吨以上的</w:t>
            </w:r>
          </w:p>
        </w:tc>
        <w:tc>
          <w:tcPr>
            <w:tcW w:w="13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vAlign w:val="center"/>
          </w:tcPr>
          <w:p>
            <w:pPr>
              <w:jc w:val="center"/>
              <w:rPr>
                <w:rFonts w:ascii="Malgun Gothic"/>
                <w:color w:val="000000" w:themeColor="text1"/>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4"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57" w:type="dxa"/>
            <w:vMerge w:val="continue"/>
            <w:vAlign w:val="center"/>
          </w:tcPr>
          <w:p>
            <w:pPr>
              <w:jc w:val="center"/>
              <w:rPr>
                <w:rFonts w:ascii="Malgun Gothic"/>
                <w:color w:val="000000" w:themeColor="text1"/>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32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2"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1.《中华人民共和国固体废物污染环境防治法》第八十一条第一款 收集、贮存危险废物，应当按照危险废物特性分类进行。禁止混合收集、贮存、运输、处置性质不相容而未经安全性处置的危险废物。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(七)未经安全性处置，混合收集、贮存、运输、处置具有不相容性质的危险废物的；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308" w:name="_Toc17954"/>
      <w:bookmarkStart w:id="309" w:name="_Toc31983"/>
      <w:r>
        <w:rPr>
          <w:rFonts w:hint="eastAsia" w:ascii="仿宋" w:hAnsi="仿宋" w:eastAsia="仿宋" w:cs="仿宋"/>
          <w:b/>
          <w:bCs/>
          <w:color w:val="000000" w:themeColor="text1"/>
          <w:kern w:val="0"/>
          <w:sz w:val="24"/>
        </w:rPr>
        <w:t>表101将危险废物与旅客在同一运输工具上载运的罚款幅度裁定</w:t>
      </w:r>
      <w:bookmarkEnd w:id="308"/>
      <w:bookmarkEnd w:id="309"/>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8"/>
        <w:gridCol w:w="1496"/>
        <w:gridCol w:w="1176"/>
        <w:gridCol w:w="1688"/>
        <w:gridCol w:w="1501"/>
        <w:gridCol w:w="627"/>
        <w:gridCol w:w="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4120" w:type="dxa"/>
            <w:gridSpan w:val="3"/>
          </w:tcPr>
          <w:p>
            <w:pPr>
              <w:spacing w:before="176"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59" w:type="dxa"/>
            <w:gridSpan w:val="4"/>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144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9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7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18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2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4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6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载运危险废物1公斤以下的</w:t>
            </w:r>
          </w:p>
        </w:tc>
        <w:tc>
          <w:tcPr>
            <w:tcW w:w="150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涉及5人以下</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8" w:type="dxa"/>
            <w:vMerge w:val="continue"/>
            <w:vAlign w:val="center"/>
          </w:tcPr>
          <w:p>
            <w:pPr>
              <w:jc w:val="center"/>
              <w:rPr>
                <w:rFonts w:ascii="仿宋" w:hAnsi="仿宋" w:eastAsia="仿宋" w:cs="仿宋"/>
                <w:color w:val="000000" w:themeColor="text1"/>
                <w:spacing w:val="-7"/>
                <w:sz w:val="18"/>
                <w:szCs w:val="18"/>
              </w:rPr>
            </w:pPr>
          </w:p>
        </w:tc>
        <w:tc>
          <w:tcPr>
            <w:tcW w:w="1496" w:type="dxa"/>
            <w:vMerge w:val="continue"/>
            <w:vAlign w:val="center"/>
          </w:tcPr>
          <w:p>
            <w:pPr>
              <w:jc w:val="center"/>
              <w:rPr>
                <w:rFonts w:ascii="仿宋" w:hAnsi="仿宋" w:eastAsia="仿宋" w:cs="仿宋"/>
                <w:color w:val="000000" w:themeColor="text1"/>
                <w:spacing w:val="-1"/>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16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0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涉及5人以上</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载运危险废物1公斤以上5公斤以下的</w:t>
            </w:r>
          </w:p>
        </w:tc>
        <w:tc>
          <w:tcPr>
            <w:tcW w:w="150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涉及5人以下</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0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涉及5人以上</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载运危险废物5公斤以上10公斤以下的</w:t>
            </w:r>
          </w:p>
        </w:tc>
        <w:tc>
          <w:tcPr>
            <w:tcW w:w="150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涉及5人以下</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0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涉及5人以上</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8" w:type="dxa"/>
            <w:vMerge w:val="continue"/>
            <w:tcBorders>
              <w:top w:val="nil"/>
            </w:tcBorders>
            <w:vAlign w:val="center"/>
          </w:tcPr>
          <w:p>
            <w:pPr>
              <w:jc w:val="center"/>
              <w:rPr>
                <w:rFonts w:ascii="Malgun Gothic"/>
                <w:color w:val="000000" w:themeColor="text1"/>
                <w:sz w:val="18"/>
                <w:szCs w:val="18"/>
              </w:rPr>
            </w:pPr>
          </w:p>
        </w:tc>
        <w:tc>
          <w:tcPr>
            <w:tcW w:w="14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载运危险废物10公斤以上的</w:t>
            </w:r>
          </w:p>
        </w:tc>
        <w:tc>
          <w:tcPr>
            <w:tcW w:w="150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涉及5人以下</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8" w:type="dxa"/>
            <w:vMerge w:val="continue"/>
            <w:vAlign w:val="center"/>
          </w:tcPr>
          <w:p>
            <w:pPr>
              <w:jc w:val="center"/>
              <w:rPr>
                <w:rFonts w:ascii="Malgun Gothic"/>
                <w:color w:val="000000" w:themeColor="text1"/>
                <w:sz w:val="18"/>
                <w:szCs w:val="18"/>
              </w:rPr>
            </w:pPr>
          </w:p>
        </w:tc>
        <w:tc>
          <w:tcPr>
            <w:tcW w:w="1496" w:type="dxa"/>
            <w:vMerge w:val="continue"/>
            <w:vAlign w:val="center"/>
          </w:tcPr>
          <w:p>
            <w:pPr>
              <w:jc w:val="center"/>
              <w:rPr>
                <w:rFonts w:ascii="仿宋" w:hAnsi="仿宋" w:eastAsia="仿宋" w:cs="仿宋"/>
                <w:color w:val="000000" w:themeColor="text1"/>
                <w:spacing w:val="-1"/>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16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0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涉及5人以上</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tcBorders>
            <w:vAlign w:val="center"/>
          </w:tcPr>
          <w:p>
            <w:pPr>
              <w:jc w:val="center"/>
              <w:rPr>
                <w:rFonts w:ascii="Malgun Gothic"/>
                <w:color w:val="000000" w:themeColor="text1"/>
                <w:sz w:val="18"/>
                <w:szCs w:val="18"/>
              </w:rPr>
            </w:pPr>
          </w:p>
        </w:tc>
        <w:tc>
          <w:tcPr>
            <w:tcW w:w="14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tcBorders>
            <w:vAlign w:val="center"/>
          </w:tcPr>
          <w:p>
            <w:pPr>
              <w:jc w:val="center"/>
              <w:rPr>
                <w:rFonts w:ascii="Malgun Gothic"/>
                <w:color w:val="000000" w:themeColor="text1"/>
                <w:sz w:val="18"/>
                <w:szCs w:val="18"/>
              </w:rPr>
            </w:pPr>
          </w:p>
        </w:tc>
        <w:tc>
          <w:tcPr>
            <w:tcW w:w="14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tcBorders>
            <w:vAlign w:val="center"/>
          </w:tcPr>
          <w:p>
            <w:pPr>
              <w:jc w:val="center"/>
              <w:rPr>
                <w:rFonts w:ascii="Malgun Gothic"/>
                <w:color w:val="000000" w:themeColor="text1"/>
                <w:sz w:val="18"/>
                <w:szCs w:val="18"/>
              </w:rPr>
            </w:pPr>
          </w:p>
        </w:tc>
        <w:tc>
          <w:tcPr>
            <w:tcW w:w="14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8" w:type="dxa"/>
            <w:vMerge w:val="continue"/>
            <w:vAlign w:val="center"/>
          </w:tcPr>
          <w:p>
            <w:pPr>
              <w:jc w:val="center"/>
              <w:rPr>
                <w:rFonts w:ascii="Malgun Gothic"/>
                <w:color w:val="000000" w:themeColor="text1"/>
                <w:sz w:val="18"/>
                <w:szCs w:val="18"/>
              </w:rPr>
            </w:pPr>
          </w:p>
        </w:tc>
        <w:tc>
          <w:tcPr>
            <w:tcW w:w="1496" w:type="dxa"/>
            <w:vMerge w:val="continue"/>
            <w:vAlign w:val="center"/>
          </w:tcPr>
          <w:p>
            <w:pPr>
              <w:jc w:val="center"/>
              <w:rPr>
                <w:rFonts w:ascii="仿宋" w:hAnsi="仿宋" w:eastAsia="仿宋" w:cs="仿宋"/>
                <w:color w:val="000000" w:themeColor="text1"/>
                <w:spacing w:val="-1"/>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31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6"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6"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1.《中华人民共和国固体废物污染环境防治法》第八十三条 第二款 禁止将危险废物与旅客在同一运输工具上载运。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(八)将危险废物与旅客在同一运输工具上载运的；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310" w:name="_Toc10161"/>
      <w:bookmarkStart w:id="311" w:name="_Toc10876"/>
      <w:r>
        <w:rPr>
          <w:rFonts w:hint="eastAsia" w:ascii="仿宋" w:hAnsi="仿宋" w:eastAsia="仿宋" w:cs="仿宋"/>
          <w:b/>
          <w:bCs/>
          <w:color w:val="000000" w:themeColor="text1"/>
          <w:kern w:val="0"/>
          <w:sz w:val="24"/>
        </w:rPr>
        <w:t>表102未经消除污染处理，将收集、贮存、运输、处置危险废物的场所、设施、设备和容器、包装物及其他物品转作他用的罚款幅度裁定</w:t>
      </w:r>
      <w:bookmarkEnd w:id="310"/>
      <w:bookmarkEnd w:id="311"/>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985"/>
        <w:gridCol w:w="681"/>
        <w:gridCol w:w="1512"/>
        <w:gridCol w:w="1831"/>
        <w:gridCol w:w="591"/>
        <w:gridCol w:w="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1" w:hRule="atLeast"/>
        </w:trPr>
        <w:tc>
          <w:tcPr>
            <w:tcW w:w="411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6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2" w:hRule="atLeast"/>
        </w:trPr>
        <w:tc>
          <w:tcPr>
            <w:tcW w:w="144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4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9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将收集、贮存、运输、处置危险废物的容器、包装物及其他物品转作他用的</w:t>
            </w:r>
          </w:p>
        </w:tc>
        <w:tc>
          <w:tcPr>
            <w:tcW w:w="18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立方米以内</w:t>
            </w:r>
          </w:p>
        </w:tc>
        <w:tc>
          <w:tcPr>
            <w:tcW w:w="59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vAlign w:val="center"/>
          </w:tcPr>
          <w:p>
            <w:pPr>
              <w:jc w:val="center"/>
              <w:rPr>
                <w:rFonts w:ascii="仿宋" w:hAnsi="仿宋" w:eastAsia="仿宋" w:cs="仿宋"/>
                <w:color w:val="000000" w:themeColor="text1"/>
                <w:spacing w:val="-7"/>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立方米以上 50 立 方米以下</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vAlign w:val="center"/>
          </w:tcPr>
          <w:p>
            <w:pPr>
              <w:jc w:val="center"/>
              <w:rPr>
                <w:rFonts w:ascii="仿宋" w:hAnsi="仿宋" w:eastAsia="仿宋" w:cs="仿宋"/>
                <w:color w:val="000000" w:themeColor="text1"/>
                <w:spacing w:val="-7"/>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容量50 立方米以上</w:t>
            </w:r>
          </w:p>
        </w:tc>
        <w:tc>
          <w:tcPr>
            <w:tcW w:w="59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将收集、贮存、运输、处置危险废物的设施、设备转作他用的</w:t>
            </w:r>
          </w:p>
        </w:tc>
        <w:tc>
          <w:tcPr>
            <w:tcW w:w="18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立方米以内</w:t>
            </w:r>
          </w:p>
        </w:tc>
        <w:tc>
          <w:tcPr>
            <w:tcW w:w="59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立方米以上 50 立 方米以下</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容量50 立方米以上</w:t>
            </w:r>
          </w:p>
        </w:tc>
        <w:tc>
          <w:tcPr>
            <w:tcW w:w="59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tcBorders>
            <w:vAlign w:val="center"/>
          </w:tcPr>
          <w:p>
            <w:pPr>
              <w:jc w:val="center"/>
              <w:rPr>
                <w:rFonts w:ascii="Malgun Gothic"/>
                <w:color w:val="000000" w:themeColor="text1"/>
                <w:sz w:val="18"/>
                <w:szCs w:val="18"/>
              </w:rPr>
            </w:pPr>
          </w:p>
        </w:tc>
        <w:tc>
          <w:tcPr>
            <w:tcW w:w="19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将收集、贮存、运输、处置危险废物的场所转作他用的</w:t>
            </w:r>
          </w:p>
        </w:tc>
        <w:tc>
          <w:tcPr>
            <w:tcW w:w="18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立方米以内</w:t>
            </w:r>
          </w:p>
        </w:tc>
        <w:tc>
          <w:tcPr>
            <w:tcW w:w="59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vAlign w:val="center"/>
          </w:tcPr>
          <w:p>
            <w:pPr>
              <w:jc w:val="center"/>
              <w:rPr>
                <w:rFonts w:ascii="Malgun Gothic"/>
                <w:color w:val="000000" w:themeColor="text1"/>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立方米以上 50 立 方米以下</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vAlign w:val="center"/>
          </w:tcPr>
          <w:p>
            <w:pPr>
              <w:jc w:val="center"/>
              <w:rPr>
                <w:rFonts w:ascii="Malgun Gothic"/>
                <w:color w:val="000000" w:themeColor="text1"/>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容量50 立方米以上</w:t>
            </w:r>
          </w:p>
        </w:tc>
        <w:tc>
          <w:tcPr>
            <w:tcW w:w="59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3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tcBorders>
            <w:vAlign w:val="center"/>
          </w:tcPr>
          <w:p>
            <w:pPr>
              <w:jc w:val="center"/>
              <w:rPr>
                <w:rFonts w:ascii="Malgun Gothic"/>
                <w:color w:val="000000" w:themeColor="text1"/>
                <w:sz w:val="18"/>
                <w:szCs w:val="18"/>
              </w:rPr>
            </w:pPr>
          </w:p>
        </w:tc>
        <w:tc>
          <w:tcPr>
            <w:tcW w:w="19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tcBorders>
            <w:vAlign w:val="center"/>
          </w:tcPr>
          <w:p>
            <w:pPr>
              <w:jc w:val="center"/>
              <w:rPr>
                <w:rFonts w:ascii="Malgun Gothic"/>
                <w:color w:val="000000" w:themeColor="text1"/>
                <w:sz w:val="18"/>
                <w:szCs w:val="18"/>
              </w:rPr>
            </w:pPr>
          </w:p>
        </w:tc>
        <w:tc>
          <w:tcPr>
            <w:tcW w:w="19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tcBorders>
              <w:top w:val="nil"/>
            </w:tcBorders>
            <w:vAlign w:val="center"/>
          </w:tcPr>
          <w:p>
            <w:pPr>
              <w:jc w:val="center"/>
              <w:rPr>
                <w:rFonts w:ascii="Malgun Gothic"/>
                <w:color w:val="000000" w:themeColor="text1"/>
                <w:sz w:val="18"/>
                <w:szCs w:val="18"/>
              </w:rPr>
            </w:pPr>
          </w:p>
        </w:tc>
        <w:tc>
          <w:tcPr>
            <w:tcW w:w="19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8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vAlign w:val="center"/>
          </w:tcPr>
          <w:p>
            <w:pPr>
              <w:jc w:val="center"/>
              <w:rPr>
                <w:rFonts w:ascii="仿宋" w:hAnsi="仿宋" w:eastAsia="仿宋" w:cs="仿宋"/>
                <w:color w:val="000000" w:themeColor="text1"/>
                <w:spacing w:val="-2"/>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33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vAlign w:val="center"/>
          </w:tcPr>
          <w:p>
            <w:pPr>
              <w:jc w:val="center"/>
              <w:rPr>
                <w:rFonts w:ascii="仿宋" w:hAnsi="仿宋" w:eastAsia="仿宋" w:cs="仿宋"/>
                <w:color w:val="000000" w:themeColor="text1"/>
                <w:spacing w:val="-2"/>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33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vAlign w:val="center"/>
          </w:tcPr>
          <w:p>
            <w:pPr>
              <w:jc w:val="center"/>
              <w:rPr>
                <w:rFonts w:ascii="仿宋" w:hAnsi="仿宋" w:eastAsia="仿宋" w:cs="仿宋"/>
                <w:color w:val="000000" w:themeColor="text1"/>
                <w:spacing w:val="-2"/>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33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6" w:type="dxa"/>
            <w:vMerge w:val="continue"/>
            <w:vAlign w:val="center"/>
          </w:tcPr>
          <w:p>
            <w:pPr>
              <w:jc w:val="center"/>
              <w:rPr>
                <w:rFonts w:ascii="仿宋" w:hAnsi="仿宋" w:eastAsia="仿宋" w:cs="仿宋"/>
                <w:color w:val="000000" w:themeColor="text1"/>
                <w:spacing w:val="-2"/>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33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1.《中华人民共和国固体废物污染环境防治法》第八十四条 收集、贮存、运输、利用、处置危险废物的场所、设施、设备和容器、包装物及其他物品转作他用时，应当按照国家有关规定经过消除污染处理，方可使用。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(九)未经消除污染处理，将收集、贮存、运输、处置危险废物的场所、设施、设备和容器、包装物及其他物品转作他用的；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12" w:name="_Toc13433"/>
      <w:bookmarkStart w:id="313" w:name="_Toc13100"/>
      <w:r>
        <w:rPr>
          <w:rFonts w:hint="eastAsia" w:ascii="仿宋" w:hAnsi="仿宋" w:eastAsia="仿宋" w:cs="仿宋"/>
          <w:b/>
          <w:bCs/>
          <w:color w:val="000000" w:themeColor="text1"/>
          <w:kern w:val="0"/>
          <w:sz w:val="24"/>
        </w:rPr>
        <w:t>表103未采取相应防范措施，造成危险废物扬散、流失、渗漏或者</w:t>
      </w:r>
      <w:bookmarkEnd w:id="312"/>
      <w:bookmarkEnd w:id="313"/>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其他环境污染的罚款幅度裁定</w:t>
      </w:r>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952"/>
        <w:gridCol w:w="671"/>
        <w:gridCol w:w="1546"/>
        <w:gridCol w:w="1585"/>
        <w:gridCol w:w="616"/>
        <w:gridCol w:w="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4045"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94"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9" w:hRule="atLeast"/>
        </w:trPr>
        <w:tc>
          <w:tcPr>
            <w:tcW w:w="142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3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4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5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2" w:type="dxa"/>
            <w:vMerge w:val="continue"/>
            <w:vAlign w:val="center"/>
          </w:tcPr>
          <w:p>
            <w:pPr>
              <w:jc w:val="center"/>
              <w:rPr>
                <w:rFonts w:ascii="仿宋" w:hAnsi="仿宋" w:eastAsia="仿宋" w:cs="仿宋"/>
                <w:color w:val="000000" w:themeColor="text1"/>
                <w:spacing w:val="-7"/>
                <w:sz w:val="18"/>
                <w:szCs w:val="18"/>
              </w:rPr>
            </w:pPr>
          </w:p>
        </w:tc>
        <w:tc>
          <w:tcPr>
            <w:tcW w:w="1952" w:type="dxa"/>
            <w:vMerge w:val="continue"/>
            <w:vAlign w:val="center"/>
          </w:tcPr>
          <w:p>
            <w:pPr>
              <w:jc w:val="center"/>
              <w:rPr>
                <w:rFonts w:ascii="仿宋" w:hAnsi="仿宋" w:eastAsia="仿宋" w:cs="仿宋"/>
                <w:color w:val="000000" w:themeColor="text1"/>
                <w:spacing w:val="-1"/>
                <w:sz w:val="18"/>
                <w:szCs w:val="18"/>
              </w:rPr>
            </w:pPr>
          </w:p>
        </w:tc>
        <w:tc>
          <w:tcPr>
            <w:tcW w:w="671" w:type="dxa"/>
            <w:vMerge w:val="continue"/>
            <w:vAlign w:val="center"/>
          </w:tcPr>
          <w:p>
            <w:pPr>
              <w:jc w:val="center"/>
              <w:rPr>
                <w:rFonts w:ascii="仿宋" w:hAnsi="仿宋" w:eastAsia="仿宋" w:cs="仿宋"/>
                <w:color w:val="000000" w:themeColor="text1"/>
                <w:spacing w:val="-1"/>
                <w:sz w:val="18"/>
                <w:szCs w:val="18"/>
              </w:rPr>
            </w:pPr>
          </w:p>
        </w:tc>
        <w:tc>
          <w:tcPr>
            <w:tcW w:w="15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2" w:type="dxa"/>
            <w:vMerge w:val="continue"/>
            <w:tcBorders>
              <w:top w:val="nil"/>
            </w:tcBorders>
            <w:vAlign w:val="center"/>
          </w:tcPr>
          <w:p>
            <w:pPr>
              <w:jc w:val="center"/>
              <w:rPr>
                <w:rFonts w:ascii="Malgun Gothic"/>
                <w:color w:val="000000" w:themeColor="text1"/>
                <w:sz w:val="18"/>
                <w:szCs w:val="18"/>
              </w:rPr>
            </w:pPr>
          </w:p>
        </w:tc>
        <w:tc>
          <w:tcPr>
            <w:tcW w:w="195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2" w:type="dxa"/>
            <w:vMerge w:val="continue"/>
            <w:vAlign w:val="center"/>
          </w:tcPr>
          <w:p>
            <w:pPr>
              <w:jc w:val="center"/>
              <w:rPr>
                <w:rFonts w:ascii="Malgun Gothic"/>
                <w:color w:val="000000" w:themeColor="text1"/>
                <w:sz w:val="18"/>
                <w:szCs w:val="18"/>
              </w:rPr>
            </w:pPr>
          </w:p>
        </w:tc>
        <w:tc>
          <w:tcPr>
            <w:tcW w:w="1952" w:type="dxa"/>
            <w:vMerge w:val="continue"/>
            <w:vAlign w:val="center"/>
          </w:tcPr>
          <w:p>
            <w:pPr>
              <w:jc w:val="center"/>
              <w:rPr>
                <w:rFonts w:ascii="仿宋" w:hAnsi="仿宋" w:eastAsia="仿宋" w:cs="仿宋"/>
                <w:color w:val="000000" w:themeColor="text1"/>
                <w:spacing w:val="-1"/>
                <w:sz w:val="18"/>
                <w:szCs w:val="18"/>
              </w:rPr>
            </w:pPr>
          </w:p>
        </w:tc>
        <w:tc>
          <w:tcPr>
            <w:tcW w:w="671" w:type="dxa"/>
            <w:vMerge w:val="continue"/>
            <w:vAlign w:val="center"/>
          </w:tcPr>
          <w:p>
            <w:pPr>
              <w:jc w:val="center"/>
              <w:rPr>
                <w:rFonts w:ascii="仿宋" w:hAnsi="仿宋" w:eastAsia="仿宋" w:cs="仿宋"/>
                <w:color w:val="000000" w:themeColor="text1"/>
                <w:spacing w:val="-1"/>
                <w:sz w:val="18"/>
                <w:szCs w:val="18"/>
              </w:rPr>
            </w:pPr>
          </w:p>
        </w:tc>
        <w:tc>
          <w:tcPr>
            <w:tcW w:w="15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5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nil"/>
            </w:tcBorders>
            <w:vAlign w:val="center"/>
          </w:tcPr>
          <w:p>
            <w:pPr>
              <w:jc w:val="center"/>
              <w:rPr>
                <w:rFonts w:ascii="Malgun Gothic"/>
                <w:color w:val="000000" w:themeColor="text1"/>
                <w:sz w:val="18"/>
                <w:szCs w:val="18"/>
              </w:rPr>
            </w:pPr>
          </w:p>
        </w:tc>
        <w:tc>
          <w:tcPr>
            <w:tcW w:w="195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5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nil"/>
            </w:tcBorders>
            <w:vAlign w:val="center"/>
          </w:tcPr>
          <w:p>
            <w:pPr>
              <w:jc w:val="center"/>
              <w:rPr>
                <w:rFonts w:ascii="Malgun Gothic"/>
                <w:color w:val="000000" w:themeColor="text1"/>
                <w:sz w:val="18"/>
                <w:szCs w:val="18"/>
              </w:rPr>
            </w:pPr>
          </w:p>
        </w:tc>
        <w:tc>
          <w:tcPr>
            <w:tcW w:w="195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952"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1"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31"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16"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7"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52"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16"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52"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31"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16"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7"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52"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16"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7"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52"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52"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22" w:type="dxa"/>
            <w:vMerge w:val="continue"/>
            <w:vAlign w:val="center"/>
          </w:tcPr>
          <w:p>
            <w:pPr>
              <w:jc w:val="center"/>
              <w:rPr>
                <w:rFonts w:ascii="Malgun Gothic"/>
                <w:color w:val="000000" w:themeColor="text1"/>
                <w:sz w:val="18"/>
                <w:szCs w:val="18"/>
              </w:rPr>
            </w:pPr>
          </w:p>
        </w:tc>
        <w:tc>
          <w:tcPr>
            <w:tcW w:w="1952" w:type="dxa"/>
            <w:vMerge w:val="continue"/>
            <w:vAlign w:val="center"/>
          </w:tcPr>
          <w:p>
            <w:pPr>
              <w:jc w:val="center"/>
              <w:rPr>
                <w:rFonts w:ascii="仿宋" w:hAnsi="仿宋" w:eastAsia="仿宋" w:cs="仿宋"/>
                <w:color w:val="000000" w:themeColor="text1"/>
                <w:spacing w:val="-1"/>
                <w:sz w:val="18"/>
                <w:szCs w:val="18"/>
              </w:rPr>
            </w:pPr>
          </w:p>
        </w:tc>
        <w:tc>
          <w:tcPr>
            <w:tcW w:w="671" w:type="dxa"/>
            <w:vMerge w:val="continue"/>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公式：罚款金额＝所需处置费用×3～5（由总百分值确定），但罚款金额不能低于所需处置费用的3倍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(十)未采取相应防范措施，造成危险废物扬散、流失、渗漏或者其他环境污染的；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314" w:name="_Toc12585"/>
      <w:bookmarkStart w:id="315" w:name="_Toc14610"/>
      <w:r>
        <w:rPr>
          <w:rFonts w:hint="eastAsia" w:ascii="仿宋" w:hAnsi="仿宋" w:eastAsia="仿宋" w:cs="仿宋"/>
          <w:b/>
          <w:bCs/>
          <w:color w:val="000000" w:themeColor="text1"/>
          <w:kern w:val="0"/>
          <w:sz w:val="24"/>
        </w:rPr>
        <w:t>表104在运输过程中沿途丢弃、遗撒危险废物的罚款幅度裁定</w:t>
      </w:r>
      <w:bookmarkEnd w:id="314"/>
      <w:bookmarkEnd w:id="315"/>
    </w:p>
    <w:tbl>
      <w:tblPr>
        <w:tblStyle w:val="15"/>
        <w:tblW w:w="8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944"/>
        <w:gridCol w:w="668"/>
        <w:gridCol w:w="1554"/>
        <w:gridCol w:w="1564"/>
        <w:gridCol w:w="551"/>
        <w:gridCol w:w="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6" w:hRule="atLeast"/>
        </w:trPr>
        <w:tc>
          <w:tcPr>
            <w:tcW w:w="4028"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1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trPr>
        <w:tc>
          <w:tcPr>
            <w:tcW w:w="141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4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8"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1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5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4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6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5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5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6" w:type="dxa"/>
            <w:vMerge w:val="continue"/>
            <w:vAlign w:val="center"/>
          </w:tcPr>
          <w:p>
            <w:pPr>
              <w:jc w:val="center"/>
              <w:rPr>
                <w:rFonts w:ascii="仿宋" w:hAnsi="仿宋" w:eastAsia="仿宋" w:cs="仿宋"/>
                <w:color w:val="000000" w:themeColor="text1"/>
                <w:spacing w:val="-7"/>
                <w:sz w:val="18"/>
                <w:szCs w:val="18"/>
              </w:rPr>
            </w:pPr>
          </w:p>
        </w:tc>
        <w:tc>
          <w:tcPr>
            <w:tcW w:w="1944" w:type="dxa"/>
            <w:vMerge w:val="continue"/>
            <w:vAlign w:val="center"/>
          </w:tcPr>
          <w:p>
            <w:pPr>
              <w:jc w:val="center"/>
              <w:rPr>
                <w:rFonts w:ascii="仿宋" w:hAnsi="仿宋" w:eastAsia="仿宋" w:cs="仿宋"/>
                <w:color w:val="000000" w:themeColor="text1"/>
                <w:spacing w:val="-1"/>
                <w:sz w:val="18"/>
                <w:szCs w:val="18"/>
              </w:rPr>
            </w:pPr>
          </w:p>
        </w:tc>
        <w:tc>
          <w:tcPr>
            <w:tcW w:w="668" w:type="dxa"/>
            <w:vMerge w:val="continue"/>
            <w:vAlign w:val="center"/>
          </w:tcPr>
          <w:p>
            <w:pPr>
              <w:jc w:val="center"/>
              <w:rPr>
                <w:rFonts w:ascii="仿宋" w:hAnsi="仿宋" w:eastAsia="仿宋" w:cs="仿宋"/>
                <w:color w:val="000000" w:themeColor="text1"/>
                <w:spacing w:val="-1"/>
                <w:sz w:val="18"/>
                <w:szCs w:val="18"/>
              </w:rPr>
            </w:pPr>
          </w:p>
        </w:tc>
        <w:tc>
          <w:tcPr>
            <w:tcW w:w="15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5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5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5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5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5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5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5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nil"/>
            </w:tcBorders>
            <w:vAlign w:val="center"/>
          </w:tcPr>
          <w:p>
            <w:pPr>
              <w:jc w:val="center"/>
              <w:rPr>
                <w:rFonts w:ascii="Malgun Gothic"/>
                <w:color w:val="000000" w:themeColor="text1"/>
                <w:sz w:val="18"/>
                <w:szCs w:val="18"/>
              </w:rPr>
            </w:pPr>
          </w:p>
        </w:tc>
        <w:tc>
          <w:tcPr>
            <w:tcW w:w="194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5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5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6" w:type="dxa"/>
            <w:vMerge w:val="continue"/>
            <w:vAlign w:val="center"/>
          </w:tcPr>
          <w:p>
            <w:pPr>
              <w:jc w:val="center"/>
              <w:rPr>
                <w:rFonts w:ascii="Malgun Gothic"/>
                <w:color w:val="000000" w:themeColor="text1"/>
                <w:sz w:val="18"/>
                <w:szCs w:val="18"/>
              </w:rPr>
            </w:pPr>
          </w:p>
        </w:tc>
        <w:tc>
          <w:tcPr>
            <w:tcW w:w="1944" w:type="dxa"/>
            <w:vMerge w:val="continue"/>
            <w:vAlign w:val="center"/>
          </w:tcPr>
          <w:p>
            <w:pPr>
              <w:jc w:val="center"/>
              <w:rPr>
                <w:rFonts w:ascii="仿宋" w:hAnsi="仿宋" w:eastAsia="仿宋" w:cs="仿宋"/>
                <w:color w:val="000000" w:themeColor="text1"/>
                <w:spacing w:val="-1"/>
                <w:sz w:val="18"/>
                <w:szCs w:val="18"/>
              </w:rPr>
            </w:pPr>
          </w:p>
        </w:tc>
        <w:tc>
          <w:tcPr>
            <w:tcW w:w="668" w:type="dxa"/>
            <w:vMerge w:val="continue"/>
            <w:vAlign w:val="center"/>
          </w:tcPr>
          <w:p>
            <w:pPr>
              <w:jc w:val="center"/>
              <w:rPr>
                <w:rFonts w:ascii="仿宋" w:hAnsi="仿宋" w:eastAsia="仿宋" w:cs="仿宋"/>
                <w:color w:val="000000" w:themeColor="text1"/>
                <w:spacing w:val="-1"/>
                <w:sz w:val="18"/>
                <w:szCs w:val="18"/>
              </w:rPr>
            </w:pPr>
          </w:p>
        </w:tc>
        <w:tc>
          <w:tcPr>
            <w:tcW w:w="15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5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4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nil"/>
            </w:tcBorders>
            <w:vAlign w:val="center"/>
          </w:tcPr>
          <w:p>
            <w:pPr>
              <w:jc w:val="center"/>
              <w:rPr>
                <w:rFonts w:ascii="Malgun Gothic"/>
                <w:color w:val="000000" w:themeColor="text1"/>
                <w:sz w:val="18"/>
                <w:szCs w:val="18"/>
              </w:rPr>
            </w:pPr>
          </w:p>
        </w:tc>
        <w:tc>
          <w:tcPr>
            <w:tcW w:w="194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4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nil"/>
            </w:tcBorders>
            <w:vAlign w:val="center"/>
          </w:tcPr>
          <w:p>
            <w:pPr>
              <w:jc w:val="center"/>
              <w:rPr>
                <w:rFonts w:ascii="Malgun Gothic"/>
                <w:color w:val="000000" w:themeColor="text1"/>
                <w:sz w:val="18"/>
                <w:szCs w:val="18"/>
              </w:rPr>
            </w:pPr>
          </w:p>
        </w:tc>
        <w:tc>
          <w:tcPr>
            <w:tcW w:w="194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44"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6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8"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1"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41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44"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1"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14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44"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1"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141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44"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1"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41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44"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141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44"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416" w:type="dxa"/>
            <w:vMerge w:val="continue"/>
            <w:vAlign w:val="center"/>
          </w:tcPr>
          <w:p>
            <w:pPr>
              <w:jc w:val="center"/>
              <w:rPr>
                <w:rFonts w:ascii="Malgun Gothic"/>
                <w:color w:val="000000" w:themeColor="text1"/>
                <w:sz w:val="18"/>
                <w:szCs w:val="18"/>
              </w:rPr>
            </w:pPr>
          </w:p>
        </w:tc>
        <w:tc>
          <w:tcPr>
            <w:tcW w:w="1944" w:type="dxa"/>
            <w:vMerge w:val="continue"/>
            <w:vAlign w:val="center"/>
          </w:tcPr>
          <w:p>
            <w:pPr>
              <w:jc w:val="center"/>
              <w:rPr>
                <w:rFonts w:ascii="仿宋" w:hAnsi="仿宋" w:eastAsia="仿宋" w:cs="仿宋"/>
                <w:color w:val="000000" w:themeColor="text1"/>
                <w:spacing w:val="-1"/>
                <w:sz w:val="18"/>
                <w:szCs w:val="18"/>
              </w:rPr>
            </w:pPr>
          </w:p>
        </w:tc>
        <w:tc>
          <w:tcPr>
            <w:tcW w:w="668" w:type="dxa"/>
            <w:vMerge w:val="continue"/>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2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×3～5（由总百分值确定），但罚款金额不能低于</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的3倍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2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(十一)在运输过程中沿途丢弃、遗撒危险废物的；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16" w:name="_Toc24408"/>
      <w:bookmarkStart w:id="317" w:name="_Toc17394"/>
      <w:r>
        <w:rPr>
          <w:rFonts w:hint="eastAsia" w:ascii="仿宋" w:hAnsi="仿宋" w:eastAsia="仿宋" w:cs="仿宋"/>
          <w:b/>
          <w:bCs/>
          <w:color w:val="000000" w:themeColor="text1"/>
          <w:kern w:val="0"/>
          <w:sz w:val="24"/>
        </w:rPr>
        <w:t>表105未制定危险废物意外事故防范措施或应急预案的罚款幅度裁定</w:t>
      </w:r>
      <w:bookmarkEnd w:id="316"/>
      <w:bookmarkEnd w:id="317"/>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2033"/>
        <w:gridCol w:w="700"/>
        <w:gridCol w:w="1925"/>
        <w:gridCol w:w="1336"/>
        <w:gridCol w:w="577"/>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3" w:hRule="atLeast"/>
        </w:trPr>
        <w:tc>
          <w:tcPr>
            <w:tcW w:w="4214"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5"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148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3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0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6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7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81"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3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3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19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3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3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203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3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81" w:type="dxa"/>
            <w:vMerge w:val="continue"/>
            <w:vAlign w:val="center"/>
          </w:tcPr>
          <w:p>
            <w:pPr>
              <w:jc w:val="center"/>
              <w:rPr>
                <w:rFonts w:ascii="Malgun Gothic"/>
                <w:color w:val="000000" w:themeColor="text1"/>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19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3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203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3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203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33"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00"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1"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77"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203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77"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03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0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1"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77"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77"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top w:val="single" w:color="auto" w:sz="4" w:space="0"/>
              <w:left w:val="single" w:color="auto" w:sz="4" w:space="0"/>
              <w:bottom w:val="single" w:color="000000" w:sz="2"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203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77"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8619" w:type="dxa"/>
            <w:gridSpan w:val="7"/>
            <w:tcBorders>
              <w:top w:val="single" w:color="000000" w:sz="2" w:space="0"/>
              <w:bottom w:val="single" w:color="000000" w:sz="2"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6" w:hRule="atLeast"/>
        </w:trPr>
        <w:tc>
          <w:tcPr>
            <w:tcW w:w="8619" w:type="dxa"/>
            <w:gridSpan w:val="7"/>
            <w:tcBorders>
              <w:top w:val="single" w:color="000000" w:sz="2"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(十二)未制定危险废物意外事故防范措施和应急预案的；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18" w:name="_Toc12388"/>
      <w:bookmarkStart w:id="319" w:name="_Toc6217"/>
      <w:r>
        <w:rPr>
          <w:rFonts w:hint="eastAsia" w:ascii="仿宋" w:hAnsi="仿宋" w:eastAsia="仿宋" w:cs="仿宋"/>
          <w:b/>
          <w:bCs/>
          <w:color w:val="000000" w:themeColor="text1"/>
          <w:kern w:val="0"/>
          <w:sz w:val="24"/>
        </w:rPr>
        <w:t>表106未按照国家有关规定建立危险废物管理台账并如实记录的罚款幅度裁定</w:t>
      </w:r>
      <w:bookmarkEnd w:id="318"/>
      <w:bookmarkEnd w:id="319"/>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982"/>
        <w:gridCol w:w="680"/>
        <w:gridCol w:w="1538"/>
        <w:gridCol w:w="1641"/>
        <w:gridCol w:w="563"/>
        <w:gridCol w:w="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 w:hRule="atLeast"/>
        </w:trPr>
        <w:tc>
          <w:tcPr>
            <w:tcW w:w="4106" w:type="dxa"/>
            <w:gridSpan w:val="3"/>
          </w:tcPr>
          <w:p>
            <w:pPr>
              <w:spacing w:before="176"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93" w:type="dxa"/>
            <w:gridSpan w:val="4"/>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9" w:hRule="atLeast"/>
        </w:trPr>
        <w:tc>
          <w:tcPr>
            <w:tcW w:w="144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2"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8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比例</w:t>
            </w:r>
          </w:p>
        </w:tc>
        <w:tc>
          <w:tcPr>
            <w:tcW w:w="3179" w:type="dxa"/>
            <w:gridSpan w:val="2"/>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程度</w:t>
            </w:r>
          </w:p>
        </w:tc>
        <w:tc>
          <w:tcPr>
            <w:tcW w:w="563" w:type="dxa"/>
            <w:tcBorders>
              <w:right w:val="single" w:color="auto" w:sz="4" w:space="0"/>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百分值</w:t>
            </w:r>
          </w:p>
        </w:tc>
        <w:tc>
          <w:tcPr>
            <w:tcW w:w="551" w:type="dxa"/>
            <w:tcBorders>
              <w:lef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3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台账更新不及时的</w:t>
            </w:r>
          </w:p>
        </w:tc>
        <w:tc>
          <w:tcPr>
            <w:tcW w:w="164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涉及5吨以下</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53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4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涉及5吨以上</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台账弄虚作假的</w:t>
            </w:r>
          </w:p>
        </w:tc>
        <w:tc>
          <w:tcPr>
            <w:tcW w:w="164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涉及5吨以下</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4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涉及5吨以上</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未建立台账的</w:t>
            </w:r>
          </w:p>
        </w:tc>
        <w:tc>
          <w:tcPr>
            <w:tcW w:w="164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涉及5吨以下</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5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53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4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涉及5吨以上</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5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1"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317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317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3179"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1"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82"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1"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839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839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1.《中华人民共和国固体废物污染环境防治法》第七十八条 第一款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未按照国家有关规定建立危险废物管理台账并如实记录的。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320" w:name="_Toc7246"/>
      <w:bookmarkStart w:id="321" w:name="_Toc14346"/>
      <w:r>
        <w:rPr>
          <w:rFonts w:hint="eastAsia" w:ascii="仿宋" w:hAnsi="仿宋" w:eastAsia="仿宋" w:cs="仿宋"/>
          <w:b/>
          <w:bCs/>
          <w:color w:val="000000" w:themeColor="text1"/>
          <w:kern w:val="0"/>
          <w:sz w:val="24"/>
        </w:rPr>
        <w:t>表107危险废物产生者未按照规定处置其产生的危险废物被责令改正后拒不改正的罚款幅度裁定</w:t>
      </w:r>
      <w:bookmarkEnd w:id="320"/>
      <w:bookmarkEnd w:id="321"/>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1943"/>
        <w:gridCol w:w="669"/>
        <w:gridCol w:w="1737"/>
        <w:gridCol w:w="1379"/>
        <w:gridCol w:w="637"/>
        <w:gridCol w:w="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4027"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72"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3" w:hRule="atLeast"/>
        </w:trPr>
        <w:tc>
          <w:tcPr>
            <w:tcW w:w="141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43"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6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比例</w:t>
            </w:r>
          </w:p>
        </w:tc>
        <w:tc>
          <w:tcPr>
            <w:tcW w:w="3116" w:type="dxa"/>
            <w:gridSpan w:val="2"/>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程度</w:t>
            </w:r>
          </w:p>
        </w:tc>
        <w:tc>
          <w:tcPr>
            <w:tcW w:w="637" w:type="dxa"/>
            <w:tcBorders>
              <w:right w:val="single" w:color="auto" w:sz="4" w:space="0"/>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百分值</w:t>
            </w:r>
          </w:p>
        </w:tc>
        <w:tc>
          <w:tcPr>
            <w:tcW w:w="619" w:type="dxa"/>
            <w:tcBorders>
              <w:lef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60%</w:t>
            </w:r>
          </w:p>
        </w:tc>
        <w:tc>
          <w:tcPr>
            <w:tcW w:w="173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涉及数量1吨以下的</w:t>
            </w:r>
          </w:p>
        </w:tc>
        <w:tc>
          <w:tcPr>
            <w:tcW w:w="13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vAlign w:val="center"/>
          </w:tcPr>
          <w:p>
            <w:pPr>
              <w:jc w:val="center"/>
              <w:rPr>
                <w:rFonts w:ascii="仿宋" w:hAnsi="仿宋" w:eastAsia="仿宋" w:cs="仿宋"/>
                <w:color w:val="000000" w:themeColor="text1"/>
                <w:spacing w:val="-7"/>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1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vAlign w:val="center"/>
          </w:tcPr>
          <w:p>
            <w:pPr>
              <w:jc w:val="center"/>
              <w:rPr>
                <w:rFonts w:ascii="仿宋" w:hAnsi="仿宋" w:eastAsia="仿宋" w:cs="仿宋"/>
                <w:color w:val="000000" w:themeColor="text1"/>
                <w:spacing w:val="-7"/>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涉及数量1吨以上3吨以下的</w:t>
            </w:r>
          </w:p>
        </w:tc>
        <w:tc>
          <w:tcPr>
            <w:tcW w:w="13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9"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1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9"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涉及数量3吨以上5吨以下的</w:t>
            </w:r>
          </w:p>
        </w:tc>
        <w:tc>
          <w:tcPr>
            <w:tcW w:w="13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3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涉及数量5吨以上的</w:t>
            </w:r>
          </w:p>
        </w:tc>
        <w:tc>
          <w:tcPr>
            <w:tcW w:w="13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1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1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15" w:type="dxa"/>
            <w:vMerge w:val="continue"/>
            <w:vAlign w:val="center"/>
          </w:tcPr>
          <w:p>
            <w:pPr>
              <w:jc w:val="center"/>
              <w:rPr>
                <w:rFonts w:ascii="Malgun Gothic"/>
                <w:color w:val="000000" w:themeColor="text1"/>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60%</w:t>
            </w:r>
          </w:p>
        </w:tc>
        <w:tc>
          <w:tcPr>
            <w:tcW w:w="61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9"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9"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9"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15" w:type="dxa"/>
            <w:vMerge w:val="continue"/>
            <w:vAlign w:val="center"/>
          </w:tcPr>
          <w:p>
            <w:pPr>
              <w:jc w:val="center"/>
              <w:rPr>
                <w:rFonts w:ascii="Malgun Gothic"/>
                <w:color w:val="000000" w:themeColor="text1"/>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11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公式：罚款金额＝所需处置费用×1～3（由总百分值确定），但罚款金额不能低于所需处置费用的1倍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3</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22" w:name="_Toc1321"/>
      <w:bookmarkStart w:id="323" w:name="_Toc11601"/>
      <w:r>
        <w:rPr>
          <w:rFonts w:hint="eastAsia" w:ascii="仿宋" w:hAnsi="仿宋" w:eastAsia="仿宋" w:cs="仿宋"/>
          <w:b/>
          <w:bCs/>
          <w:color w:val="000000" w:themeColor="text1"/>
          <w:kern w:val="0"/>
          <w:sz w:val="24"/>
        </w:rPr>
        <w:t>表108无许可证从事收集、贮存、利用、处置危险废物经营活动的罚款幅度裁定</w:t>
      </w:r>
      <w:bookmarkEnd w:id="322"/>
      <w:bookmarkEnd w:id="323"/>
    </w:p>
    <w:tbl>
      <w:tblPr>
        <w:tblStyle w:val="15"/>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72"/>
        <w:gridCol w:w="677"/>
        <w:gridCol w:w="1352"/>
        <w:gridCol w:w="1811"/>
        <w:gridCol w:w="647"/>
        <w:gridCol w:w="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4086"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53"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8" w:hRule="atLeast"/>
        </w:trPr>
        <w:tc>
          <w:tcPr>
            <w:tcW w:w="143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6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4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4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143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w:t>
            </w:r>
          </w:p>
        </w:tc>
        <w:tc>
          <w:tcPr>
            <w:tcW w:w="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8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13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6"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8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8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8"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8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1437" w:type="dxa"/>
            <w:vMerge w:val="continue"/>
            <w:vAlign w:val="center"/>
          </w:tcPr>
          <w:p>
            <w:pPr>
              <w:jc w:val="center"/>
              <w:rPr>
                <w:rFonts w:ascii="Malgun Gothic"/>
                <w:color w:val="000000" w:themeColor="text1"/>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13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43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72"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8" w:hRule="atLeast"/>
        </w:trPr>
        <w:tc>
          <w:tcPr>
            <w:tcW w:w="853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3" w:hRule="atLeast"/>
        </w:trPr>
        <w:tc>
          <w:tcPr>
            <w:tcW w:w="853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第二款 禁止无许可证或者未按照许可证规定从事危险废物收集、贮存、利用、处置的经营活动。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2.《中华人民共和国固体废物污染环境防治法》第一百一十四条 第一款 无许可证从事收集、贮存、利用、处置危险废物经营活动的，由生态环境主管部门责令改正，处100万元以上500万元以下的罚款，并报经有批准权的人民政府批准，责令停业或者关闭；对法定代表人、主要负责人、直接负责的主管人员和其他责任人员，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24" w:name="_Toc643"/>
      <w:bookmarkStart w:id="325" w:name="_Toc13386"/>
      <w:r>
        <w:rPr>
          <w:rFonts w:hint="eastAsia" w:ascii="仿宋" w:hAnsi="仿宋" w:eastAsia="仿宋" w:cs="仿宋"/>
          <w:b/>
          <w:bCs/>
          <w:color w:val="000000" w:themeColor="text1"/>
          <w:kern w:val="0"/>
          <w:sz w:val="24"/>
        </w:rPr>
        <w:t>表109未按照许可证规定从事收集、贮存、利用、处置危险废物经营活动的罚款幅度裁定</w:t>
      </w:r>
      <w:bookmarkEnd w:id="324"/>
      <w:bookmarkEnd w:id="325"/>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945"/>
        <w:gridCol w:w="669"/>
        <w:gridCol w:w="1463"/>
        <w:gridCol w:w="1657"/>
        <w:gridCol w:w="601"/>
        <w:gridCol w:w="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4031"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48"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141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4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2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0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141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165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417" w:type="dxa"/>
            <w:vMerge w:val="continue"/>
            <w:vAlign w:val="center"/>
          </w:tcPr>
          <w:p>
            <w:pPr>
              <w:jc w:val="center"/>
              <w:rPr>
                <w:rFonts w:ascii="仿宋" w:hAnsi="仿宋" w:eastAsia="仿宋" w:cs="仿宋"/>
                <w:color w:val="000000" w:themeColor="text1"/>
                <w:spacing w:val="-7"/>
                <w:sz w:val="18"/>
                <w:szCs w:val="18"/>
              </w:rPr>
            </w:pPr>
          </w:p>
        </w:tc>
        <w:tc>
          <w:tcPr>
            <w:tcW w:w="194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4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165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8"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0" w:hRule="atLeast"/>
        </w:trPr>
        <w:tc>
          <w:tcPr>
            <w:tcW w:w="1417" w:type="dxa"/>
            <w:vMerge w:val="continue"/>
            <w:tcBorders>
              <w:top w:val="nil"/>
            </w:tcBorders>
            <w:vAlign w:val="center"/>
          </w:tcPr>
          <w:p>
            <w:pPr>
              <w:jc w:val="center"/>
              <w:rPr>
                <w:rFonts w:ascii="Malgun Gothic"/>
                <w:color w:val="000000" w:themeColor="text1"/>
                <w:sz w:val="18"/>
                <w:szCs w:val="18"/>
              </w:rPr>
            </w:pPr>
          </w:p>
        </w:tc>
        <w:tc>
          <w:tcPr>
            <w:tcW w:w="19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涉及数量10吨以上的</w:t>
            </w:r>
          </w:p>
        </w:tc>
        <w:tc>
          <w:tcPr>
            <w:tcW w:w="165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417" w:type="dxa"/>
            <w:vMerge w:val="continue"/>
            <w:vAlign w:val="center"/>
          </w:tcPr>
          <w:p>
            <w:pPr>
              <w:jc w:val="center"/>
              <w:rPr>
                <w:rFonts w:ascii="Malgun Gothic"/>
                <w:color w:val="000000" w:themeColor="text1"/>
                <w:sz w:val="18"/>
                <w:szCs w:val="18"/>
              </w:rPr>
            </w:pPr>
          </w:p>
        </w:tc>
        <w:tc>
          <w:tcPr>
            <w:tcW w:w="194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4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tcBorders>
            <w:vAlign w:val="center"/>
          </w:tcPr>
          <w:p>
            <w:pPr>
              <w:jc w:val="center"/>
              <w:rPr>
                <w:rFonts w:ascii="Malgun Gothic"/>
                <w:color w:val="000000" w:themeColor="text1"/>
                <w:sz w:val="18"/>
                <w:szCs w:val="18"/>
              </w:rPr>
            </w:pPr>
          </w:p>
        </w:tc>
        <w:tc>
          <w:tcPr>
            <w:tcW w:w="19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tcBorders>
            <w:vAlign w:val="center"/>
          </w:tcPr>
          <w:p>
            <w:pPr>
              <w:jc w:val="center"/>
              <w:rPr>
                <w:rFonts w:ascii="Malgun Gothic"/>
                <w:color w:val="000000" w:themeColor="text1"/>
                <w:sz w:val="18"/>
                <w:szCs w:val="18"/>
              </w:rPr>
            </w:pPr>
          </w:p>
        </w:tc>
        <w:tc>
          <w:tcPr>
            <w:tcW w:w="19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tcBorders>
            <w:vAlign w:val="center"/>
          </w:tcPr>
          <w:p>
            <w:pPr>
              <w:jc w:val="center"/>
              <w:rPr>
                <w:rFonts w:ascii="Malgun Gothic"/>
                <w:color w:val="000000" w:themeColor="text1"/>
                <w:sz w:val="18"/>
                <w:szCs w:val="18"/>
              </w:rPr>
            </w:pPr>
          </w:p>
        </w:tc>
        <w:tc>
          <w:tcPr>
            <w:tcW w:w="19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17" w:type="dxa"/>
            <w:vMerge w:val="continue"/>
            <w:vAlign w:val="center"/>
          </w:tcPr>
          <w:p>
            <w:pPr>
              <w:jc w:val="center"/>
              <w:rPr>
                <w:rFonts w:ascii="Malgun Gothic"/>
                <w:color w:val="000000" w:themeColor="text1"/>
                <w:sz w:val="18"/>
                <w:szCs w:val="18"/>
              </w:rPr>
            </w:pPr>
          </w:p>
        </w:tc>
        <w:tc>
          <w:tcPr>
            <w:tcW w:w="194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1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第二款 禁止无许可证或者未按照许可证规定从事危险废物收集、贮存、利用、处置的经营活动。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2.《中华人民共和国固体废物污染环境防治法》第一百一十四条 第二款 未按照许可证规定从事收集、贮存、利用、处置危险废物经营活动的，由生态环境主管部门责令改正，限制生产、停产整治，处伍拾万元以上二百万元以下的罚款；对法定代表人、主要负责人、直接负责的主管人员和其他责任人员，处5万元以上五10万元以下的罚款；情节严重的，报经有批准权的人民政府批准，责令停业或者关闭，还可以由发证机关吊销许可证。</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26" w:name="_Toc23390"/>
      <w:bookmarkStart w:id="327" w:name="_Toc3048"/>
      <w:r>
        <w:rPr>
          <w:rFonts w:hint="eastAsia" w:ascii="仿宋" w:hAnsi="仿宋" w:eastAsia="仿宋" w:cs="仿宋"/>
          <w:b/>
          <w:bCs/>
          <w:color w:val="000000" w:themeColor="text1"/>
          <w:kern w:val="0"/>
          <w:sz w:val="24"/>
        </w:rPr>
        <w:t>表110造成固体废物污染环境事故的罚款幅度裁定</w:t>
      </w:r>
      <w:bookmarkEnd w:id="326"/>
      <w:bookmarkEnd w:id="327"/>
    </w:p>
    <w:tbl>
      <w:tblPr>
        <w:tblStyle w:val="15"/>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1677"/>
        <w:gridCol w:w="577"/>
        <w:gridCol w:w="1146"/>
        <w:gridCol w:w="2487"/>
        <w:gridCol w:w="700"/>
        <w:gridCol w:w="7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3475"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64"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122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5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63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3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4" w:hRule="atLeast"/>
        </w:trPr>
        <w:tc>
          <w:tcPr>
            <w:tcW w:w="1221"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违法行为种类</w:t>
            </w:r>
          </w:p>
        </w:tc>
        <w:tc>
          <w:tcPr>
            <w:tcW w:w="5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1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发生一般环境事件(Ⅳ)及其他固体废物污染环境事故的</w:t>
            </w:r>
          </w:p>
        </w:tc>
        <w:tc>
          <w:tcPr>
            <w:tcW w:w="24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3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9" w:hRule="atLeast"/>
        </w:trPr>
        <w:tc>
          <w:tcPr>
            <w:tcW w:w="1221" w:type="dxa"/>
            <w:vMerge w:val="continue"/>
            <w:vAlign w:val="center"/>
          </w:tcPr>
          <w:p>
            <w:pPr>
              <w:jc w:val="center"/>
              <w:rPr>
                <w:rFonts w:ascii="仿宋" w:hAnsi="仿宋" w:eastAsia="仿宋" w:cs="仿宋"/>
                <w:color w:val="000000" w:themeColor="text1"/>
                <w:spacing w:val="-9"/>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未主动承担赔偿责任或者未限期采取治理措施</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7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7" w:hRule="atLeast"/>
        </w:trPr>
        <w:tc>
          <w:tcPr>
            <w:tcW w:w="1221" w:type="dxa"/>
            <w:vMerge w:val="continue"/>
            <w:vAlign w:val="center"/>
          </w:tcPr>
          <w:p>
            <w:pPr>
              <w:jc w:val="center"/>
              <w:rPr>
                <w:rFonts w:ascii="仿宋" w:hAnsi="仿宋" w:eastAsia="仿宋" w:cs="仿宋"/>
                <w:color w:val="000000" w:themeColor="text1"/>
                <w:spacing w:val="-9"/>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既未主动承担赔偿责任，也未限期采取治理措施的</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6"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发生较大环境事件(Ⅲ)的</w:t>
            </w:r>
          </w:p>
        </w:tc>
        <w:tc>
          <w:tcPr>
            <w:tcW w:w="24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3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9"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未主动承担赔偿责任或者未限期采取治理措施</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7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2"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既未主动承担赔偿责任，也未限期采取治理措施的</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3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6" w:hRule="atLeast"/>
        </w:trPr>
        <w:tc>
          <w:tcPr>
            <w:tcW w:w="1221"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发生重大环境事件(Ⅱ)、特别重大环境事件(Ⅰ)的</w:t>
            </w:r>
          </w:p>
        </w:tc>
        <w:tc>
          <w:tcPr>
            <w:tcW w:w="24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73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9" w:hRule="atLeast"/>
        </w:trPr>
        <w:tc>
          <w:tcPr>
            <w:tcW w:w="1221" w:type="dxa"/>
            <w:vMerge w:val="continue"/>
            <w:vAlign w:val="center"/>
          </w:tcPr>
          <w:p>
            <w:pPr>
              <w:jc w:val="center"/>
              <w:rPr>
                <w:rFonts w:ascii="仿宋" w:hAnsi="仿宋" w:eastAsia="仿宋" w:cs="仿宋"/>
                <w:color w:val="000000" w:themeColor="text1"/>
                <w:spacing w:val="-9"/>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未主动承担赔偿责任或者未限期采取治理措施</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8" w:hRule="atLeast"/>
        </w:trPr>
        <w:tc>
          <w:tcPr>
            <w:tcW w:w="1221" w:type="dxa"/>
            <w:vMerge w:val="continue"/>
            <w:vAlign w:val="center"/>
          </w:tcPr>
          <w:p>
            <w:pPr>
              <w:jc w:val="center"/>
              <w:rPr>
                <w:rFonts w:ascii="仿宋" w:hAnsi="仿宋" w:eastAsia="仿宋" w:cs="仿宋"/>
                <w:color w:val="000000" w:themeColor="text1"/>
                <w:spacing w:val="-9"/>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既未主动承担赔偿责任，也未限期采取治理措施的</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3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5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3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3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3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5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3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3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restart"/>
            <w:tcBorders>
              <w:bottom w:val="single" w:color="000000" w:sz="2" w:space="0"/>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677"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577"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33"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0"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31"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0"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677"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577"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33"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0"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31"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6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0"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31"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6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6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3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21" w:type="dxa"/>
            <w:vMerge w:val="continue"/>
            <w:vAlign w:val="center"/>
          </w:tcPr>
          <w:p>
            <w:pPr>
              <w:jc w:val="center"/>
              <w:rPr>
                <w:rFonts w:ascii="Malgun Gothic"/>
                <w:color w:val="000000" w:themeColor="text1"/>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3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2" w:hRule="atLeast"/>
        </w:trPr>
        <w:tc>
          <w:tcPr>
            <w:tcW w:w="853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公式：1.罚款金额＝所需处置费用×1～3或3～5（由总百分值确定），但罚款金额不能低于所需处置费用的1或3倍</w:t>
            </w:r>
          </w:p>
          <w:p>
            <w:pPr>
              <w:ind w:firstLine="462" w:firstLineChars="300"/>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2.个人罚款金额＝百分值之和×最高法定罚款上限。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85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1.《中华人民共和国固体废物污染环境防治法》第五条固体废物污染环境防治坚持污染担责的原则。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产生、收集、贮存、运输、利用、处置固体废物的单位和个人，应当采取措施，防止或者减少固体废物对环境的污染，对所造成的环境污染依法承担责任。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840"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840"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1或3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840"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.5或</w:t>
            </w:r>
            <w:r>
              <w:rPr>
                <w:rFonts w:hint="eastAsia" w:ascii="仿宋_GB2312" w:hAnsi="仿宋_GB2312" w:eastAsia="仿宋_GB2312" w:cs="仿宋_GB2312"/>
                <w:color w:val="000000" w:themeColor="text1"/>
                <w:sz w:val="18"/>
                <w:szCs w:val="18"/>
                <w:lang w:val="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840"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2或4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840"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.5或</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840"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3或5</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28" w:name="_Toc8424"/>
      <w:bookmarkStart w:id="329" w:name="_Toc12219"/>
      <w:r>
        <w:rPr>
          <w:rFonts w:hint="eastAsia" w:ascii="仿宋" w:hAnsi="仿宋" w:eastAsia="仿宋" w:cs="仿宋"/>
          <w:b/>
          <w:bCs/>
          <w:color w:val="000000" w:themeColor="text1"/>
          <w:kern w:val="0"/>
          <w:sz w:val="24"/>
        </w:rPr>
        <w:t>表111转让、买卖医疗废物，邮寄或者通过铁路、航空运输医疗废物，或者违反本条例规定通过水路运输医疗废物的罚款幅度裁定</w:t>
      </w:r>
      <w:bookmarkEnd w:id="328"/>
      <w:bookmarkEnd w:id="329"/>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5"/>
        <w:gridCol w:w="2005"/>
        <w:gridCol w:w="669"/>
        <w:gridCol w:w="1862"/>
        <w:gridCol w:w="1345"/>
        <w:gridCol w:w="767"/>
        <w:gridCol w:w="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4059"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60" w:type="dxa"/>
            <w:gridSpan w:val="4"/>
          </w:tcPr>
          <w:p>
            <w:pPr>
              <w:spacing w:before="177"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13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07"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6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2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6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没有违法所得的</w:t>
            </w:r>
          </w:p>
        </w:tc>
        <w:tc>
          <w:tcPr>
            <w:tcW w:w="13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邮寄方式</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仿宋" w:hAnsi="仿宋" w:eastAsia="仿宋" w:cs="仿宋"/>
                <w:color w:val="000000" w:themeColor="text1"/>
                <w:spacing w:val="-3"/>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铁路运输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仿宋" w:hAnsi="仿宋" w:eastAsia="仿宋" w:cs="仿宋"/>
                <w:color w:val="000000" w:themeColor="text1"/>
                <w:spacing w:val="-3"/>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航空运输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仿宋" w:hAnsi="仿宋" w:eastAsia="仿宋" w:cs="仿宋"/>
                <w:color w:val="000000" w:themeColor="text1"/>
                <w:spacing w:val="-3"/>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水路运输</w:t>
            </w:r>
          </w:p>
        </w:tc>
        <w:tc>
          <w:tcPr>
            <w:tcW w:w="7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违法所得不足5000元的</w:t>
            </w:r>
          </w:p>
        </w:tc>
        <w:tc>
          <w:tcPr>
            <w:tcW w:w="13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邮寄方式</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铁路运输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航空运输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水路运输</w:t>
            </w:r>
          </w:p>
        </w:tc>
        <w:tc>
          <w:tcPr>
            <w:tcW w:w="7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违法所得5000元以上5万以下的</w:t>
            </w:r>
          </w:p>
        </w:tc>
        <w:tc>
          <w:tcPr>
            <w:tcW w:w="13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邮寄方式</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铁路运输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航空运输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水路运输</w:t>
            </w:r>
          </w:p>
        </w:tc>
        <w:tc>
          <w:tcPr>
            <w:tcW w:w="7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违法所得5万以上的</w:t>
            </w:r>
          </w:p>
        </w:tc>
        <w:tc>
          <w:tcPr>
            <w:tcW w:w="13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邮寄方式</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铁路运输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航空运输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水路运输</w:t>
            </w:r>
          </w:p>
        </w:tc>
        <w:tc>
          <w:tcPr>
            <w:tcW w:w="7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0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仿宋" w:hAnsi="仿宋" w:eastAsia="仿宋" w:cs="仿宋"/>
                <w:color w:val="000000" w:themeColor="text1"/>
                <w:spacing w:val="-3"/>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861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公式：1.罚款金额＝百分值之和×最高法定罚款上限（违法所得5000元以下）</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p>
            <w:pPr>
              <w:ind w:firstLine="462" w:firstLineChars="300"/>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2.罚款金额＝违法所得×2～5（由总百分值确定），但罚款金额不能低于违法所得的2倍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86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1.《医疗废物管理条例》第十五条 禁止邮寄医疗废物。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禁止通过铁路、航空运输医疗废物。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有陆路通道的，禁止通过水路运输医疗废物；没有陆路通道必需经水路运输医疗废物的，应当经设区的市级以上人民政府环境保护行政主管部门批准，并采取严格的环境保护措施后，方可通过水路运输。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禁止将医疗废物与旅客在同一运输工具上载运。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禁止在饮用水源保护区的水体上运输医疗废物。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2.《医疗废物管理条例》第五十三条 第一款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六条第一款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违法行为，给予警告，没收违法所得；违法所得5000元以上的，并处违法所得2倍以上5倍以下的罚款；没有违法所得或者违法所得不足5000元的，并处5000元以上2万元以下的罚款。</w:t>
      </w: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6</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5</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0" w:name="_Toc13165"/>
      <w:bookmarkStart w:id="331" w:name="_Toc22373"/>
      <w:r>
        <w:rPr>
          <w:rFonts w:hint="eastAsia" w:ascii="仿宋" w:hAnsi="仿宋" w:eastAsia="仿宋" w:cs="仿宋"/>
          <w:b/>
          <w:bCs/>
          <w:color w:val="000000" w:themeColor="text1"/>
          <w:kern w:val="0"/>
          <w:sz w:val="24"/>
        </w:rPr>
        <w:t>表112承运人明知托运人违反规定运输医疗废物，仍予以运输的，或者承运人将医疗废物与旅客在同一工具上载运的罚款幅度裁定</w:t>
      </w:r>
      <w:bookmarkEnd w:id="330"/>
      <w:bookmarkEnd w:id="331"/>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851"/>
        <w:gridCol w:w="778"/>
        <w:gridCol w:w="1256"/>
        <w:gridCol w:w="1695"/>
        <w:gridCol w:w="746"/>
        <w:gridCol w:w="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1" w:hRule="atLeast"/>
        </w:trPr>
        <w:tc>
          <w:tcPr>
            <w:tcW w:w="4073" w:type="dxa"/>
            <w:gridSpan w:val="3"/>
          </w:tcPr>
          <w:p>
            <w:pPr>
              <w:spacing w:before="177" w:line="184" w:lineRule="auto"/>
              <w:ind w:firstLine="152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86" w:type="dxa"/>
            <w:gridSpan w:val="4"/>
          </w:tcPr>
          <w:p>
            <w:pPr>
              <w:spacing w:before="177" w:line="184" w:lineRule="auto"/>
              <w:ind w:firstLine="1643"/>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7" w:hRule="atLeast"/>
        </w:trPr>
        <w:tc>
          <w:tcPr>
            <w:tcW w:w="144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5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5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5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78"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5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载运医疗废物1公斤以下的</w:t>
            </w:r>
          </w:p>
        </w:tc>
        <w:tc>
          <w:tcPr>
            <w:tcW w:w="16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未与旅客一起载运的</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9" w:type="dxa"/>
            <w:tcBorders>
              <w:left w:val="single" w:color="auto" w:sz="4" w:space="0"/>
              <w:bottom w:val="single" w:color="auto" w:sz="4" w:space="0"/>
            </w:tcBorders>
          </w:tcPr>
          <w:p>
            <w:pPr>
              <w:spacing w:before="42" w:line="184" w:lineRule="auto"/>
              <w:ind w:firstLine="248"/>
              <w:rPr>
                <w:rFonts w:ascii="仿宋" w:hAnsi="仿宋" w:eastAsia="仿宋" w:cs="仿宋"/>
                <w:color w:val="000000" w:themeColor="text1"/>
                <w:spacing w:val="-5"/>
                <w:sz w:val="18"/>
                <w:szCs w:val="18"/>
              </w:rPr>
            </w:pPr>
          </w:p>
        </w:tc>
      </w:tr>
      <w:tr>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与旅客一起载运的</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top w:val="single" w:color="auto" w:sz="4" w:space="0"/>
              <w:left w:val="single" w:color="auto" w:sz="4" w:space="0"/>
            </w:tcBorders>
          </w:tcPr>
          <w:p>
            <w:pPr>
              <w:spacing w:before="42" w:line="184" w:lineRule="auto"/>
              <w:ind w:firstLine="248"/>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Pr>
          <w:p>
            <w:pP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载运医疗废物1公斤以上5公斤以下的</w:t>
            </w:r>
          </w:p>
        </w:tc>
        <w:tc>
          <w:tcPr>
            <w:tcW w:w="16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未与旅客一起载运的</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9" w:type="dxa"/>
            <w:tcBorders>
              <w:left w:val="single" w:color="auto" w:sz="4" w:space="0"/>
              <w:bottom w:val="single" w:color="auto" w:sz="4" w:space="0"/>
            </w:tcBorders>
          </w:tcPr>
          <w:p>
            <w:pPr>
              <w:spacing w:before="198" w:line="184" w:lineRule="auto"/>
              <w:ind w:firstLine="188"/>
              <w:rPr>
                <w:rFonts w:ascii="仿宋" w:hAnsi="仿宋" w:eastAsia="仿宋" w:cs="仿宋"/>
                <w:color w:val="000000" w:themeColor="text1"/>
                <w:spacing w:val="-4"/>
                <w:sz w:val="18"/>
                <w:szCs w:val="18"/>
              </w:rPr>
            </w:pPr>
          </w:p>
        </w:tc>
      </w:tr>
      <w:tr>
        <w:trPr>
          <w:trHeight w:val="454" w:hRule="atLeast"/>
        </w:trPr>
        <w:tc>
          <w:tcPr>
            <w:tcW w:w="1444" w:type="dxa"/>
            <w:vMerge w:val="continue"/>
          </w:tcPr>
          <w:p>
            <w:pP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与旅客一起载运的</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9" w:type="dxa"/>
            <w:tcBorders>
              <w:top w:val="single" w:color="auto" w:sz="4" w:space="0"/>
              <w:left w:val="single" w:color="auto" w:sz="4" w:space="0"/>
            </w:tcBorders>
          </w:tcPr>
          <w:p>
            <w:pPr>
              <w:spacing w:before="198" w:line="184" w:lineRule="auto"/>
              <w:ind w:firstLine="18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Pr>
          <w:p>
            <w:pP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载运医疗废物5公斤以上10公斤以下的</w:t>
            </w:r>
          </w:p>
        </w:tc>
        <w:tc>
          <w:tcPr>
            <w:tcW w:w="16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未与旅客一起载运的</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9" w:type="dxa"/>
            <w:tcBorders>
              <w:left w:val="single" w:color="auto" w:sz="4" w:space="0"/>
              <w:bottom w:val="single" w:color="auto" w:sz="4" w:space="0"/>
            </w:tcBorders>
          </w:tcPr>
          <w:p>
            <w:pPr>
              <w:spacing w:before="197" w:line="184" w:lineRule="auto"/>
              <w:ind w:firstLine="182"/>
              <w:rPr>
                <w:rFonts w:ascii="仿宋" w:hAnsi="仿宋" w:eastAsia="仿宋" w:cs="仿宋"/>
                <w:color w:val="000000" w:themeColor="text1"/>
                <w:spacing w:val="-3"/>
                <w:sz w:val="18"/>
                <w:szCs w:val="18"/>
              </w:rPr>
            </w:pPr>
          </w:p>
        </w:tc>
      </w:tr>
      <w:tr>
        <w:trPr>
          <w:trHeight w:val="454" w:hRule="atLeast"/>
        </w:trPr>
        <w:tc>
          <w:tcPr>
            <w:tcW w:w="1444" w:type="dxa"/>
            <w:vMerge w:val="continue"/>
          </w:tcPr>
          <w:p>
            <w:pP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与旅客一起载运的</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9" w:type="dxa"/>
            <w:tcBorders>
              <w:top w:val="single" w:color="auto" w:sz="4" w:space="0"/>
              <w:left w:val="single" w:color="auto" w:sz="4" w:space="0"/>
            </w:tcBorders>
          </w:tcPr>
          <w:p>
            <w:pPr>
              <w:spacing w:before="197" w:line="184" w:lineRule="auto"/>
              <w:ind w:firstLine="182"/>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载运医疗废物10公斤以上的</w:t>
            </w:r>
          </w:p>
        </w:tc>
        <w:tc>
          <w:tcPr>
            <w:tcW w:w="16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未与旅客一起载运的</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与旅客一起载运的</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8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8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8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是否及时进行整改</w:t>
            </w:r>
          </w:p>
        </w:tc>
        <w:tc>
          <w:tcPr>
            <w:tcW w:w="7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8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8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8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8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8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5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295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295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2951"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9"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851"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9"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8359" w:type="dxa"/>
            <w:gridSpan w:val="7"/>
            <w:tcBorders>
              <w:top w:val="single" w:color="auto" w:sz="4" w:space="0"/>
              <w:bottom w:val="single" w:color="auto" w:sz="4" w:space="0"/>
            </w:tcBorders>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公式：1.罚款金额＝百分值之和×最高法定罚款上限（违法所得5000元以下或承运人将医疗废物与旅客在同一工具上载运）</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p>
            <w:pPr>
              <w:ind w:firstLine="462" w:firstLineChars="300"/>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2.罚款金额＝违法所得×2～5（由总百分值确定），但罚款金额不能低于违法所得的2倍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35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1.《医疗废物管理条例》第十五条 禁止邮寄医疗废物。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禁止通过铁路、航空运输医疗废物。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有陆路通道的，禁止通过水路运输医疗废物；没有陆路通道必需经水路运输医疗废物的，应当经设区的市级以上人民政府环境保护行政主管部门批准，并采取严格的环境保护措施后，方可通过水路运输。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禁止将医疗废物与旅客在同一运输工具上载运。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禁止在饮用水源保护区的水体上运输医疗废物。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承运人明知托运人违反本条例的规定运输医疗废物，仍予以运输的，或者承运人将医疗废物与旅客在同一工具上载运的，按照前款的规定予以处罚。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3.《医疗废物管理行政处罚办法》第十六条 第二款 承运人明知托运人违反</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的规定运输医疗废物，仍予以运输的，按照前款的规定予以处罚；承运人将医疗废物与旅客在同一工具上载运的，由县级以上人民政府环境保护行政主管部门依照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"https://www.itslaw.com/search/lawsAndRegulations/lawAndRegulation?searchMode=lawsAndRegulations&amp;lawAndRegulationId=c26bc53c-b04e-4f36-b6be-64f4376335f8&amp;lawRegulationArticleId=2383014" </w:instrText>
      </w:r>
      <w:r>
        <w:rPr>
          <w:color w:val="000000" w:themeColor="text1"/>
        </w:rPr>
        <w:fldChar w:fldCharType="separate"/>
      </w:r>
      <w:r>
        <w:rPr>
          <w:rFonts w:hint="eastAsia" w:ascii="仿宋_GB2312" w:hAnsi="仿宋_GB2312" w:eastAsia="仿宋_GB2312" w:cs="仿宋_GB2312"/>
          <w:color w:val="000000" w:themeColor="text1"/>
          <w:szCs w:val="21"/>
        </w:rPr>
        <w:t>《中华人民共和国固体废物污染环境防治法》</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十五条规定责令停止违法行为，限期改正，处1万元以上10万元以下的罚款。</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6</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2" w:name="_Toc14414"/>
      <w:bookmarkStart w:id="333" w:name="_Toc3401"/>
      <w:r>
        <w:rPr>
          <w:rFonts w:hint="eastAsia" w:ascii="仿宋" w:hAnsi="仿宋" w:eastAsia="仿宋" w:cs="仿宋"/>
          <w:b/>
          <w:bCs/>
          <w:color w:val="000000" w:themeColor="text1"/>
          <w:kern w:val="0"/>
          <w:sz w:val="24"/>
        </w:rPr>
        <w:t>表113(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罚款幅度裁定</w:t>
      </w:r>
      <w:bookmarkEnd w:id="332"/>
      <w:bookmarkEnd w:id="333"/>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1873"/>
        <w:gridCol w:w="786"/>
        <w:gridCol w:w="1543"/>
        <w:gridCol w:w="1631"/>
        <w:gridCol w:w="648"/>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4126" w:type="dxa"/>
            <w:gridSpan w:val="3"/>
          </w:tcPr>
          <w:p>
            <w:pPr>
              <w:spacing w:before="175"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93" w:type="dxa"/>
            <w:gridSpan w:val="4"/>
          </w:tcPr>
          <w:p>
            <w:pPr>
              <w:spacing w:before="175" w:line="184" w:lineRule="auto"/>
              <w:ind w:firstLine="158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6" w:hRule="atLeast"/>
        </w:trPr>
        <w:tc>
          <w:tcPr>
            <w:tcW w:w="146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7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8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7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医疗机构级别</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4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一级医疗卫生机构的</w:t>
            </w:r>
          </w:p>
        </w:tc>
        <w:tc>
          <w:tcPr>
            <w:tcW w:w="1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涉及医疗废物300斤以下</w:t>
            </w:r>
          </w:p>
        </w:tc>
        <w:tc>
          <w:tcPr>
            <w:tcW w:w="6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7" w:type="dxa"/>
            <w:vMerge w:val="continue"/>
            <w:vAlign w:val="center"/>
          </w:tcPr>
          <w:p>
            <w:pPr>
              <w:jc w:val="center"/>
              <w:rPr>
                <w:rFonts w:ascii="仿宋" w:hAnsi="仿宋" w:eastAsia="仿宋" w:cs="仿宋"/>
                <w:color w:val="000000" w:themeColor="text1"/>
                <w:spacing w:val="-7"/>
                <w:sz w:val="18"/>
                <w:szCs w:val="18"/>
              </w:rPr>
            </w:pPr>
          </w:p>
        </w:tc>
        <w:tc>
          <w:tcPr>
            <w:tcW w:w="1873" w:type="dxa"/>
            <w:vMerge w:val="continue"/>
            <w:vAlign w:val="center"/>
          </w:tcPr>
          <w:p>
            <w:pPr>
              <w:jc w:val="center"/>
              <w:rPr>
                <w:rFonts w:ascii="仿宋" w:hAnsi="仿宋" w:eastAsia="仿宋" w:cs="仿宋"/>
                <w:color w:val="000000" w:themeColor="text1"/>
                <w:spacing w:val="-1"/>
                <w:sz w:val="18"/>
                <w:szCs w:val="18"/>
              </w:rPr>
            </w:pPr>
          </w:p>
        </w:tc>
        <w:tc>
          <w:tcPr>
            <w:tcW w:w="786" w:type="dxa"/>
            <w:vMerge w:val="continue"/>
            <w:vAlign w:val="center"/>
          </w:tcPr>
          <w:p>
            <w:pPr>
              <w:jc w:val="center"/>
              <w:rPr>
                <w:rFonts w:ascii="仿宋" w:hAnsi="仿宋" w:eastAsia="仿宋" w:cs="仿宋"/>
                <w:color w:val="000000" w:themeColor="text1"/>
                <w:spacing w:val="-1"/>
                <w:sz w:val="18"/>
                <w:szCs w:val="18"/>
              </w:rPr>
            </w:pPr>
          </w:p>
        </w:tc>
        <w:tc>
          <w:tcPr>
            <w:tcW w:w="154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涉及医疗废物300斤以上</w:t>
            </w:r>
          </w:p>
        </w:tc>
        <w:tc>
          <w:tcPr>
            <w:tcW w:w="6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二级医疗卫生机构的</w:t>
            </w:r>
          </w:p>
        </w:tc>
        <w:tc>
          <w:tcPr>
            <w:tcW w:w="1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涉及医疗废物300斤以下</w:t>
            </w:r>
          </w:p>
        </w:tc>
        <w:tc>
          <w:tcPr>
            <w:tcW w:w="6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涉及医疗废物300斤以上</w:t>
            </w:r>
          </w:p>
        </w:tc>
        <w:tc>
          <w:tcPr>
            <w:tcW w:w="6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7" w:type="dxa"/>
            <w:vMerge w:val="continue"/>
            <w:tcBorders>
              <w:top w:val="nil"/>
            </w:tcBorders>
            <w:vAlign w:val="center"/>
          </w:tcPr>
          <w:p>
            <w:pPr>
              <w:jc w:val="center"/>
              <w:rPr>
                <w:rFonts w:ascii="Malgun Gothic"/>
                <w:color w:val="000000" w:themeColor="text1"/>
                <w:sz w:val="18"/>
                <w:szCs w:val="18"/>
              </w:rPr>
            </w:pPr>
          </w:p>
        </w:tc>
        <w:tc>
          <w:tcPr>
            <w:tcW w:w="187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三级医疗卫生机构/医疗废物集中处置单位的</w:t>
            </w:r>
          </w:p>
        </w:tc>
        <w:tc>
          <w:tcPr>
            <w:tcW w:w="1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涉及医疗废物300斤以下</w:t>
            </w:r>
          </w:p>
        </w:tc>
        <w:tc>
          <w:tcPr>
            <w:tcW w:w="6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7" w:type="dxa"/>
            <w:vMerge w:val="continue"/>
            <w:vAlign w:val="center"/>
          </w:tcPr>
          <w:p>
            <w:pPr>
              <w:jc w:val="center"/>
              <w:rPr>
                <w:rFonts w:ascii="Malgun Gothic"/>
                <w:color w:val="000000" w:themeColor="text1"/>
                <w:sz w:val="18"/>
                <w:szCs w:val="18"/>
              </w:rPr>
            </w:pPr>
          </w:p>
        </w:tc>
        <w:tc>
          <w:tcPr>
            <w:tcW w:w="1873" w:type="dxa"/>
            <w:vMerge w:val="continue"/>
            <w:vAlign w:val="center"/>
          </w:tcPr>
          <w:p>
            <w:pPr>
              <w:jc w:val="center"/>
              <w:rPr>
                <w:rFonts w:ascii="仿宋" w:hAnsi="仿宋" w:eastAsia="仿宋" w:cs="仿宋"/>
                <w:color w:val="000000" w:themeColor="text1"/>
                <w:spacing w:val="-1"/>
                <w:sz w:val="18"/>
                <w:szCs w:val="18"/>
              </w:rPr>
            </w:pPr>
          </w:p>
        </w:tc>
        <w:tc>
          <w:tcPr>
            <w:tcW w:w="786" w:type="dxa"/>
            <w:vMerge w:val="continue"/>
            <w:vAlign w:val="center"/>
          </w:tcPr>
          <w:p>
            <w:pPr>
              <w:jc w:val="center"/>
              <w:rPr>
                <w:rFonts w:ascii="仿宋" w:hAnsi="仿宋" w:eastAsia="仿宋" w:cs="仿宋"/>
                <w:color w:val="000000" w:themeColor="text1"/>
                <w:spacing w:val="-1"/>
                <w:sz w:val="18"/>
                <w:szCs w:val="18"/>
              </w:rPr>
            </w:pPr>
          </w:p>
        </w:tc>
        <w:tc>
          <w:tcPr>
            <w:tcW w:w="154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涉及医疗废物300斤以上</w:t>
            </w:r>
          </w:p>
        </w:tc>
        <w:tc>
          <w:tcPr>
            <w:tcW w:w="6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tcBorders>
            <w:vAlign w:val="center"/>
          </w:tcPr>
          <w:p>
            <w:pPr>
              <w:jc w:val="center"/>
              <w:rPr>
                <w:rFonts w:ascii="Malgun Gothic"/>
                <w:color w:val="000000" w:themeColor="text1"/>
                <w:sz w:val="18"/>
                <w:szCs w:val="18"/>
              </w:rPr>
            </w:pPr>
          </w:p>
        </w:tc>
        <w:tc>
          <w:tcPr>
            <w:tcW w:w="187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tcBorders>
            <w:vAlign w:val="center"/>
          </w:tcPr>
          <w:p>
            <w:pPr>
              <w:jc w:val="center"/>
              <w:rPr>
                <w:rFonts w:ascii="Malgun Gothic"/>
                <w:color w:val="000000" w:themeColor="text1"/>
                <w:sz w:val="18"/>
                <w:szCs w:val="18"/>
              </w:rPr>
            </w:pPr>
          </w:p>
        </w:tc>
        <w:tc>
          <w:tcPr>
            <w:tcW w:w="187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tcBorders>
            <w:vAlign w:val="center"/>
          </w:tcPr>
          <w:p>
            <w:pPr>
              <w:jc w:val="center"/>
              <w:rPr>
                <w:rFonts w:ascii="Malgun Gothic"/>
                <w:color w:val="000000" w:themeColor="text1"/>
                <w:sz w:val="18"/>
                <w:szCs w:val="18"/>
              </w:rPr>
            </w:pPr>
          </w:p>
        </w:tc>
        <w:tc>
          <w:tcPr>
            <w:tcW w:w="187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7" w:type="dxa"/>
            <w:vMerge w:val="continue"/>
            <w:vAlign w:val="center"/>
          </w:tcPr>
          <w:p>
            <w:pPr>
              <w:jc w:val="center"/>
              <w:rPr>
                <w:rFonts w:ascii="Malgun Gothic"/>
                <w:color w:val="000000" w:themeColor="text1"/>
                <w:sz w:val="18"/>
                <w:szCs w:val="18"/>
              </w:rPr>
            </w:pPr>
          </w:p>
        </w:tc>
        <w:tc>
          <w:tcPr>
            <w:tcW w:w="1873" w:type="dxa"/>
            <w:vMerge w:val="continue"/>
            <w:vAlign w:val="center"/>
          </w:tcPr>
          <w:p>
            <w:pPr>
              <w:jc w:val="center"/>
              <w:rPr>
                <w:rFonts w:ascii="仿宋" w:hAnsi="仿宋" w:eastAsia="仿宋" w:cs="仿宋"/>
                <w:color w:val="000000" w:themeColor="text1"/>
                <w:spacing w:val="-1"/>
                <w:sz w:val="18"/>
                <w:szCs w:val="18"/>
              </w:rPr>
            </w:pPr>
          </w:p>
        </w:tc>
        <w:tc>
          <w:tcPr>
            <w:tcW w:w="786" w:type="dxa"/>
            <w:vMerge w:val="continue"/>
            <w:vAlign w:val="center"/>
          </w:tcPr>
          <w:p>
            <w:pPr>
              <w:jc w:val="center"/>
              <w:rPr>
                <w:rFonts w:ascii="仿宋" w:hAnsi="仿宋" w:eastAsia="仿宋" w:cs="仿宋"/>
                <w:color w:val="000000" w:themeColor="text1"/>
                <w:spacing w:val="-1"/>
                <w:sz w:val="18"/>
                <w:szCs w:val="18"/>
              </w:rPr>
            </w:pPr>
          </w:p>
        </w:tc>
        <w:tc>
          <w:tcPr>
            <w:tcW w:w="317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1.《医疗废物管理条例》第十六条 医疗卫生机构应当及时收集本单位产生的医疗废物，并按照类别分置于防渗漏、防锐器穿透的专用包装物或者密闭的容器内。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医疗废物专用包装物、容器，应当有明显的警示标识和警示说明。医疗废物专用包装物、容器的标准和警示标识的规定，由国务院卫生行政主管部门和环境保护行政主管部门共同制定。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第十七条 医疗卫生机构应当建立医疗废物的暂时贮存设施、设备，不得露天存放医疗废物；医疗废物暂时贮存的时间不得超过2天。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医疗废物的暂时贮存设施、设备，应当远离医疗区、食品加工区和人员活动区以及生活垃圾存放场所，并设置明显的警示标识和防渗漏、防鼠、防蚊蝇、防蟑螂、防盗以及预防儿童接触等安全措施。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医疗废物的暂时贮存设施、设备应当定期消毒和清洁。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第二十六条 医疗废物集中处置单位运送医疗废物，应当遵守国家有关危险货物运输管理的规定，使用有明显医疗废物标识的专用车辆。医疗废物专用车辆应当达到防渗漏、防遗撒以及其他环境保护和卫生要求。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运送医疗废物的专用车辆使用后，应当在医疗废物集中处置场所内及时进行消毒和清洁。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运送医疗废物的专用车辆不得运送其他物品。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第二十八条 医疗废物集中处置单位应当安装污染物排放在线监控装置，并确保监控装置经常处于正常运行状态。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(一)贮存设施或者设备不符合环境保护、卫生要求的；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(二)未将医疗废物按照类别分置于专用包装物或者容器的；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(三)未使用符合标准的专用车辆运送医疗废物或者使用运送医疗废物的车辆运送其他物品的；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(四)未安装污染物排放在线监控装置或者监控装置未经常处于正常运行状态的。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3.《医疗废物管理行政处罚办法》第六条 医疗废物集中处置单位有</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"https://www.itslaw.com/search/lawsAndRegulations/lawAndRegulation?searchMode=lawsAndRegulations&amp;lawAndRegulationId=b9ffe1f5-7332-460e-af2a-4c0fbd03209d&amp;lawRegulationArticleId=1000208413" </w:instrText>
      </w:r>
      <w:r>
        <w:rPr>
          <w:color w:val="000000" w:themeColor="text1"/>
        </w:rPr>
        <w:fldChar w:fldCharType="separate"/>
      </w:r>
      <w:r>
        <w:rPr>
          <w:rFonts w:hint="eastAsia" w:ascii="仿宋_GB2312" w:hAnsi="仿宋_GB2312" w:eastAsia="仿宋_GB2312" w:cs="仿宋_GB2312"/>
          <w:color w:val="000000" w:themeColor="text1"/>
          <w:szCs w:val="21"/>
        </w:rPr>
        <w:t>第四十六条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规定的下列情形之一的，由县级以上地方人民政府环境保护行政主管部门责令限期改正，给予警告，可以并处5000元以下的罚款，逾期不改正的，处5000元以上3万元以下的罚款：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(一)贮存设施或者设备不符合环境保护、卫生要求的；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(二)未将医疗废物按照类别分置于专用包装物或者容器的；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(三)未使用符合标准的专用车辆运送医疗废物的；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(四)未安装污染物排放在线监控装置或者监控装置未经常处于正常运行状态的。</w:t>
      </w: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4" w:name="_Toc31116"/>
      <w:bookmarkStart w:id="335" w:name="_Toc31589"/>
      <w:r>
        <w:rPr>
          <w:rFonts w:hint="eastAsia" w:ascii="仿宋" w:hAnsi="仿宋" w:eastAsia="仿宋" w:cs="仿宋"/>
          <w:b/>
          <w:bCs/>
          <w:color w:val="000000" w:themeColor="text1"/>
          <w:kern w:val="0"/>
          <w:sz w:val="24"/>
        </w:rPr>
        <w:t>表114在运送过程中丢弃医疗废物，在非贮存地点倾倒、堆放医疗废物或者将医疗废物混入其他废物和生活垃圾的罚款幅度裁定</w:t>
      </w:r>
      <w:bookmarkEnd w:id="334"/>
      <w:bookmarkEnd w:id="335"/>
    </w:p>
    <w:tbl>
      <w:tblPr>
        <w:tblStyle w:val="15"/>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6"/>
        <w:gridCol w:w="1161"/>
        <w:gridCol w:w="783"/>
        <w:gridCol w:w="1988"/>
        <w:gridCol w:w="1975"/>
        <w:gridCol w:w="618"/>
        <w:gridCol w:w="692"/>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459" w:hRule="atLeast"/>
        </w:trPr>
        <w:tc>
          <w:tcPr>
            <w:tcW w:w="3430"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73" w:type="dxa"/>
            <w:gridSpan w:val="4"/>
          </w:tcPr>
          <w:p>
            <w:pPr>
              <w:spacing w:before="177" w:line="184" w:lineRule="auto"/>
              <w:ind w:firstLine="158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694" w:hRule="atLeast"/>
        </w:trPr>
        <w:tc>
          <w:tcPr>
            <w:tcW w:w="148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6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8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6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9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1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运送过程中丢弃的</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92" w:type="dxa"/>
            <w:tcBorders>
              <w:left w:val="single" w:color="auto" w:sz="4" w:space="0"/>
              <w:bottom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vAlign w:val="center"/>
          </w:tcPr>
          <w:p>
            <w:pPr>
              <w:jc w:val="center"/>
              <w:rPr>
                <w:rFonts w:ascii="仿宋" w:hAnsi="仿宋" w:eastAsia="仿宋" w:cs="仿宋"/>
                <w:color w:val="000000" w:themeColor="text1"/>
                <w:spacing w:val="-7"/>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非贮存地点倾倒、堆放的</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92" w:type="dxa"/>
            <w:tcBorders>
              <w:top w:val="single" w:color="auto" w:sz="4" w:space="0"/>
              <w:left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涉及医疗废物1吨以上3吨以下的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运送过程中丢弃的</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92" w:type="dxa"/>
            <w:tcBorders>
              <w:left w:val="single" w:color="auto" w:sz="4" w:space="0"/>
              <w:bottom w:val="single" w:color="auto" w:sz="4" w:space="0"/>
            </w:tcBorders>
          </w:tcPr>
          <w:p>
            <w:pPr>
              <w:spacing w:before="198"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非贮存地点倾倒、堆放的</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92" w:type="dxa"/>
            <w:tcBorders>
              <w:top w:val="single" w:color="auto" w:sz="4" w:space="0"/>
              <w:left w:val="single" w:color="auto" w:sz="4" w:space="0"/>
            </w:tcBorders>
          </w:tcPr>
          <w:p>
            <w:pPr>
              <w:spacing w:before="198"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涉及医疗废物3吨以上的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运送过程中丢弃的</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92" w:type="dxa"/>
            <w:tcBorders>
              <w:left w:val="single" w:color="auto" w:sz="4" w:space="0"/>
              <w:bottom w:val="single" w:color="auto" w:sz="4" w:space="0"/>
            </w:tcBorders>
          </w:tcPr>
          <w:p>
            <w:pPr>
              <w:spacing w:before="41"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非贮存地点倾倒、堆放的</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92" w:type="dxa"/>
            <w:tcBorders>
              <w:top w:val="single" w:color="auto" w:sz="4" w:space="0"/>
              <w:left w:val="single" w:color="auto" w:sz="4" w:space="0"/>
            </w:tcBorders>
          </w:tcPr>
          <w:p>
            <w:pPr>
              <w:spacing w:before="41"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混入生活垃圾</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92" w:type="dxa"/>
            <w:tcBorders>
              <w:left w:val="single" w:color="auto" w:sz="4" w:space="0"/>
              <w:bottom w:val="single" w:color="auto" w:sz="4" w:space="0"/>
            </w:tcBorders>
          </w:tcPr>
          <w:p>
            <w:pPr>
              <w:spacing w:before="41"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混入其他废物</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92" w:type="dxa"/>
            <w:tcBorders>
              <w:top w:val="single" w:color="auto" w:sz="4" w:space="0"/>
              <w:left w:val="single" w:color="auto" w:sz="4" w:space="0"/>
            </w:tcBorders>
          </w:tcPr>
          <w:p>
            <w:pPr>
              <w:spacing w:before="41"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混合量1吨以上5吨以下的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混入生活垃圾</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92" w:type="dxa"/>
            <w:tcBorders>
              <w:left w:val="single" w:color="auto" w:sz="4" w:space="0"/>
              <w:bottom w:val="single" w:color="auto" w:sz="4" w:space="0"/>
            </w:tcBorders>
          </w:tcPr>
          <w:p>
            <w:pPr>
              <w:spacing w:before="41"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混入其他废物</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92" w:type="dxa"/>
            <w:tcBorders>
              <w:top w:val="single" w:color="auto" w:sz="4" w:space="0"/>
              <w:left w:val="single" w:color="auto" w:sz="4" w:space="0"/>
            </w:tcBorders>
          </w:tcPr>
          <w:p>
            <w:pPr>
              <w:spacing w:before="41"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混合量5吨以上10吨以下的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混入生活垃圾</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92" w:type="dxa"/>
            <w:tcBorders>
              <w:left w:val="single" w:color="auto" w:sz="4" w:space="0"/>
              <w:bottom w:val="single" w:color="auto" w:sz="4" w:space="0"/>
            </w:tcBorders>
          </w:tcPr>
          <w:p>
            <w:pPr>
              <w:spacing w:before="43"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混入其他废物</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92" w:type="dxa"/>
            <w:tcBorders>
              <w:top w:val="single" w:color="auto" w:sz="4" w:space="0"/>
              <w:left w:val="single" w:color="auto" w:sz="4" w:space="0"/>
            </w:tcBorders>
          </w:tcPr>
          <w:p>
            <w:pPr>
              <w:spacing w:before="43"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tcBorders>
              <w:top w:val="nil"/>
            </w:tcBorders>
            <w:vAlign w:val="center"/>
          </w:tcPr>
          <w:p>
            <w:pPr>
              <w:jc w:val="center"/>
              <w:rPr>
                <w:rFonts w:ascii="Malgun Gothic"/>
                <w:color w:val="000000" w:themeColor="text1"/>
                <w:sz w:val="18"/>
                <w:szCs w:val="18"/>
              </w:rPr>
            </w:pPr>
          </w:p>
        </w:tc>
        <w:tc>
          <w:tcPr>
            <w:tcW w:w="11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混合量10吨以上的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混入生活垃圾</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92" w:type="dxa"/>
            <w:tcBorders>
              <w:left w:val="single" w:color="auto" w:sz="4" w:space="0"/>
              <w:bottom w:val="single" w:color="auto" w:sz="4" w:space="0"/>
            </w:tcBorders>
          </w:tcPr>
          <w:p>
            <w:pPr>
              <w:spacing w:before="42" w:line="184" w:lineRule="auto"/>
              <w:ind w:firstLine="13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97" w:hRule="atLeast"/>
        </w:trPr>
        <w:tc>
          <w:tcPr>
            <w:tcW w:w="1486" w:type="dxa"/>
            <w:vMerge w:val="continue"/>
            <w:vAlign w:val="center"/>
          </w:tcPr>
          <w:p>
            <w:pPr>
              <w:jc w:val="cente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混入其他废物</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92" w:type="dxa"/>
            <w:tcBorders>
              <w:top w:val="single" w:color="auto" w:sz="4" w:space="0"/>
              <w:left w:val="single" w:color="auto" w:sz="4" w:space="0"/>
            </w:tcBorders>
          </w:tcPr>
          <w:p>
            <w:pPr>
              <w:spacing w:before="42" w:line="184" w:lineRule="auto"/>
              <w:ind w:firstLine="13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40" w:hRule="atLeast"/>
        </w:trPr>
        <w:tc>
          <w:tcPr>
            <w:tcW w:w="1486"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6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83"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92" w:type="dxa"/>
            <w:tcBorders>
              <w:left w:val="single" w:color="auto" w:sz="4" w:space="0"/>
            </w:tcBorders>
          </w:tcPr>
          <w:p>
            <w:pPr>
              <w:spacing w:before="42" w:line="184" w:lineRule="auto"/>
              <w:ind w:firstLine="430"/>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40" w:hRule="atLeast"/>
        </w:trPr>
        <w:tc>
          <w:tcPr>
            <w:tcW w:w="1486" w:type="dxa"/>
            <w:vMerge w:val="continue"/>
          </w:tcPr>
          <w:p>
            <w:pP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92" w:type="dxa"/>
            <w:tcBorders>
              <w:left w:val="single" w:color="auto" w:sz="4" w:space="0"/>
            </w:tcBorders>
          </w:tcPr>
          <w:p>
            <w:pPr>
              <w:spacing w:before="42" w:line="184" w:lineRule="auto"/>
              <w:ind w:firstLine="373"/>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40" w:hRule="atLeast"/>
        </w:trPr>
        <w:tc>
          <w:tcPr>
            <w:tcW w:w="1486" w:type="dxa"/>
            <w:vMerge w:val="continue"/>
          </w:tcPr>
          <w:p>
            <w:pP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9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5" w:type="dxa"/>
          <w:trHeight w:val="340" w:hRule="atLeast"/>
        </w:trPr>
        <w:tc>
          <w:tcPr>
            <w:tcW w:w="1486" w:type="dxa"/>
            <w:vMerge w:val="continue"/>
          </w:tcPr>
          <w:p>
            <w:pP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9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continue"/>
            <w:tcBorders>
              <w:top w:val="nil"/>
            </w:tcBorders>
            <w:vAlign w:val="center"/>
          </w:tcPr>
          <w:p>
            <w:pPr>
              <w:jc w:val="center"/>
              <w:rPr>
                <w:rFonts w:ascii="Malgun Gothic"/>
                <w:color w:val="000000" w:themeColor="text1"/>
                <w:sz w:val="18"/>
                <w:szCs w:val="18"/>
              </w:rPr>
            </w:pPr>
          </w:p>
        </w:tc>
        <w:tc>
          <w:tcPr>
            <w:tcW w:w="11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1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continue"/>
            <w:tcBorders>
              <w:top w:val="nil"/>
            </w:tcBorders>
            <w:vAlign w:val="center"/>
          </w:tcPr>
          <w:p>
            <w:pPr>
              <w:jc w:val="center"/>
              <w:rPr>
                <w:rFonts w:ascii="Malgun Gothic"/>
                <w:color w:val="000000" w:themeColor="text1"/>
                <w:sz w:val="18"/>
                <w:szCs w:val="18"/>
              </w:rPr>
            </w:pPr>
          </w:p>
        </w:tc>
        <w:tc>
          <w:tcPr>
            <w:tcW w:w="11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1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7" w:type="dxa"/>
            <w:gridSpan w:val="2"/>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6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7" w:type="dxa"/>
            <w:gridSpan w:val="2"/>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1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7" w:type="dxa"/>
            <w:gridSpan w:val="2"/>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1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7" w:type="dxa"/>
            <w:gridSpan w:val="2"/>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6" w:type="dxa"/>
            <w:vMerge w:val="continue"/>
            <w:vAlign w:val="center"/>
          </w:tcPr>
          <w:p>
            <w:pPr>
              <w:jc w:val="cente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39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1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7" w:type="dxa"/>
            <w:gridSpan w:val="2"/>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8718" w:type="dxa"/>
            <w:gridSpan w:val="8"/>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8718" w:type="dxa"/>
            <w:gridSpan w:val="8"/>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1.《医疗废物管理条例》第十四条 第二款 禁止在运送过程中丢弃医疗废物；禁止在非贮存地点倾倒、堆放医疗废物或者将医疗废物混入其他废物和生活垃圾。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在运送过程中丢弃医疗废物，在非贮存地点倾倒、堆放医疗废物或者将医疗废物混入其他废物和生活垃圾的；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八条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1万元以上10万元以下的罚款。</w:t>
      </w: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6" w:name="_Toc3370"/>
      <w:bookmarkStart w:id="337" w:name="_Toc26591"/>
      <w:r>
        <w:rPr>
          <w:rFonts w:hint="eastAsia" w:ascii="仿宋" w:hAnsi="仿宋" w:eastAsia="仿宋" w:cs="仿宋"/>
          <w:b/>
          <w:bCs/>
          <w:color w:val="000000" w:themeColor="text1"/>
          <w:kern w:val="0"/>
          <w:sz w:val="24"/>
        </w:rPr>
        <w:t>表115(一)未执行危险废物转移联单管理制度的；(二)将医疗废物交给或委托给未取得经营许可证的单位或者个人收集、运送、贮存、处置的罚款幅度裁定</w:t>
      </w:r>
      <w:bookmarkEnd w:id="336"/>
      <w:bookmarkEnd w:id="337"/>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1120"/>
        <w:gridCol w:w="777"/>
        <w:gridCol w:w="1184"/>
        <w:gridCol w:w="2772"/>
        <w:gridCol w:w="625"/>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3369"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50" w:type="dxa"/>
            <w:gridSpan w:val="4"/>
          </w:tcPr>
          <w:p>
            <w:pPr>
              <w:spacing w:before="177" w:line="184" w:lineRule="auto"/>
              <w:ind w:firstLine="158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7" w:hRule="atLeast"/>
        </w:trPr>
        <w:tc>
          <w:tcPr>
            <w:tcW w:w="147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5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2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147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1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18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涉及医疗废物1吨以下的</w:t>
            </w:r>
          </w:p>
        </w:tc>
        <w:tc>
          <w:tcPr>
            <w:tcW w:w="277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未执行危险废物转移联单管理制度的，但转移给有资质单位的。</w:t>
            </w:r>
          </w:p>
        </w:tc>
        <w:tc>
          <w:tcPr>
            <w:tcW w:w="62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9" w:type="dxa"/>
            <w:tcBorders>
              <w:left w:val="single" w:color="auto" w:sz="4" w:space="0"/>
              <w:bottom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1472" w:type="dxa"/>
            <w:vMerge w:val="continue"/>
            <w:vAlign w:val="center"/>
          </w:tcPr>
          <w:p>
            <w:pPr>
              <w:jc w:val="center"/>
              <w:rPr>
                <w:rFonts w:ascii="仿宋" w:hAnsi="仿宋" w:eastAsia="仿宋" w:cs="仿宋"/>
                <w:color w:val="000000" w:themeColor="text1"/>
                <w:spacing w:val="-7"/>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118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77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未转移给有资质单位的</w:t>
            </w:r>
          </w:p>
        </w:tc>
        <w:tc>
          <w:tcPr>
            <w:tcW w:w="62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top w:val="single" w:color="auto" w:sz="4" w:space="0"/>
              <w:left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8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涉及医疗废物1吨以上3吨以下的</w:t>
            </w:r>
          </w:p>
        </w:tc>
        <w:tc>
          <w:tcPr>
            <w:tcW w:w="277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未执行危险废物转移联单管理制度的，但转移给有资质单位的。</w:t>
            </w:r>
          </w:p>
        </w:tc>
        <w:tc>
          <w:tcPr>
            <w:tcW w:w="62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9" w:type="dxa"/>
            <w:tcBorders>
              <w:left w:val="single" w:color="auto" w:sz="4" w:space="0"/>
              <w:bottom w:val="single" w:color="auto" w:sz="4" w:space="0"/>
            </w:tcBorders>
          </w:tcPr>
          <w:p>
            <w:pPr>
              <w:spacing w:before="198"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3"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8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77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未转移给有资质单位的</w:t>
            </w:r>
          </w:p>
        </w:tc>
        <w:tc>
          <w:tcPr>
            <w:tcW w:w="62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9" w:type="dxa"/>
            <w:tcBorders>
              <w:top w:val="single" w:color="auto" w:sz="4" w:space="0"/>
              <w:left w:val="single" w:color="auto" w:sz="4" w:space="0"/>
            </w:tcBorders>
          </w:tcPr>
          <w:p>
            <w:pPr>
              <w:spacing w:before="198"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1472" w:type="dxa"/>
            <w:vMerge w:val="continue"/>
            <w:tcBorders>
              <w:top w:val="nil"/>
            </w:tcBorders>
            <w:vAlign w:val="center"/>
          </w:tcPr>
          <w:p>
            <w:pPr>
              <w:jc w:val="center"/>
              <w:rPr>
                <w:rFonts w:ascii="Malgun Gothic"/>
                <w:color w:val="000000" w:themeColor="text1"/>
                <w:sz w:val="18"/>
                <w:szCs w:val="18"/>
              </w:rPr>
            </w:pPr>
          </w:p>
        </w:tc>
        <w:tc>
          <w:tcPr>
            <w:tcW w:w="11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8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涉及医疗废物3吨以上的</w:t>
            </w:r>
          </w:p>
        </w:tc>
        <w:tc>
          <w:tcPr>
            <w:tcW w:w="277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未执行危险废物转移联单管理制度的，但转移给有资质单位的。</w:t>
            </w:r>
          </w:p>
        </w:tc>
        <w:tc>
          <w:tcPr>
            <w:tcW w:w="62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9" w:type="dxa"/>
            <w:tcBorders>
              <w:left w:val="single" w:color="auto" w:sz="4" w:space="0"/>
              <w:bottom w:val="single" w:color="auto" w:sz="4" w:space="0"/>
            </w:tcBorders>
          </w:tcPr>
          <w:p>
            <w:pPr>
              <w:spacing w:before="42"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118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77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未转移给有资质单位的</w:t>
            </w:r>
          </w:p>
        </w:tc>
        <w:tc>
          <w:tcPr>
            <w:tcW w:w="62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69" w:type="dxa"/>
            <w:tcBorders>
              <w:top w:val="single" w:color="auto" w:sz="4" w:space="0"/>
              <w:left w:val="single" w:color="auto" w:sz="4" w:space="0"/>
            </w:tcBorders>
          </w:tcPr>
          <w:p>
            <w:pPr>
              <w:spacing w:before="42"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20"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9" w:type="dxa"/>
            <w:tcBorders>
              <w:left w:val="single" w:color="auto" w:sz="4" w:space="0"/>
            </w:tcBorders>
          </w:tcPr>
          <w:p>
            <w:pPr>
              <w:spacing w:before="90" w:line="184" w:lineRule="auto"/>
              <w:ind w:firstLine="430"/>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tcBorders>
              <w:top w:val="nil"/>
            </w:tcBorders>
            <w:vAlign w:val="center"/>
          </w:tcPr>
          <w:p>
            <w:pPr>
              <w:jc w:val="center"/>
              <w:rPr>
                <w:rFonts w:ascii="Malgun Gothic"/>
                <w:color w:val="000000" w:themeColor="text1"/>
                <w:sz w:val="18"/>
                <w:szCs w:val="18"/>
              </w:rPr>
            </w:pPr>
          </w:p>
        </w:tc>
        <w:tc>
          <w:tcPr>
            <w:tcW w:w="11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1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tcBorders>
              <w:top w:val="nil"/>
            </w:tcBorders>
            <w:vAlign w:val="center"/>
          </w:tcPr>
          <w:p>
            <w:pPr>
              <w:jc w:val="center"/>
              <w:rPr>
                <w:rFonts w:ascii="Malgun Gothic"/>
                <w:color w:val="000000" w:themeColor="text1"/>
                <w:sz w:val="18"/>
                <w:szCs w:val="18"/>
              </w:rPr>
            </w:pPr>
          </w:p>
        </w:tc>
        <w:tc>
          <w:tcPr>
            <w:tcW w:w="11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1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9"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9"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39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1.《医疗废物管理条例》第十一条 医疗卫生机构和医疗废物集中处置单位，应当依照《中华人民共和国固体废物污染环境防治法》的规定，执行危险废物转移联单管理制度。</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第二十二条 从事医疗废物集中处置活动的单位，应当向县级以上人民政府环境保护行政主管部门申请领取经营许可证；未取得经营许可证的单位，不得从事有关医疗废物集中处置的活动。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(二)未执行危险废物转移联单管理制度的；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(三)将医疗废物交给未取得经营许可证的单位或者个人收集、运送、贮存、处置的；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2万元以上二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(一)未执行危险废物转移联单管理制度的；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(二)将医疗废物交给或委托给未取得经营许可证的单位或者个人收集、运送、贮存、处置的。</w:t>
      </w: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8" w:name="_Toc14157"/>
      <w:bookmarkStart w:id="339" w:name="_Toc2978"/>
      <w:r>
        <w:rPr>
          <w:rFonts w:hint="eastAsia" w:ascii="仿宋" w:hAnsi="仿宋" w:eastAsia="仿宋" w:cs="仿宋"/>
          <w:b/>
          <w:bCs/>
          <w:color w:val="000000" w:themeColor="text1"/>
          <w:kern w:val="0"/>
          <w:sz w:val="24"/>
        </w:rPr>
        <w:t>表116对医疗废物的处置不符合国家规定的环境保护、卫生标准、规范的罚款幅度裁定</w:t>
      </w:r>
      <w:bookmarkEnd w:id="338"/>
      <w:bookmarkEnd w:id="339"/>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1446"/>
        <w:gridCol w:w="1105"/>
        <w:gridCol w:w="1461"/>
        <w:gridCol w:w="1584"/>
        <w:gridCol w:w="745"/>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trPr>
        <w:tc>
          <w:tcPr>
            <w:tcW w:w="3959"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0" w:type="dxa"/>
            <w:gridSpan w:val="4"/>
          </w:tcPr>
          <w:p>
            <w:pPr>
              <w:spacing w:before="177" w:line="184" w:lineRule="auto"/>
              <w:ind w:firstLine="158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140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4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05" w:type="dxa"/>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045" w:type="dxa"/>
            <w:gridSpan w:val="2"/>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745" w:type="dxa"/>
            <w:tcBorders>
              <w:right w:val="single" w:color="auto" w:sz="4" w:space="0"/>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6"/>
                <w:sz w:val="18"/>
                <w:szCs w:val="18"/>
              </w:rPr>
              <w:t>百分值</w:t>
            </w:r>
          </w:p>
        </w:tc>
        <w:tc>
          <w:tcPr>
            <w:tcW w:w="610" w:type="dxa"/>
            <w:tcBorders>
              <w:lef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0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医疗机构级别</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6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一级医疗卫生机构的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7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left w:val="single" w:color="auto" w:sz="4" w:space="0"/>
              <w:bottom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08" w:type="dxa"/>
            <w:vMerge w:val="continue"/>
            <w:vAlign w:val="center"/>
          </w:tcPr>
          <w:p>
            <w:pPr>
              <w:jc w:val="center"/>
              <w:rPr>
                <w:rFonts w:ascii="仿宋" w:hAnsi="仿宋" w:eastAsia="仿宋" w:cs="仿宋"/>
                <w:color w:val="000000" w:themeColor="text1"/>
                <w:spacing w:val="-7"/>
                <w:sz w:val="18"/>
                <w:szCs w:val="18"/>
              </w:rPr>
            </w:pPr>
          </w:p>
        </w:tc>
        <w:tc>
          <w:tcPr>
            <w:tcW w:w="1446" w:type="dxa"/>
            <w:vMerge w:val="continue"/>
            <w:vAlign w:val="center"/>
          </w:tcPr>
          <w:p>
            <w:pPr>
              <w:jc w:val="center"/>
              <w:rPr>
                <w:rFonts w:ascii="仿宋" w:hAnsi="仿宋" w:eastAsia="仿宋" w:cs="仿宋"/>
                <w:color w:val="000000" w:themeColor="text1"/>
                <w:spacing w:val="-1"/>
                <w:sz w:val="18"/>
                <w:szCs w:val="18"/>
              </w:rPr>
            </w:pPr>
          </w:p>
        </w:tc>
        <w:tc>
          <w:tcPr>
            <w:tcW w:w="1105" w:type="dxa"/>
            <w:vMerge w:val="continue"/>
            <w:vAlign w:val="center"/>
          </w:tcPr>
          <w:p>
            <w:pPr>
              <w:jc w:val="center"/>
              <w:rPr>
                <w:rFonts w:ascii="仿宋" w:hAnsi="仿宋" w:eastAsia="仿宋" w:cs="仿宋"/>
                <w:color w:val="000000" w:themeColor="text1"/>
                <w:spacing w:val="-1"/>
                <w:sz w:val="18"/>
                <w:szCs w:val="18"/>
              </w:rPr>
            </w:pPr>
          </w:p>
        </w:tc>
        <w:tc>
          <w:tcPr>
            <w:tcW w:w="146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w:t>
            </w:r>
          </w:p>
        </w:tc>
        <w:tc>
          <w:tcPr>
            <w:tcW w:w="7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auto" w:sz="4" w:space="0"/>
              <w:left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6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二级医疗卫生机构的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7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left w:val="single" w:color="auto" w:sz="4" w:space="0"/>
              <w:bottom w:val="single" w:color="auto" w:sz="4" w:space="0"/>
            </w:tcBorders>
          </w:tcPr>
          <w:p>
            <w:pPr>
              <w:spacing w:before="42"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6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w:t>
            </w:r>
          </w:p>
        </w:tc>
        <w:tc>
          <w:tcPr>
            <w:tcW w:w="7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auto" w:sz="4" w:space="0"/>
              <w:left w:val="single" w:color="auto" w:sz="4" w:space="0"/>
            </w:tcBorders>
          </w:tcPr>
          <w:p>
            <w:pPr>
              <w:spacing w:before="42"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4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6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三级医疗卫生机构/医疗废物集中处置单位的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7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0" w:type="dxa"/>
            <w:tcBorders>
              <w:left w:val="single" w:color="auto" w:sz="4" w:space="0"/>
              <w:bottom w:val="single" w:color="auto" w:sz="4" w:space="0"/>
            </w:tcBorders>
          </w:tcPr>
          <w:p>
            <w:pPr>
              <w:spacing w:before="197"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08" w:type="dxa"/>
            <w:vMerge w:val="continue"/>
            <w:vAlign w:val="center"/>
          </w:tcPr>
          <w:p>
            <w:pPr>
              <w:jc w:val="center"/>
              <w:rPr>
                <w:rFonts w:ascii="Malgun Gothic"/>
                <w:color w:val="000000" w:themeColor="text1"/>
                <w:sz w:val="18"/>
                <w:szCs w:val="18"/>
              </w:rPr>
            </w:pPr>
          </w:p>
        </w:tc>
        <w:tc>
          <w:tcPr>
            <w:tcW w:w="1446" w:type="dxa"/>
            <w:vMerge w:val="continue"/>
            <w:vAlign w:val="center"/>
          </w:tcPr>
          <w:p>
            <w:pPr>
              <w:jc w:val="center"/>
              <w:rPr>
                <w:rFonts w:ascii="仿宋" w:hAnsi="仿宋" w:eastAsia="仿宋" w:cs="仿宋"/>
                <w:color w:val="000000" w:themeColor="text1"/>
                <w:spacing w:val="-1"/>
                <w:sz w:val="18"/>
                <w:szCs w:val="18"/>
              </w:rPr>
            </w:pPr>
          </w:p>
        </w:tc>
        <w:tc>
          <w:tcPr>
            <w:tcW w:w="1105" w:type="dxa"/>
            <w:vMerge w:val="continue"/>
            <w:vAlign w:val="center"/>
          </w:tcPr>
          <w:p>
            <w:pPr>
              <w:jc w:val="center"/>
              <w:rPr>
                <w:rFonts w:ascii="仿宋" w:hAnsi="仿宋" w:eastAsia="仿宋" w:cs="仿宋"/>
                <w:color w:val="000000" w:themeColor="text1"/>
                <w:spacing w:val="-1"/>
                <w:sz w:val="18"/>
                <w:szCs w:val="18"/>
              </w:rPr>
            </w:pPr>
          </w:p>
        </w:tc>
        <w:tc>
          <w:tcPr>
            <w:tcW w:w="146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w:t>
            </w:r>
          </w:p>
        </w:tc>
        <w:tc>
          <w:tcPr>
            <w:tcW w:w="7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0" w:type="dxa"/>
            <w:tcBorders>
              <w:top w:val="single" w:color="auto" w:sz="4" w:space="0"/>
              <w:left w:val="single" w:color="auto" w:sz="4" w:space="0"/>
            </w:tcBorders>
          </w:tcPr>
          <w:p>
            <w:pPr>
              <w:spacing w:before="197"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left w:val="single" w:color="auto" w:sz="4" w:space="0"/>
            </w:tcBorders>
          </w:tcPr>
          <w:p>
            <w:pPr>
              <w:spacing w:before="41" w:line="184" w:lineRule="auto"/>
              <w:ind w:firstLine="430"/>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left w:val="single" w:color="auto" w:sz="4" w:space="0"/>
            </w:tcBorders>
          </w:tcPr>
          <w:p>
            <w:pPr>
              <w:spacing w:before="43" w:line="184" w:lineRule="auto"/>
              <w:ind w:firstLine="373"/>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left w:val="single" w:color="auto" w:sz="4" w:space="0"/>
            </w:tcBorders>
          </w:tcPr>
          <w:p>
            <w:pPr>
              <w:spacing w:before="42" w:line="184" w:lineRule="auto"/>
              <w:ind w:firstLine="373"/>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4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left w:val="single" w:color="auto" w:sz="4" w:space="0"/>
            </w:tcBorders>
          </w:tcPr>
          <w:p>
            <w:pPr>
              <w:spacing w:before="42" w:line="184" w:lineRule="auto"/>
              <w:ind w:firstLine="367"/>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left w:val="single" w:color="auto" w:sz="4" w:space="0"/>
            </w:tcBorders>
          </w:tcPr>
          <w:p>
            <w:pPr>
              <w:spacing w:before="42" w:line="184" w:lineRule="auto"/>
              <w:ind w:firstLine="435"/>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tcPr>
          <w:p>
            <w:pP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left w:val="single" w:color="auto" w:sz="4" w:space="0"/>
            </w:tcBorders>
          </w:tcPr>
          <w:p>
            <w:pPr>
              <w:spacing w:before="197" w:line="184" w:lineRule="auto"/>
              <w:ind w:firstLine="25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tcBorders>
          </w:tcPr>
          <w:p>
            <w:pPr>
              <w:rPr>
                <w:rFonts w:ascii="Malgun Gothic"/>
                <w:color w:val="000000" w:themeColor="text1"/>
                <w:sz w:val="18"/>
                <w:szCs w:val="18"/>
              </w:rPr>
            </w:pPr>
          </w:p>
        </w:tc>
        <w:tc>
          <w:tcPr>
            <w:tcW w:w="14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left w:val="single" w:color="auto" w:sz="4" w:space="0"/>
            </w:tcBorders>
          </w:tcPr>
          <w:p>
            <w:pPr>
              <w:spacing w:before="41" w:line="184" w:lineRule="auto"/>
              <w:ind w:firstLine="18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4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08" w:type="dxa"/>
            <w:vMerge w:val="continue"/>
            <w:vAlign w:val="center"/>
          </w:tcPr>
          <w:p>
            <w:pPr>
              <w:jc w:val="center"/>
              <w:rPr>
                <w:rFonts w:ascii="Malgun Gothic"/>
                <w:color w:val="000000" w:themeColor="text1"/>
                <w:sz w:val="18"/>
                <w:szCs w:val="18"/>
              </w:rPr>
            </w:pPr>
          </w:p>
        </w:tc>
        <w:tc>
          <w:tcPr>
            <w:tcW w:w="1446" w:type="dxa"/>
            <w:vMerge w:val="continue"/>
            <w:vAlign w:val="center"/>
          </w:tcPr>
          <w:p>
            <w:pPr>
              <w:jc w:val="center"/>
              <w:rPr>
                <w:rFonts w:ascii="仿宋" w:hAnsi="仿宋" w:eastAsia="仿宋" w:cs="仿宋"/>
                <w:color w:val="000000" w:themeColor="text1"/>
                <w:spacing w:val="-1"/>
                <w:sz w:val="18"/>
                <w:szCs w:val="18"/>
              </w:rPr>
            </w:pPr>
          </w:p>
        </w:tc>
        <w:tc>
          <w:tcPr>
            <w:tcW w:w="1105" w:type="dxa"/>
            <w:vMerge w:val="continue"/>
            <w:vAlign w:val="center"/>
          </w:tcPr>
          <w:p>
            <w:pPr>
              <w:jc w:val="center"/>
              <w:rPr>
                <w:rFonts w:ascii="仿宋" w:hAnsi="仿宋" w:eastAsia="仿宋" w:cs="仿宋"/>
                <w:color w:val="000000" w:themeColor="text1"/>
                <w:spacing w:val="-1"/>
                <w:sz w:val="18"/>
                <w:szCs w:val="18"/>
              </w:rPr>
            </w:pPr>
          </w:p>
        </w:tc>
        <w:tc>
          <w:tcPr>
            <w:tcW w:w="304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8"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第二十九条 医疗废物集中处置单位处置医疗废物，应当符合国家规定的环境保护、卫生标准、规范。</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(四)对医疗废物的处置不符合国家规定的环境保护、卫生标准、规范的；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3.《医疗废物管理行政处罚办法》第九条 医疗废物集中处置单位和依照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自行建有医疗废物处置设施的医疗卫生机构，有</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"https://www.itslaw.com/search/lawsAndRegulations/lawAndRegulation?searchMode=lawsAndRegulations&amp;lawAndRegulationId=b9ffe1f5-7332-460e-af2a-4c0fbd03209d&amp;lawRegulationArticleId=1000208419" </w:instrText>
      </w:r>
      <w:r>
        <w:rPr>
          <w:color w:val="000000" w:themeColor="text1"/>
        </w:rPr>
        <w:fldChar w:fldCharType="separate"/>
      </w:r>
      <w:r>
        <w:rPr>
          <w:rFonts w:hint="eastAsia" w:ascii="仿宋_GB2312" w:hAnsi="仿宋_GB2312" w:eastAsia="仿宋_GB2312" w:cs="仿宋_GB2312"/>
          <w:color w:val="000000" w:themeColor="text1"/>
          <w:szCs w:val="21"/>
        </w:rPr>
        <w:t>第四十七条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规定的情形，</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40" w:name="_Toc32601"/>
      <w:bookmarkStart w:id="341" w:name="_Toc1400"/>
      <w:r>
        <w:rPr>
          <w:rFonts w:hint="eastAsia" w:ascii="仿宋" w:hAnsi="仿宋" w:eastAsia="仿宋" w:cs="仿宋"/>
          <w:b/>
          <w:bCs/>
          <w:color w:val="000000" w:themeColor="text1"/>
          <w:kern w:val="0"/>
          <w:sz w:val="24"/>
        </w:rPr>
        <w:t>表117医疗卫生机构、医疗废物集中处置单位发生医疗废物流失、泄漏、扩散时，未采取紧急处理措施，或者未及时向卫生行政主管部门和环境保护行政主管部门报告的罚款幅度裁定</w:t>
      </w:r>
      <w:bookmarkEnd w:id="340"/>
      <w:bookmarkEnd w:id="341"/>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3"/>
        <w:gridCol w:w="1083"/>
        <w:gridCol w:w="891"/>
        <w:gridCol w:w="1859"/>
        <w:gridCol w:w="1983"/>
        <w:gridCol w:w="597"/>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343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6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7" w:hRule="atLeast"/>
        </w:trPr>
        <w:tc>
          <w:tcPr>
            <w:tcW w:w="146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8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9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4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0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医疗卫生机构、医疗废物集中处置单位发生医疗废物流失、泄漏、扩散时，未及时向环境保护行政主管部门报告的</w:t>
            </w:r>
          </w:p>
        </w:tc>
        <w:tc>
          <w:tcPr>
            <w:tcW w:w="198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涉及300斤以上600斤以下</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涉及600斤以上900斤以下</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涉及900斤以上</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Borders>
              <w:top w:val="nil"/>
            </w:tcBorders>
          </w:tcPr>
          <w:p>
            <w:pPr>
              <w:rPr>
                <w:rFonts w:ascii="Malgun Gothic"/>
                <w:color w:val="000000" w:themeColor="text1"/>
                <w:sz w:val="18"/>
                <w:szCs w:val="18"/>
              </w:rPr>
            </w:pPr>
          </w:p>
        </w:tc>
        <w:tc>
          <w:tcPr>
            <w:tcW w:w="10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医疗卫生机构、医疗废物集中处置单位发生医疗废物流失、泄漏、扩散时，未采取紧急处理措施的</w:t>
            </w:r>
          </w:p>
        </w:tc>
        <w:tc>
          <w:tcPr>
            <w:tcW w:w="198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Pr>
          <w:p>
            <w:pPr>
              <w:rPr>
                <w:rFonts w:ascii="Malgun Gothic"/>
                <w:color w:val="000000" w:themeColor="text1"/>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涉及300斤以上600斤以下</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Pr>
          <w:p>
            <w:pPr>
              <w:rPr>
                <w:rFonts w:ascii="Malgun Gothic"/>
                <w:color w:val="000000" w:themeColor="text1"/>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涉及600斤以上900斤以下</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Pr>
          <w:p>
            <w:pPr>
              <w:rPr>
                <w:rFonts w:ascii="Malgun Gothic"/>
                <w:color w:val="000000" w:themeColor="text1"/>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涉及900斤以上</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0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Borders>
              <w:top w:val="nil"/>
              <w:bottom w:val="nil"/>
            </w:tcBorders>
            <w:vAlign w:val="center"/>
          </w:tcPr>
          <w:p>
            <w:pPr>
              <w:jc w:val="center"/>
              <w:rPr>
                <w:rFonts w:ascii="Malgun Gothic"/>
                <w:color w:val="000000" w:themeColor="text1"/>
                <w:sz w:val="18"/>
                <w:szCs w:val="18"/>
              </w:rPr>
            </w:pPr>
          </w:p>
        </w:tc>
        <w:tc>
          <w:tcPr>
            <w:tcW w:w="10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Borders>
              <w:top w:val="nil"/>
              <w:bottom w:val="nil"/>
            </w:tcBorders>
            <w:vAlign w:val="center"/>
          </w:tcPr>
          <w:p>
            <w:pPr>
              <w:jc w:val="center"/>
              <w:rPr>
                <w:rFonts w:ascii="Malgun Gothic"/>
                <w:color w:val="000000" w:themeColor="text1"/>
                <w:sz w:val="18"/>
                <w:szCs w:val="18"/>
              </w:rPr>
            </w:pPr>
          </w:p>
        </w:tc>
        <w:tc>
          <w:tcPr>
            <w:tcW w:w="10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Borders>
              <w:top w:val="nil"/>
            </w:tcBorders>
            <w:vAlign w:val="center"/>
          </w:tcPr>
          <w:p>
            <w:pPr>
              <w:jc w:val="center"/>
              <w:rPr>
                <w:rFonts w:ascii="Malgun Gothic"/>
                <w:color w:val="000000" w:themeColor="text1"/>
                <w:sz w:val="18"/>
                <w:szCs w:val="18"/>
              </w:rPr>
            </w:pPr>
          </w:p>
        </w:tc>
        <w:tc>
          <w:tcPr>
            <w:tcW w:w="10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0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Borders>
              <w:top w:val="nil"/>
            </w:tcBorders>
            <w:vAlign w:val="center"/>
          </w:tcPr>
          <w:p>
            <w:pPr>
              <w:jc w:val="center"/>
              <w:rPr>
                <w:rFonts w:ascii="Malgun Gothic"/>
                <w:color w:val="000000" w:themeColor="text1"/>
                <w:sz w:val="18"/>
                <w:szCs w:val="18"/>
              </w:rPr>
            </w:pPr>
          </w:p>
        </w:tc>
        <w:tc>
          <w:tcPr>
            <w:tcW w:w="10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0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9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384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38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38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384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3"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8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3"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9" w:hRule="atLeast"/>
        </w:trPr>
        <w:tc>
          <w:tcPr>
            <w:tcW w:w="849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6" w:hRule="atLeast"/>
        </w:trPr>
        <w:tc>
          <w:tcPr>
            <w:tcW w:w="849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1.《医疗废物管理条例》第十三条 医疗卫生机构和医疗废物集中处置单位，应当采取有效措施，防止医疗废物流失、泄漏、扩散。</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3.《医疗废物管理行政处罚办法》第十一条 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Cs w:val="21"/>
        </w:rPr>
      </w:pPr>
      <w:bookmarkStart w:id="342" w:name="_Toc18057"/>
      <w:bookmarkStart w:id="343" w:name="_Toc13194"/>
      <w:r>
        <w:rPr>
          <w:rFonts w:hint="eastAsia" w:ascii="仿宋" w:hAnsi="仿宋" w:eastAsia="仿宋" w:cs="仿宋"/>
          <w:b/>
          <w:bCs/>
          <w:color w:val="000000" w:themeColor="text1"/>
          <w:kern w:val="0"/>
          <w:szCs w:val="21"/>
        </w:rPr>
        <w:t>表118医疗卫生机构、医疗废物集中处置单位阻碍环境保护行政主管部门 执法人员执行职务，拒绝执法人员进入现场，或者不配合执法部门的检查、监测、调查取证的罚款幅度裁</w:t>
      </w:r>
      <w:bookmarkEnd w:id="342"/>
      <w:bookmarkEnd w:id="343"/>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2"/>
        <w:gridCol w:w="1230"/>
        <w:gridCol w:w="1013"/>
        <w:gridCol w:w="2111"/>
        <w:gridCol w:w="1451"/>
        <w:gridCol w:w="553"/>
        <w:gridCol w:w="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390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166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13" w:type="dxa"/>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562" w:type="dxa"/>
            <w:gridSpan w:val="2"/>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10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restart"/>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230"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13"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0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vAlign w:val="center"/>
          </w:tcPr>
          <w:p>
            <w:pPr>
              <w:jc w:val="center"/>
              <w:rPr>
                <w:rFonts w:ascii="仿宋" w:hAnsi="仿宋" w:eastAsia="仿宋" w:cs="仿宋"/>
                <w:color w:val="000000" w:themeColor="text1"/>
                <w:spacing w:val="-7"/>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vAlign w:val="center"/>
          </w:tcPr>
          <w:p>
            <w:pPr>
              <w:jc w:val="center"/>
              <w:rPr>
                <w:rFonts w:ascii="仿宋" w:hAnsi="仿宋" w:eastAsia="仿宋" w:cs="仿宋"/>
                <w:color w:val="000000" w:themeColor="text1"/>
                <w:spacing w:val="-7"/>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tcBorders>
              <w:top w:val="nil"/>
              <w:bottom w:val="nil"/>
            </w:tcBorders>
            <w:vAlign w:val="center"/>
          </w:tcPr>
          <w:p>
            <w:pPr>
              <w:jc w:val="center"/>
              <w:rPr>
                <w:rFonts w:ascii="Malgun Gothic"/>
                <w:color w:val="000000" w:themeColor="text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9"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662" w:type="dxa"/>
            <w:vMerge w:val="continue"/>
            <w:vAlign w:val="center"/>
          </w:tcPr>
          <w:p>
            <w:pPr>
              <w:jc w:val="center"/>
              <w:rPr>
                <w:rFonts w:ascii="Malgun Gothic"/>
                <w:color w:val="000000" w:themeColor="text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9"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 的，由原发证部门暂扣或者吊销执业许可证件或者经营许可证件； 触犯《中华人民共和国治安管理处罚法》，构成违反治安管理行为 的，由公安机关依法予以处罚；构成犯罪的，依法追究刑事责任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2.《医疗废物管理行政处罚办法》第十二条 第二款 医疗卫生机构、医疗废物集中处置单位阻碍环境保护行政主管部门执法人员执行职务，拒绝执法人员进入现场，或者不配合执法部门的检查、监测、调查取证的，由县级以上地方人民政府环境保护行政主管部门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"https://www.itslaw.com/search/lawsAndRegulations/lawAndRegulation?searchMode=lawsAndRegulations&amp;lawAndRegulationId=c26bc53c-b04e-4f36-b6be-64f4376335f8&amp;lawRegulationArticleId=2383014" </w:instrText>
      </w:r>
      <w:r>
        <w:rPr>
          <w:color w:val="000000" w:themeColor="text1"/>
        </w:rPr>
        <w:fldChar w:fldCharType="separate"/>
      </w:r>
      <w:r>
        <w:rPr>
          <w:rFonts w:hint="eastAsia" w:ascii="仿宋_GB2312" w:hAnsi="仿宋_GB2312" w:eastAsia="仿宋_GB2312" w:cs="仿宋_GB2312"/>
          <w:color w:val="000000" w:themeColor="text1"/>
          <w:szCs w:val="21"/>
        </w:rPr>
        <w:t>《中华人民共和国固体废物污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中华人民共和国固体废物污染环境防治法》</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"https://www.itslaw.com/search/lawsAndRegulations/lawAndRegulation?searchMode=lawsAndRegulations&amp;lawAndRegulationId=c26bc53c-b04e-4f36-b6be-64f4376335f8&amp;lawRegulationArticleId=1000057230" </w:instrText>
      </w:r>
      <w:r>
        <w:rPr>
          <w:color w:val="000000" w:themeColor="text1"/>
        </w:rPr>
        <w:fldChar w:fldCharType="separate"/>
      </w:r>
      <w:r>
        <w:rPr>
          <w:rFonts w:hint="eastAsia" w:ascii="仿宋_GB2312" w:hAnsi="仿宋_GB2312" w:eastAsia="仿宋_GB2312" w:cs="仿宋_GB2312"/>
          <w:color w:val="000000" w:themeColor="text1"/>
          <w:szCs w:val="21"/>
        </w:rPr>
        <w:t>第七十条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规定责令限期改正；拒不改正或者在检查 时弄虚作假的，处二千元以上2万元以下的罚款。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2"/>
        <w:rPr>
          <w:rFonts w:ascii="黑体" w:hAnsi="黑体" w:eastAsia="黑体" w:cs="黑体"/>
          <w:b/>
          <w:bCs/>
          <w:color w:val="000000" w:themeColor="text1"/>
          <w:spacing w:val="1"/>
          <w:sz w:val="28"/>
          <w:szCs w:val="28"/>
        </w:rPr>
      </w:pPr>
      <w:bookmarkStart w:id="344" w:name="_Toc24081"/>
      <w:bookmarkStart w:id="345" w:name="_Toc7625"/>
      <w:bookmarkStart w:id="346" w:name="_Toc6040"/>
      <w:r>
        <w:rPr>
          <w:rFonts w:hint="eastAsia" w:ascii="黑体" w:hAnsi="黑体" w:eastAsia="黑体" w:cs="黑体"/>
          <w:b/>
          <w:bCs/>
          <w:color w:val="000000" w:themeColor="text1"/>
          <w:spacing w:val="1"/>
          <w:sz w:val="28"/>
          <w:szCs w:val="28"/>
        </w:rPr>
        <w:t>六、本溪市生态环境局环境行政处罚裁量规则(辐射类)</w:t>
      </w:r>
      <w:bookmarkEnd w:id="344"/>
      <w:bookmarkEnd w:id="345"/>
      <w:bookmarkEnd w:id="346"/>
    </w:p>
    <w:p>
      <w:pPr>
        <w:jc w:val="center"/>
        <w:outlineLvl w:val="3"/>
        <w:rPr>
          <w:rFonts w:ascii="仿宋" w:hAnsi="仿宋" w:eastAsia="仿宋" w:cs="仿宋"/>
          <w:b/>
          <w:bCs/>
          <w:color w:val="000000" w:themeColor="text1"/>
          <w:kern w:val="0"/>
          <w:sz w:val="24"/>
          <w:lang w:val="zh-CN"/>
        </w:rPr>
      </w:pPr>
      <w:bookmarkStart w:id="347" w:name="_Toc5659"/>
      <w:bookmarkStart w:id="348" w:name="_Toc2692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119</w:t>
      </w:r>
      <w:r>
        <w:rPr>
          <w:rFonts w:hint="eastAsia" w:ascii="仿宋" w:hAnsi="仿宋" w:eastAsia="仿宋" w:cs="仿宋"/>
          <w:b/>
          <w:bCs/>
          <w:color w:val="000000" w:themeColor="text1"/>
          <w:kern w:val="0"/>
          <w:sz w:val="24"/>
          <w:lang w:val="zh-CN"/>
        </w:rPr>
        <w:t>不按照规定报告有关环境监测结果的罚款幅度裁定</w:t>
      </w:r>
      <w:bookmarkEnd w:id="347"/>
      <w:bookmarkEnd w:id="348"/>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025"/>
        <w:gridCol w:w="1086"/>
        <w:gridCol w:w="1421"/>
        <w:gridCol w:w="2260"/>
        <w:gridCol w:w="817"/>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3490"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69" w:type="dxa"/>
            <w:gridSpan w:val="4"/>
          </w:tcPr>
          <w:p>
            <w:pPr>
              <w:spacing w:before="177" w:line="184" w:lineRule="auto"/>
              <w:ind w:firstLine="1596"/>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6" w:hRule="atLeast"/>
        </w:trPr>
        <w:tc>
          <w:tcPr>
            <w:tcW w:w="1379" w:type="dxa"/>
            <w:vAlign w:val="center"/>
          </w:tcPr>
          <w:p>
            <w:pPr>
              <w:spacing w:before="19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25" w:type="dxa"/>
            <w:vAlign w:val="center"/>
          </w:tcPr>
          <w:p>
            <w:pPr>
              <w:spacing w:before="208"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86" w:type="dxa"/>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81" w:type="dxa"/>
            <w:gridSpan w:val="2"/>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817" w:type="dxa"/>
            <w:tcBorders>
              <w:right w:val="single" w:color="auto" w:sz="4" w:space="0"/>
            </w:tcBorders>
          </w:tcPr>
          <w:p>
            <w:pPr>
              <w:spacing w:before="208"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1" w:type="dxa"/>
            <w:tcBorders>
              <w:left w:val="single" w:color="auto" w:sz="4" w:space="0"/>
            </w:tcBorders>
          </w:tcPr>
          <w:p>
            <w:pPr>
              <w:spacing w:before="208"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2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报送有关环境监测结果，不 符合规定的</w:t>
            </w:r>
          </w:p>
        </w:tc>
        <w:tc>
          <w:tcPr>
            <w:tcW w:w="226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1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1" w:type="dxa"/>
            <w:tcBorders>
              <w:top w:val="single" w:color="auto" w:sz="4" w:space="0"/>
              <w:left w:val="single" w:color="auto" w:sz="4" w:space="0"/>
              <w:bottom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bottom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top w:val="single" w:color="auto" w:sz="4" w:space="0"/>
              <w:left w:val="single" w:color="auto" w:sz="4" w:space="0"/>
              <w:bottom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1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2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不报送有关环境监测结果的</w:t>
            </w:r>
          </w:p>
        </w:tc>
        <w:tc>
          <w:tcPr>
            <w:tcW w:w="226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1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1" w:type="dxa"/>
            <w:tcBorders>
              <w:left w:val="single" w:color="auto" w:sz="4" w:space="0"/>
              <w:bottom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71" w:type="dxa"/>
            <w:tcBorders>
              <w:top w:val="single" w:color="auto" w:sz="4" w:space="0"/>
              <w:left w:val="single" w:color="auto" w:sz="4" w:space="0"/>
              <w:bottom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1" w:type="dxa"/>
            <w:tcBorders>
              <w:top w:val="single" w:color="auto" w:sz="4" w:space="0"/>
              <w:left w:val="single" w:color="auto" w:sz="4" w:space="0"/>
              <w:bottom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71" w:type="dxa"/>
            <w:tcBorders>
              <w:top w:val="single" w:color="auto" w:sz="4" w:space="0"/>
              <w:left w:val="single" w:color="auto" w:sz="4" w:space="0"/>
              <w:bottom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1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1" w:type="dxa"/>
            <w:tcBorders>
              <w:top w:val="single" w:color="auto" w:sz="4" w:space="0"/>
              <w:left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tcPr>
          <w:p>
            <w:pPr>
              <w:spacing w:before="41" w:line="184" w:lineRule="auto"/>
              <w:ind w:firstLine="43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bottom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tcPr>
          <w:p>
            <w:pPr>
              <w:spacing w:before="41" w:line="184" w:lineRule="auto"/>
              <w:ind w:firstLine="38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bottom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tcBorders>
          </w:tcPr>
          <w:p>
            <w:pPr>
              <w:spacing w:before="41" w:line="184" w:lineRule="auto"/>
              <w:ind w:firstLine="38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left w:val="single" w:color="auto" w:sz="4" w:space="0"/>
            </w:tcBorders>
          </w:tcPr>
          <w:p>
            <w:pPr>
              <w:spacing w:before="43" w:line="184" w:lineRule="auto"/>
              <w:ind w:firstLine="37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tcPr>
          <w:p>
            <w:pPr>
              <w:spacing w:before="42" w:line="184" w:lineRule="auto"/>
              <w:ind w:firstLine="44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bottom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 消除的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tcPr>
          <w:p>
            <w:pPr>
              <w:spacing w:before="198" w:line="184" w:lineRule="auto"/>
              <w:ind w:firstLine="26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tcPr>
          <w:p>
            <w:pPr>
              <w:spacing w:before="41" w:line="184" w:lineRule="auto"/>
              <w:ind w:firstLine="197"/>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tcPr>
          <w:p>
            <w:pPr>
              <w:spacing w:before="41"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tcPr>
          <w:p>
            <w:pPr>
              <w:spacing w:before="41" w:line="184" w:lineRule="auto"/>
              <w:ind w:firstLine="44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bottom w:val="nil"/>
            </w:tcBorders>
            <w:vAlign w:val="center"/>
          </w:tcPr>
          <w:p>
            <w:pPr>
              <w:jc w:val="center"/>
              <w:rPr>
                <w:rFonts w:ascii="Malgun Gothic"/>
                <w:color w:val="000000" w:themeColor="text1"/>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1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bottom w:val="nil"/>
            </w:tcBorders>
            <w:vAlign w:val="center"/>
          </w:tcPr>
          <w:p>
            <w:pPr>
              <w:jc w:val="center"/>
              <w:rPr>
                <w:rFonts w:ascii="Malgun Gothic"/>
                <w:color w:val="000000" w:themeColor="text1"/>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tcBorders>
              <w:top w:val="nil"/>
              <w:bottom w:val="nil"/>
            </w:tcBorders>
            <w:vAlign w:val="center"/>
          </w:tcPr>
          <w:p>
            <w:pPr>
              <w:jc w:val="center"/>
              <w:rPr>
                <w:rFonts w:ascii="Malgun Gothic"/>
                <w:color w:val="000000" w:themeColor="text1"/>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379" w:type="dxa"/>
            <w:vMerge w:val="continue"/>
            <w:vAlign w:val="center"/>
          </w:tcPr>
          <w:p>
            <w:pPr>
              <w:jc w:val="center"/>
              <w:rPr>
                <w:rFonts w:ascii="Malgun Gothic"/>
                <w:color w:val="000000" w:themeColor="text1"/>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36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1.《中华人民共和国放射性污染防治法》第二十四条 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国务院环境保护行政主管部门负责对核动力厂等重要核设施实施监 督性监测，并根据需要对其他核设施的流出物实施监测。监督性监 测系统的建设、运行和维护费用由财政预算安排。</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2.《中华人民共和国放射性污染防治法》第四十九条 违反本法规定，有下列行为之一的，由县级以上人民政府环境保护行政主管部门或者其他有关部门依据职权责令限期改正，可以处2万元以下罚款：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（一）不按照规定报告有关环境监测结果的；</w:t>
      </w: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left="211" w:right="108" w:hanging="210" w:hangingChars="100"/>
        <w:jc w:val="center"/>
        <w:outlineLvl w:val="1"/>
        <w:rPr>
          <w:b/>
          <w:bCs/>
          <w:color w:val="000000" w:themeColor="text1"/>
          <w:szCs w:val="21"/>
        </w:rPr>
      </w:pPr>
      <w:bookmarkStart w:id="349" w:name="_Toc2719"/>
      <w:bookmarkStart w:id="350" w:name="_Toc18700"/>
      <w:r>
        <w:rPr>
          <w:rFonts w:hint="eastAsia" w:ascii="仿宋" w:hAnsi="仿宋" w:eastAsia="仿宋" w:cs="仿宋"/>
          <w:b/>
          <w:bCs/>
          <w:color w:val="000000" w:themeColor="text1"/>
          <w:kern w:val="0"/>
          <w:szCs w:val="21"/>
          <w:lang w:val="zh-CN"/>
        </w:rPr>
        <w:t>表</w:t>
      </w:r>
      <w:r>
        <w:rPr>
          <w:rFonts w:hint="eastAsia" w:ascii="仿宋" w:hAnsi="仿宋" w:eastAsia="仿宋" w:cs="仿宋"/>
          <w:b/>
          <w:bCs/>
          <w:color w:val="000000" w:themeColor="text1"/>
          <w:kern w:val="0"/>
          <w:szCs w:val="21"/>
        </w:rPr>
        <w:t>120</w:t>
      </w:r>
      <w:r>
        <w:rPr>
          <w:rFonts w:hint="eastAsia" w:ascii="仿宋" w:hAnsi="仿宋" w:eastAsia="仿宋" w:cs="仿宋"/>
          <w:b/>
          <w:bCs/>
          <w:color w:val="000000" w:themeColor="text1"/>
          <w:kern w:val="0"/>
          <w:szCs w:val="21"/>
          <w:lang w:val="zh-CN"/>
        </w:rPr>
        <w:t>拒绝环境保护行政主管部门和其他有关部门进行现场检查，或者被检查时不如实反映情况和提供必要资料的罚款幅度裁定</w:t>
      </w:r>
      <w:bookmarkEnd w:id="349"/>
      <w:bookmarkEnd w:id="350"/>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1356"/>
        <w:gridCol w:w="977"/>
        <w:gridCol w:w="2101"/>
        <w:gridCol w:w="1286"/>
        <w:gridCol w:w="621"/>
        <w:gridCol w:w="6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3" w:hRule="atLeast"/>
        </w:trPr>
        <w:tc>
          <w:tcPr>
            <w:tcW w:w="3887" w:type="dxa"/>
            <w:gridSpan w:val="3"/>
            <w:vAlign w:val="center"/>
          </w:tcPr>
          <w:p>
            <w:pPr>
              <w:jc w:val="center"/>
              <w:rPr>
                <w:rFonts w:ascii="仿宋" w:hAnsi="仿宋" w:eastAsia="仿宋" w:cs="仿宋"/>
                <w:b/>
                <w:bCs/>
                <w:color w:val="000000" w:themeColor="text1"/>
                <w:sz w:val="18"/>
                <w:szCs w:val="18"/>
              </w:rPr>
            </w:pPr>
            <w:r>
              <w:rPr>
                <w:rFonts w:hint="eastAsia" w:ascii="仿宋" w:hAnsi="仿宋" w:eastAsia="仿宋" w:cs="仿宋"/>
                <w:color w:val="000000" w:themeColor="text1"/>
                <w:spacing w:val="-9"/>
                <w:sz w:val="18"/>
                <w:szCs w:val="18"/>
              </w:rPr>
              <w:t>裁量要素</w:t>
            </w:r>
          </w:p>
        </w:tc>
        <w:tc>
          <w:tcPr>
            <w:tcW w:w="4672" w:type="dxa"/>
            <w:gridSpan w:val="4"/>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554" w:type="dxa"/>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要素</w:t>
            </w:r>
          </w:p>
        </w:tc>
        <w:tc>
          <w:tcPr>
            <w:tcW w:w="1356" w:type="dxa"/>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具体条件</w:t>
            </w:r>
          </w:p>
        </w:tc>
        <w:tc>
          <w:tcPr>
            <w:tcW w:w="977" w:type="dxa"/>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构成比例</w:t>
            </w:r>
          </w:p>
        </w:tc>
        <w:tc>
          <w:tcPr>
            <w:tcW w:w="3387" w:type="dxa"/>
            <w:gridSpan w:val="2"/>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程度</w:t>
            </w:r>
          </w:p>
        </w:tc>
        <w:tc>
          <w:tcPr>
            <w:tcW w:w="621" w:type="dxa"/>
            <w:tcBorders>
              <w:right w:val="single" w:color="auto" w:sz="4" w:space="0"/>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百分值</w:t>
            </w:r>
          </w:p>
        </w:tc>
        <w:tc>
          <w:tcPr>
            <w:tcW w:w="664" w:type="dxa"/>
            <w:tcBorders>
              <w:left w:val="single" w:color="auto" w:sz="4" w:space="0"/>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对环境影响</w:t>
            </w:r>
          </w:p>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程度</w:t>
            </w:r>
          </w:p>
        </w:tc>
        <w:tc>
          <w:tcPr>
            <w:tcW w:w="13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restart"/>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违法频次</w:t>
            </w:r>
          </w:p>
        </w:tc>
        <w:tc>
          <w:tcPr>
            <w:tcW w:w="135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7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整改情况</w:t>
            </w:r>
          </w:p>
        </w:tc>
        <w:tc>
          <w:tcPr>
            <w:tcW w:w="13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6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3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8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64"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jc w:val="center"/>
              <w:rPr>
                <w:rFonts w:ascii="仿宋" w:hAnsi="仿宋" w:eastAsia="仿宋" w:cs="仿宋"/>
                <w:color w:val="000000" w:themeColor="text1"/>
                <w:spacing w:val="-7"/>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jc w:val="center"/>
              <w:rPr>
                <w:rFonts w:ascii="仿宋" w:hAnsi="仿宋" w:eastAsia="仿宋" w:cs="仿宋"/>
                <w:color w:val="000000" w:themeColor="text1"/>
                <w:spacing w:val="-7"/>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tcBorders>
              <w:top w:val="nil"/>
              <w:bottom w:val="nil"/>
            </w:tcBorders>
            <w:vAlign w:val="center"/>
          </w:tcPr>
          <w:p>
            <w:pPr>
              <w:jc w:val="center"/>
              <w:rPr>
                <w:rFonts w:ascii="Malgun Gothic"/>
                <w:color w:val="000000" w:themeColor="text1"/>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8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4"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 w:hRule="atLeast"/>
        </w:trPr>
        <w:tc>
          <w:tcPr>
            <w:tcW w:w="1554" w:type="dxa"/>
            <w:vMerge w:val="continue"/>
            <w:vAlign w:val="center"/>
          </w:tcPr>
          <w:p>
            <w:pPr>
              <w:jc w:val="center"/>
              <w:rPr>
                <w:rFonts w:ascii="Malgun Gothic"/>
                <w:color w:val="000000" w:themeColor="text1"/>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1.《中华人民共和国放射性污染防治法》第十一条 第二款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2.《中华人民共和国放射性污染防治法》第四十九条 违反本法规定，有下列行为之一的，由县级以上人民政府环境保护行政主管部门或者其他有关部门依据职权责令限期改正，可以处2万元以下罚款：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（二）拒绝环境保护行政主管部门和其他有关部门进行现场检查，或者被检查时不如实反映情况和提供必要资料的。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color w:val="000000" w:themeColor="text1"/>
          <w:spacing w:val="-1"/>
          <w:sz w:val="24"/>
        </w:rPr>
      </w:pPr>
      <w:bookmarkStart w:id="351" w:name="_Toc4562"/>
      <w:bookmarkStart w:id="352" w:name="_Toc1986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121</w:t>
      </w:r>
      <w:r>
        <w:rPr>
          <w:rFonts w:hint="eastAsia" w:ascii="仿宋" w:hAnsi="仿宋" w:eastAsia="仿宋" w:cs="仿宋"/>
          <w:b/>
          <w:bCs/>
          <w:color w:val="000000" w:themeColor="text1"/>
          <w:kern w:val="0"/>
          <w:sz w:val="24"/>
          <w:lang w:val="zh-CN"/>
        </w:rPr>
        <w:t>未编制环境影响评价文件，或者环境影响评价文件未经环境保护行 政主管部门批准，擅自进行建造、运行、生产和使用等活动的罚款幅度裁定</w:t>
      </w:r>
      <w:bookmarkEnd w:id="351"/>
      <w:bookmarkEnd w:id="352"/>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850"/>
        <w:gridCol w:w="1750"/>
        <w:gridCol w:w="660"/>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469" w:type="dxa"/>
            <w:vAlign w:val="center"/>
          </w:tcPr>
          <w:p>
            <w:pPr>
              <w:spacing w:before="19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00"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660"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9"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 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85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填报环境影响报告表的建设 项目，环境影响评价文件未 经环境保护行政主管部门批准，擅自进行建造、运行、 生产和使用等活动的</w:t>
            </w:r>
          </w:p>
        </w:tc>
        <w:tc>
          <w:tcPr>
            <w:tcW w:w="175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0"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放射源Ⅳ类、放射源Ⅲ类或射线装置Ⅲ类</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放射源Ⅲ类至Ⅳ类或射线装置Ⅱ类</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6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5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编制环境影响报告书的建设 项目，环境影响评价文件未经环境保护行政主管部门批 准,，擅自进行建造、运行、 生产和使用等活动的</w:t>
            </w:r>
          </w:p>
        </w:tc>
        <w:tc>
          <w:tcPr>
            <w:tcW w:w="175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放射源Ⅲ类以下或射线装置Ⅲ类</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放射源Ⅲ类至Ⅳ类或射线装置Ⅱ类</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6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5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未编制环境影响评价文件</w:t>
            </w:r>
          </w:p>
        </w:tc>
        <w:tc>
          <w:tcPr>
            <w:tcW w:w="175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放射源Ⅲ类以下或射线装置Ⅲ类</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放射源Ⅲ类至Ⅳ类或射线装置Ⅱ类</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6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 检查</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6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 w:hRule="atLeast"/>
        </w:trPr>
        <w:tc>
          <w:tcPr>
            <w:tcW w:w="863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863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1.《中华人民共和国放射性污染防治法》第二十九条 第一款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2.《中华人民共和国放射性污染防治法》第五十条 违反本法规定，未编制环境影响评价文件，或者环境影响评价文件未经环境保护行政主管部门批准，擅自进行建造、运行、生产和使用等活动的，由审批环境影响评价文件的环境保护行政主 管部门责令停止违法行为，限期补办手续或者恢复原状，并处一万元以上20万元以下罚款。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53" w:name="_Toc31326"/>
      <w:bookmarkStart w:id="354" w:name="_Toc1442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122</w:t>
      </w:r>
      <w:r>
        <w:rPr>
          <w:rFonts w:hint="eastAsia" w:ascii="仿宋" w:hAnsi="仿宋" w:eastAsia="仿宋" w:cs="仿宋"/>
          <w:b/>
          <w:bCs/>
          <w:color w:val="000000" w:themeColor="text1"/>
          <w:kern w:val="0"/>
          <w:sz w:val="24"/>
          <w:lang w:val="zh-CN"/>
        </w:rPr>
        <w:t>未建造放射性污染防治设施、放射防护设施，或者防治防护设施未经验收合格，主体工程即投入生产或者使用的罚款幅度裁定</w:t>
      </w:r>
      <w:bookmarkEnd w:id="353"/>
      <w:bookmarkEnd w:id="354"/>
    </w:p>
    <w:tbl>
      <w:tblPr>
        <w:tblStyle w:val="15"/>
        <w:tblW w:w="84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1099"/>
        <w:gridCol w:w="931"/>
        <w:gridCol w:w="2114"/>
        <w:gridCol w:w="1589"/>
        <w:gridCol w:w="742"/>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3514" w:type="dxa"/>
            <w:gridSpan w:val="3"/>
          </w:tcPr>
          <w:p>
            <w:pPr>
              <w:spacing w:before="176" w:line="184" w:lineRule="auto"/>
              <w:ind w:firstLine="880" w:firstLineChars="500"/>
              <w:rPr>
                <w:rFonts w:ascii="仿宋" w:hAnsi="仿宋" w:eastAsia="仿宋" w:cs="仿宋"/>
                <w:color w:val="000000" w:themeColor="text1"/>
                <w:spacing w:val="-9"/>
                <w:sz w:val="18"/>
                <w:szCs w:val="18"/>
              </w:rPr>
            </w:pPr>
            <w:r>
              <w:rPr>
                <w:rFonts w:ascii="仿宋" w:hAnsi="仿宋" w:eastAsia="仿宋" w:cs="仿宋"/>
                <w:color w:val="000000" w:themeColor="text1"/>
                <w:spacing w:val="-2"/>
                <w:sz w:val="18"/>
                <w:szCs w:val="18"/>
              </w:rPr>
              <w:t>裁量要素</w:t>
            </w:r>
          </w:p>
        </w:tc>
        <w:tc>
          <w:tcPr>
            <w:tcW w:w="4982" w:type="dxa"/>
            <w:gridSpan w:val="4"/>
          </w:tcPr>
          <w:p>
            <w:pPr>
              <w:spacing w:before="176" w:line="184" w:lineRule="auto"/>
              <w:ind w:firstLine="1485" w:firstLineChars="874"/>
              <w:rPr>
                <w:rFonts w:ascii="仿宋" w:hAnsi="仿宋" w:eastAsia="仿宋" w:cs="仿宋"/>
                <w:color w:val="000000" w:themeColor="text1"/>
                <w:spacing w:val="-9"/>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1484" w:type="dxa"/>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要素</w:t>
            </w:r>
          </w:p>
        </w:tc>
        <w:tc>
          <w:tcPr>
            <w:tcW w:w="1099" w:type="dxa"/>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具体条件</w:t>
            </w:r>
          </w:p>
        </w:tc>
        <w:tc>
          <w:tcPr>
            <w:tcW w:w="931" w:type="dxa"/>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构成比例</w:t>
            </w:r>
          </w:p>
        </w:tc>
        <w:tc>
          <w:tcPr>
            <w:tcW w:w="3703" w:type="dxa"/>
            <w:gridSpan w:val="2"/>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程度</w:t>
            </w:r>
          </w:p>
        </w:tc>
        <w:tc>
          <w:tcPr>
            <w:tcW w:w="742" w:type="dxa"/>
            <w:tcBorders>
              <w:right w:val="single" w:color="auto" w:sz="4" w:space="0"/>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百分值</w:t>
            </w:r>
          </w:p>
        </w:tc>
        <w:tc>
          <w:tcPr>
            <w:tcW w:w="537" w:type="dxa"/>
            <w:tcBorders>
              <w:left w:val="single" w:color="auto" w:sz="4" w:space="0"/>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484" w:type="dxa"/>
            <w:vMerge w:val="restart"/>
            <w:tcBorders>
              <w:bottom w:val="nil"/>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对环境影响 程度</w:t>
            </w: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建设项目类型</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1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填报环境影响报告表的建设项目</w:t>
            </w:r>
          </w:p>
        </w:tc>
        <w:tc>
          <w:tcPr>
            <w:tcW w:w="1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放射源Ⅲ类以下或射线装置Ⅱ类以下</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bottom w:val="single" w:color="auto" w:sz="4" w:space="0"/>
            </w:tcBorders>
            <w:vAlign w:val="center"/>
          </w:tcPr>
          <w:p>
            <w:pPr>
              <w:spacing w:before="196" w:line="184" w:lineRule="auto"/>
              <w:ind w:firstLine="23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1484" w:type="dxa"/>
            <w:vMerge w:val="continue"/>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21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放射源Ⅲ类以上或射线装置Ⅱ类以上</w:t>
            </w:r>
          </w:p>
        </w:tc>
        <w:tc>
          <w:tcPr>
            <w:tcW w:w="74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tcBorders>
            <w:vAlign w:val="center"/>
          </w:tcPr>
          <w:p>
            <w:pPr>
              <w:spacing w:before="196" w:line="184" w:lineRule="auto"/>
              <w:ind w:firstLine="23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编制环境影响报告书的建设 项目</w:t>
            </w:r>
          </w:p>
        </w:tc>
        <w:tc>
          <w:tcPr>
            <w:tcW w:w="1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放射源Ⅲ类以下或射线装置Ⅱ类以下</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bottom w:val="single" w:color="auto" w:sz="4" w:space="0"/>
            </w:tcBorders>
            <w:vAlign w:val="center"/>
          </w:tcPr>
          <w:p>
            <w:pPr>
              <w:spacing w:before="196" w:line="184" w:lineRule="auto"/>
              <w:ind w:firstLine="17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21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放射源Ⅲ类以上或射线装置Ⅱ类以上</w:t>
            </w:r>
          </w:p>
        </w:tc>
        <w:tc>
          <w:tcPr>
            <w:tcW w:w="74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tcBorders>
            <w:vAlign w:val="center"/>
          </w:tcPr>
          <w:p>
            <w:pPr>
              <w:spacing w:before="196" w:line="184" w:lineRule="auto"/>
              <w:ind w:firstLine="17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1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环境保护设施已建成但未经 验收或者经验收不合格，主 体工程即投入生产或者使用 的</w:t>
            </w:r>
          </w:p>
        </w:tc>
        <w:tc>
          <w:tcPr>
            <w:tcW w:w="1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放射源Ⅲ类以下或射线装置Ⅱ类以下</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bottom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21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放射源Ⅲ类以上或射线装置Ⅱ类以上</w:t>
            </w:r>
          </w:p>
        </w:tc>
        <w:tc>
          <w:tcPr>
            <w:tcW w:w="74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5" w:hRule="atLeast"/>
        </w:trPr>
        <w:tc>
          <w:tcPr>
            <w:tcW w:w="1484" w:type="dxa"/>
            <w:vMerge w:val="continue"/>
            <w:tcBorders>
              <w:top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环境保护设施未建成，主体 工程即投入生产或者使用的</w:t>
            </w:r>
          </w:p>
        </w:tc>
        <w:tc>
          <w:tcPr>
            <w:tcW w:w="1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放射源Ⅲ类以下或射线装置Ⅱ类以下</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bottom w:val="single" w:color="auto" w:sz="4" w:space="0"/>
            </w:tcBorders>
            <w:vAlign w:val="center"/>
          </w:tcPr>
          <w:p>
            <w:pPr>
              <w:spacing w:before="198"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3" w:hRule="atLeast"/>
        </w:trPr>
        <w:tc>
          <w:tcPr>
            <w:tcW w:w="1484" w:type="dxa"/>
            <w:vMerge w:val="continue"/>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21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放射源Ⅲ类以上或射线装置Ⅱ类以上</w:t>
            </w:r>
          </w:p>
        </w:tc>
        <w:tc>
          <w:tcPr>
            <w:tcW w:w="74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tcBorders>
            <w:vAlign w:val="center"/>
          </w:tcPr>
          <w:p>
            <w:pPr>
              <w:spacing w:before="198"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restart"/>
            <w:tcBorders>
              <w:bottom w:val="nil"/>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违法频次</w:t>
            </w: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tcBorders>
            <w:vAlign w:val="center"/>
          </w:tcPr>
          <w:p>
            <w:pPr>
              <w:spacing w:before="42" w:line="184" w:lineRule="auto"/>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2" w:line="184" w:lineRule="auto"/>
              <w:ind w:firstLine="41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tcBorders>
            <w:vAlign w:val="center"/>
          </w:tcPr>
          <w:p>
            <w:pPr>
              <w:spacing w:before="41" w:line="184" w:lineRule="auto"/>
              <w:ind w:firstLine="41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tcBorders>
              <w:top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left w:val="single" w:color="auto" w:sz="4" w:space="0"/>
            </w:tcBorders>
            <w:vAlign w:val="center"/>
          </w:tcPr>
          <w:p>
            <w:pPr>
              <w:spacing w:before="41" w:line="184" w:lineRule="auto"/>
              <w:ind w:firstLine="40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restart"/>
            <w:tcBorders>
              <w:bottom w:val="nil"/>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整改情况</w:t>
            </w: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是否及时进行 整改</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spacing w:before="43" w:line="184" w:lineRule="auto"/>
              <w:ind w:firstLine="47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 消除的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tcBorders>
            <w:vAlign w:val="center"/>
          </w:tcPr>
          <w:p>
            <w:pPr>
              <w:spacing w:before="198" w:line="184" w:lineRule="auto"/>
              <w:ind w:firstLine="29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tcBorders>
              <w:top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2" w:line="184" w:lineRule="auto"/>
              <w:ind w:firstLine="228"/>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484" w:type="dxa"/>
            <w:vMerge w:val="restart"/>
            <w:tcBorders>
              <w:bottom w:val="nil"/>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配合调查</w:t>
            </w:r>
          </w:p>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取证情况</w:t>
            </w: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 检查</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spacing w:before="42" w:line="184" w:lineRule="auto"/>
              <w:ind w:firstLine="23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tcBorders>
              <w:top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1" w:line="184" w:lineRule="auto"/>
              <w:ind w:firstLine="47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restart"/>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9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3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0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vAlign w:val="center"/>
          </w:tcPr>
          <w:p>
            <w:pPr>
              <w:jc w:val="center"/>
              <w:rPr>
                <w:rFonts w:ascii="仿宋" w:hAnsi="仿宋" w:eastAsia="仿宋" w:cs="仿宋"/>
                <w:color w:val="000000" w:themeColor="text1"/>
                <w:spacing w:val="-2"/>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370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4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vAlign w:val="center"/>
          </w:tcPr>
          <w:p>
            <w:pPr>
              <w:jc w:val="center"/>
              <w:rPr>
                <w:rFonts w:ascii="仿宋" w:hAnsi="仿宋" w:eastAsia="仿宋" w:cs="仿宋"/>
                <w:color w:val="000000" w:themeColor="text1"/>
                <w:spacing w:val="-2"/>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370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4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vAlign w:val="center"/>
          </w:tcPr>
          <w:p>
            <w:pPr>
              <w:jc w:val="center"/>
              <w:rPr>
                <w:rFonts w:ascii="仿宋" w:hAnsi="仿宋" w:eastAsia="仿宋" w:cs="仿宋"/>
                <w:color w:val="000000" w:themeColor="text1"/>
                <w:spacing w:val="-2"/>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370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4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484" w:type="dxa"/>
            <w:vMerge w:val="continue"/>
            <w:vAlign w:val="center"/>
          </w:tcPr>
          <w:p>
            <w:pPr>
              <w:jc w:val="center"/>
              <w:rPr>
                <w:rFonts w:ascii="仿宋" w:hAnsi="仿宋" w:eastAsia="仿宋" w:cs="仿宋"/>
                <w:color w:val="000000" w:themeColor="text1"/>
                <w:spacing w:val="-2"/>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370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4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8496"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8496"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1.《中华人民共和国放射性污染防治法》第二十一条 与核设施相配套的放射性污染防治设施，应当与主体工程同时设计、同时施工、同时投入使用。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放射性污染防治设施应当与主体工程同时验收；验收合格的，主体工程方可投入生产或者使用。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5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55" w:name="_Toc17302"/>
      <w:bookmarkStart w:id="356" w:name="_Toc2395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123</w:t>
      </w:r>
      <w:r>
        <w:rPr>
          <w:rFonts w:hint="eastAsia" w:ascii="仿宋" w:hAnsi="仿宋" w:eastAsia="仿宋" w:cs="仿宋"/>
          <w:b/>
          <w:bCs/>
          <w:color w:val="000000" w:themeColor="text1"/>
          <w:kern w:val="0"/>
          <w:sz w:val="24"/>
          <w:lang w:val="zh-CN"/>
        </w:rPr>
        <w:t>生产、销售、使用、转让、进 口、贮存放射性同位素和射线装置以 及装备有放射性同位素的仪表的罚款幅度裁定</w:t>
      </w:r>
      <w:bookmarkEnd w:id="355"/>
      <w:bookmarkEnd w:id="356"/>
    </w:p>
    <w:tbl>
      <w:tblPr>
        <w:tblStyle w:val="15"/>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304"/>
        <w:gridCol w:w="1005"/>
        <w:gridCol w:w="1533"/>
        <w:gridCol w:w="2155"/>
        <w:gridCol w:w="861"/>
        <w:gridCol w:w="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 w:hRule="atLeast"/>
        </w:trPr>
        <w:tc>
          <w:tcPr>
            <w:tcW w:w="3544"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35" w:type="dxa"/>
            <w:gridSpan w:val="4"/>
          </w:tcPr>
          <w:p>
            <w:pPr>
              <w:spacing w:before="178"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1235" w:type="dxa"/>
            <w:vAlign w:val="center"/>
          </w:tcPr>
          <w:p>
            <w:pPr>
              <w:spacing w:before="19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04" w:type="dxa"/>
            <w:vAlign w:val="center"/>
          </w:tcPr>
          <w:p>
            <w:pPr>
              <w:spacing w:before="207"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05" w:type="dxa"/>
            <w:vAlign w:val="center"/>
          </w:tcPr>
          <w:p>
            <w:pPr>
              <w:spacing w:before="51" w:line="312" w:lineRule="exact"/>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688" w:type="dxa"/>
            <w:gridSpan w:val="2"/>
          </w:tcPr>
          <w:p>
            <w:pPr>
              <w:spacing w:before="207" w:line="185" w:lineRule="auto"/>
              <w:ind w:firstLine="138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61" w:type="dxa"/>
            <w:tcBorders>
              <w:right w:val="single" w:color="auto" w:sz="4" w:space="0"/>
            </w:tcBorders>
          </w:tcPr>
          <w:p>
            <w:pPr>
              <w:spacing w:before="207" w:line="185" w:lineRule="auto"/>
              <w:ind w:left="168" w:hanging="168" w:hangingChars="100"/>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6" w:type="dxa"/>
            <w:tcBorders>
              <w:left w:val="single" w:color="auto" w:sz="4" w:space="0"/>
            </w:tcBorders>
          </w:tcPr>
          <w:p>
            <w:pPr>
              <w:spacing w:before="207"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 程度</w:t>
            </w:r>
          </w:p>
        </w:tc>
        <w:tc>
          <w:tcPr>
            <w:tcW w:w="13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53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没有违法所得的</w:t>
            </w:r>
          </w:p>
        </w:tc>
        <w:tc>
          <w:tcPr>
            <w:tcW w:w="21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6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违法所得不足10 万元的</w:t>
            </w:r>
          </w:p>
        </w:tc>
        <w:tc>
          <w:tcPr>
            <w:tcW w:w="21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6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 10 万元以上 50 万 元以下的</w:t>
            </w:r>
          </w:p>
        </w:tc>
        <w:tc>
          <w:tcPr>
            <w:tcW w:w="21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6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 50 万元以上的</w:t>
            </w:r>
          </w:p>
        </w:tc>
        <w:tc>
          <w:tcPr>
            <w:tcW w:w="21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6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8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3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配合调查取证情况</w:t>
            </w:r>
          </w:p>
        </w:tc>
        <w:tc>
          <w:tcPr>
            <w:tcW w:w="13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 检查</w:t>
            </w:r>
          </w:p>
        </w:tc>
        <w:tc>
          <w:tcPr>
            <w:tcW w:w="1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304"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0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continue"/>
            <w:tcBorders>
              <w:top w:val="nil"/>
              <w:bottom w:val="nil"/>
            </w:tcBorders>
            <w:vAlign w:val="center"/>
          </w:tcPr>
          <w:p>
            <w:pPr>
              <w:jc w:val="center"/>
              <w:rPr>
                <w:rFonts w:ascii="Malgun Gothic"/>
                <w:color w:val="000000" w:themeColor="text1"/>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368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continue"/>
            <w:tcBorders>
              <w:top w:val="nil"/>
              <w:bottom w:val="nil"/>
            </w:tcBorders>
            <w:vAlign w:val="center"/>
          </w:tcPr>
          <w:p>
            <w:pPr>
              <w:jc w:val="center"/>
              <w:rPr>
                <w:rFonts w:ascii="Malgun Gothic"/>
                <w:color w:val="000000" w:themeColor="text1"/>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368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continue"/>
            <w:tcBorders>
              <w:top w:val="nil"/>
              <w:bottom w:val="nil"/>
            </w:tcBorders>
            <w:vAlign w:val="center"/>
          </w:tcPr>
          <w:p>
            <w:pPr>
              <w:jc w:val="center"/>
              <w:rPr>
                <w:rFonts w:ascii="Malgun Gothic"/>
                <w:color w:val="000000" w:themeColor="text1"/>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368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235" w:type="dxa"/>
            <w:vMerge w:val="continue"/>
            <w:vAlign w:val="center"/>
          </w:tcPr>
          <w:p>
            <w:pPr>
              <w:jc w:val="center"/>
              <w:rPr>
                <w:rFonts w:ascii="Malgun Gothic"/>
                <w:color w:val="000000" w:themeColor="text1"/>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368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867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w:t>
            </w:r>
          </w:p>
          <w:p>
            <w:pPr>
              <w:ind w:firstLine="462" w:firstLineChars="300"/>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 罚款金额＝违法所得×1～5（由总百分值确定），但罚款金额不能低于违法所得的1倍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86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1.《中华人民共和国放射性污染防治法》第二十八条 生产、销售、使用放射性同位素和射线装置的单位，应当按照国务院有关放射性同位素与射线装置放射防护的规定申请领取许可证，办理登记手续。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转让、进口放射性同位素和射线装置的单位以及装备有放射性同位 素的仪表的单位，应当按照国务院有关放射性同位素与射线装置放 射防护的规定办理有关手续。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 者吊销许可证；有违法所得的，没收违法所得；违法所得10万元以上的，并处违法所得一倍以上五倍以下罚款；没有违法所得或者违法所得不足10万元的，并处1万元以上10万元以下罚款；构成犯罪的，依法追究刑事责任。</w:t>
      </w:r>
    </w:p>
    <w:p>
      <w:pPr>
        <w:spacing w:before="73"/>
        <w:ind w:right="108"/>
        <w:rPr>
          <w:rFonts w:ascii="仿宋_GB2312" w:hAnsi="仿宋_GB2312" w:eastAsia="仿宋_GB2312" w:cs="仿宋_GB2312"/>
          <w:color w:val="000000" w:themeColor="text1"/>
          <w:szCs w:val="21"/>
        </w:rPr>
      </w:pP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6</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7</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7</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9</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9</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5</w:t>
            </w:r>
          </w:p>
        </w:tc>
      </w:tr>
    </w:tbl>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57" w:name="_Toc31762"/>
      <w:bookmarkStart w:id="358" w:name="_Toc1562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124</w:t>
      </w:r>
      <w:r>
        <w:rPr>
          <w:rFonts w:hint="eastAsia" w:ascii="仿宋" w:hAnsi="仿宋" w:eastAsia="仿宋" w:cs="仿宋"/>
          <w:b/>
          <w:bCs/>
          <w:color w:val="000000" w:themeColor="text1"/>
          <w:kern w:val="0"/>
          <w:sz w:val="24"/>
          <w:lang w:val="zh-CN"/>
        </w:rPr>
        <w:t>未建造尾矿库或者不按照放射性污染防治的要求建造尾矿库，贮存、 处置铀(钍)矿和伴生放射性矿的尾矿的罚款幅度裁定</w:t>
      </w:r>
      <w:bookmarkEnd w:id="357"/>
      <w:bookmarkEnd w:id="358"/>
    </w:p>
    <w:tbl>
      <w:tblPr>
        <w:tblStyle w:val="15"/>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1813"/>
        <w:gridCol w:w="761"/>
        <w:gridCol w:w="2578"/>
        <w:gridCol w:w="1031"/>
        <w:gridCol w:w="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4002"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17" w:type="dxa"/>
            <w:gridSpan w:val="3"/>
          </w:tcPr>
          <w:p>
            <w:pPr>
              <w:spacing w:before="178"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1428" w:type="dxa"/>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要素</w:t>
            </w:r>
          </w:p>
        </w:tc>
        <w:tc>
          <w:tcPr>
            <w:tcW w:w="1813" w:type="dxa"/>
            <w:vAlign w:val="center"/>
          </w:tcPr>
          <w:p>
            <w:pPr>
              <w:spacing w:before="198"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具体条件</w:t>
            </w:r>
          </w:p>
        </w:tc>
        <w:tc>
          <w:tcPr>
            <w:tcW w:w="761" w:type="dxa"/>
            <w:vAlign w:val="center"/>
          </w:tcPr>
          <w:p>
            <w:pPr>
              <w:spacing w:before="198"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2578" w:type="dxa"/>
            <w:vAlign w:val="center"/>
          </w:tcPr>
          <w:p>
            <w:pPr>
              <w:spacing w:before="198"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031" w:type="dxa"/>
            <w:tcBorders>
              <w:right w:val="single" w:color="auto" w:sz="4" w:space="0"/>
            </w:tcBorders>
            <w:vAlign w:val="center"/>
          </w:tcPr>
          <w:p>
            <w:pPr>
              <w:spacing w:before="198"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百分值</w:t>
            </w:r>
          </w:p>
        </w:tc>
        <w:tc>
          <w:tcPr>
            <w:tcW w:w="708" w:type="dxa"/>
            <w:tcBorders>
              <w:left w:val="single" w:color="auto" w:sz="4" w:space="0"/>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已建造尾矿库，但未按照要求的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未建造尾矿库的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bottom w:val="nil"/>
            </w:tcBorders>
            <w:vAlign w:val="center"/>
          </w:tcPr>
          <w:p>
            <w:pPr>
              <w:jc w:val="center"/>
              <w:rPr>
                <w:rFonts w:ascii="Malgun Gothic"/>
                <w:color w:val="000000" w:themeColor="text1"/>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10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bottom w:val="nil"/>
            </w:tcBorders>
            <w:vAlign w:val="center"/>
          </w:tcPr>
          <w:p>
            <w:pPr>
              <w:jc w:val="center"/>
              <w:rPr>
                <w:rFonts w:ascii="Malgun Gothic"/>
                <w:color w:val="000000" w:themeColor="text1"/>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10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tcBorders>
              <w:top w:val="nil"/>
              <w:bottom w:val="nil"/>
            </w:tcBorders>
            <w:vAlign w:val="center"/>
          </w:tcPr>
          <w:p>
            <w:pPr>
              <w:jc w:val="center"/>
              <w:rPr>
                <w:rFonts w:ascii="Malgun Gothic"/>
                <w:color w:val="000000" w:themeColor="text1"/>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10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28" w:type="dxa"/>
            <w:vMerge w:val="continue"/>
            <w:vAlign w:val="center"/>
          </w:tcPr>
          <w:p>
            <w:pPr>
              <w:jc w:val="center"/>
              <w:rPr>
                <w:rFonts w:ascii="Malgun Gothic"/>
                <w:color w:val="000000" w:themeColor="text1"/>
                <w:sz w:val="18"/>
                <w:szCs w:val="18"/>
              </w:rPr>
            </w:pPr>
          </w:p>
        </w:tc>
        <w:tc>
          <w:tcPr>
            <w:tcW w:w="1813" w:type="dxa"/>
            <w:vMerge w:val="continue"/>
            <w:vAlign w:val="center"/>
          </w:tcPr>
          <w:p>
            <w:pPr>
              <w:jc w:val="center"/>
              <w:rPr>
                <w:rFonts w:ascii="仿宋" w:hAnsi="仿宋" w:eastAsia="仿宋" w:cs="仿宋"/>
                <w:color w:val="000000" w:themeColor="text1"/>
                <w:spacing w:val="-1"/>
                <w:sz w:val="18"/>
                <w:szCs w:val="18"/>
              </w:rPr>
            </w:pPr>
          </w:p>
        </w:tc>
        <w:tc>
          <w:tcPr>
            <w:tcW w:w="761" w:type="dxa"/>
            <w:vMerge w:val="continue"/>
            <w:vAlign w:val="center"/>
          </w:tcPr>
          <w:p>
            <w:pPr>
              <w:jc w:val="center"/>
              <w:rPr>
                <w:rFonts w:ascii="仿宋" w:hAnsi="仿宋" w:eastAsia="仿宋" w:cs="仿宋"/>
                <w:color w:val="000000" w:themeColor="text1"/>
                <w:spacing w:val="-1"/>
                <w:sz w:val="18"/>
                <w:szCs w:val="18"/>
              </w:rPr>
            </w:pPr>
          </w:p>
        </w:tc>
        <w:tc>
          <w:tcPr>
            <w:tcW w:w="2578"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10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1" w:hRule="atLeast"/>
        </w:trPr>
        <w:tc>
          <w:tcPr>
            <w:tcW w:w="8319"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8319"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1.《中华人民共和国放射性污染防治法》第三十七条 对铀(钍) 矿和伴生放射性矿开发利用过程中产生尾矿，应当建造尾矿库进行贮存、处置；建造的尾矿库应当符合放 射性污染防治的要求。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 违反本法规定，有下列行为之一的，由县级以上人民政府环境保护行政主管部门责令停止违法行为，限期改正，处以罚 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(一)未建造尾矿库或者不按照放射性污染防治的要求建造尾矿库， 贮存、处置铀(钍) 矿和伴生放射性矿的尾矿的；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59" w:name="_Toc31219"/>
      <w:bookmarkStart w:id="360" w:name="_Toc3079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125</w:t>
      </w:r>
      <w:r>
        <w:rPr>
          <w:rFonts w:hint="eastAsia" w:ascii="仿宋" w:hAnsi="仿宋" w:eastAsia="仿宋" w:cs="仿宋"/>
          <w:b/>
          <w:bCs/>
          <w:color w:val="000000" w:themeColor="text1"/>
          <w:kern w:val="0"/>
          <w:sz w:val="24"/>
          <w:lang w:val="zh-CN"/>
        </w:rPr>
        <w:t>向环境排放不得排放的放射性废气、废液的罚款幅度裁定</w:t>
      </w:r>
      <w:bookmarkEnd w:id="359"/>
      <w:bookmarkEnd w:id="360"/>
    </w:p>
    <w:p>
      <w:pPr>
        <w:kinsoku w:val="0"/>
        <w:autoSpaceDE w:val="0"/>
        <w:autoSpaceDN w:val="0"/>
        <w:adjustRightInd w:val="0"/>
        <w:snapToGrid w:val="0"/>
        <w:textAlignment w:val="baseline"/>
        <w:rPr>
          <w:b/>
          <w:bCs/>
          <w:color w:val="000000" w:themeColor="text1"/>
        </w:rPr>
      </w:pPr>
    </w:p>
    <w:tbl>
      <w:tblPr>
        <w:tblStyle w:val="15"/>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6"/>
        <w:gridCol w:w="1887"/>
        <w:gridCol w:w="701"/>
        <w:gridCol w:w="1200"/>
        <w:gridCol w:w="1943"/>
        <w:gridCol w:w="722"/>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8" w:hRule="atLeast"/>
        </w:trPr>
        <w:tc>
          <w:tcPr>
            <w:tcW w:w="3994" w:type="dxa"/>
            <w:gridSpan w:val="3"/>
          </w:tcPr>
          <w:p>
            <w:pPr>
              <w:spacing w:before="178"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25" w:type="dxa"/>
            <w:gridSpan w:val="4"/>
          </w:tcPr>
          <w:p>
            <w:pPr>
              <w:spacing w:before="178" w:line="184" w:lineRule="auto"/>
              <w:ind w:firstLine="1636"/>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1406" w:type="dxa"/>
            <w:vAlign w:val="center"/>
          </w:tcPr>
          <w:p>
            <w:pPr>
              <w:spacing w:before="197"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87" w:type="dxa"/>
            <w:vAlign w:val="center"/>
          </w:tcPr>
          <w:p>
            <w:pPr>
              <w:spacing w:before="206"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01" w:type="dxa"/>
            <w:vAlign w:val="center"/>
          </w:tcPr>
          <w:p>
            <w:pPr>
              <w:spacing w:before="51" w:line="312" w:lineRule="exact"/>
              <w:jc w:val="center"/>
              <w:rPr>
                <w:rFonts w:ascii="仿宋" w:hAnsi="仿宋" w:eastAsia="仿宋" w:cs="仿宋"/>
                <w:color w:val="000000" w:themeColor="text1"/>
                <w:spacing w:val="-4"/>
                <w:position w:val="6"/>
                <w:sz w:val="18"/>
                <w:szCs w:val="18"/>
              </w:rPr>
            </w:pPr>
            <w:r>
              <w:rPr>
                <w:rFonts w:ascii="仿宋" w:hAnsi="仿宋" w:eastAsia="仿宋" w:cs="仿宋"/>
                <w:color w:val="000000" w:themeColor="text1"/>
                <w:spacing w:val="-4"/>
                <w:position w:val="6"/>
                <w:sz w:val="18"/>
                <w:szCs w:val="18"/>
              </w:rPr>
              <w:t>构成</w:t>
            </w:r>
          </w:p>
          <w:p>
            <w:pPr>
              <w:spacing w:before="51" w:line="312" w:lineRule="exact"/>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43" w:type="dxa"/>
            <w:gridSpan w:val="2"/>
          </w:tcPr>
          <w:p>
            <w:pPr>
              <w:spacing w:before="206" w:line="185" w:lineRule="auto"/>
              <w:ind w:firstLine="138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22" w:type="dxa"/>
            <w:tcBorders>
              <w:right w:val="single" w:color="auto" w:sz="4" w:space="0"/>
            </w:tcBorders>
          </w:tcPr>
          <w:p>
            <w:pPr>
              <w:spacing w:before="206"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0" w:type="dxa"/>
            <w:tcBorders>
              <w:left w:val="single" w:color="auto" w:sz="4" w:space="0"/>
            </w:tcBorders>
          </w:tcPr>
          <w:p>
            <w:pPr>
              <w:spacing w:before="206"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06" w:type="dxa"/>
            <w:vMerge w:val="restart"/>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88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0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12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向环境排放不得排放的放射 性废气、废液的</w:t>
            </w:r>
          </w:p>
        </w:tc>
        <w:tc>
          <w:tcPr>
            <w:tcW w:w="194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低放射性废气、废液的</w:t>
            </w:r>
          </w:p>
        </w:tc>
        <w:tc>
          <w:tcPr>
            <w:tcW w:w="72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0" w:type="dxa"/>
            <w:tcBorders>
              <w:left w:val="single" w:color="auto" w:sz="4" w:space="0"/>
              <w:bottom w:val="single" w:color="auto" w:sz="4" w:space="0"/>
            </w:tcBorders>
          </w:tcPr>
          <w:p>
            <w:pPr>
              <w:spacing w:before="197"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0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12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4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中放射性废气、废液的</w:t>
            </w:r>
          </w:p>
        </w:tc>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0" w:type="dxa"/>
            <w:tcBorders>
              <w:top w:val="single" w:color="auto" w:sz="4" w:space="0"/>
              <w:left w:val="single" w:color="auto" w:sz="4" w:space="0"/>
              <w:bottom w:val="single" w:color="auto" w:sz="4" w:space="0"/>
            </w:tcBorders>
          </w:tcPr>
          <w:p>
            <w:pPr>
              <w:spacing w:before="197"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0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12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4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高放射性废气、废液或 α放射性废液的</w:t>
            </w:r>
          </w:p>
        </w:tc>
        <w:tc>
          <w:tcPr>
            <w:tcW w:w="72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0" w:type="dxa"/>
            <w:tcBorders>
              <w:top w:val="single" w:color="auto" w:sz="4" w:space="0"/>
              <w:left w:val="single" w:color="auto" w:sz="4" w:space="0"/>
            </w:tcBorders>
          </w:tcPr>
          <w:p>
            <w:pPr>
              <w:spacing w:before="197"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8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0" w:type="dxa"/>
            <w:tcBorders>
              <w:left w:val="single" w:color="auto" w:sz="4" w:space="0"/>
            </w:tcBorders>
          </w:tcPr>
          <w:p>
            <w:pPr>
              <w:spacing w:before="43" w:line="184" w:lineRule="auto"/>
              <w:ind w:firstLine="476"/>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0"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0"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0" w:type="dxa"/>
            <w:tcBorders>
              <w:left w:val="single" w:color="auto" w:sz="4" w:space="0"/>
            </w:tcBorders>
          </w:tcPr>
          <w:p>
            <w:pPr>
              <w:spacing w:before="41" w:line="184" w:lineRule="auto"/>
              <w:ind w:firstLine="413"/>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8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0" w:type="dxa"/>
            <w:tcBorders>
              <w:left w:val="single" w:color="auto" w:sz="4" w:space="0"/>
            </w:tcBorders>
          </w:tcPr>
          <w:p>
            <w:pPr>
              <w:spacing w:before="41"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0" w:type="dxa"/>
            <w:tcBorders>
              <w:left w:val="single" w:color="auto" w:sz="4" w:space="0"/>
            </w:tcBorders>
          </w:tcPr>
          <w:p>
            <w:pPr>
              <w:spacing w:before="41" w:line="184" w:lineRule="auto"/>
              <w:ind w:firstLine="480"/>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8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 检查</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0" w:type="dxa"/>
            <w:tcBorders>
              <w:left w:val="single" w:color="auto" w:sz="4" w:space="0"/>
            </w:tcBorders>
          </w:tcPr>
          <w:p>
            <w:pPr>
              <w:spacing w:before="43"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0" w:type="dxa"/>
            <w:tcBorders>
              <w:left w:val="single" w:color="auto" w:sz="4" w:space="0"/>
            </w:tcBorders>
          </w:tcPr>
          <w:p>
            <w:pPr>
              <w:spacing w:before="42" w:line="184" w:lineRule="auto"/>
              <w:ind w:firstLine="480"/>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8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tcBorders>
              <w:top w:val="nil"/>
              <w:bottom w:val="nil"/>
            </w:tcBorders>
            <w:vAlign w:val="center"/>
          </w:tcPr>
          <w:p>
            <w:pPr>
              <w:jc w:val="center"/>
              <w:rPr>
                <w:rFonts w:ascii="Malgun Gothic"/>
                <w:color w:val="000000" w:themeColor="text1"/>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2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tcBorders>
              <w:top w:val="nil"/>
              <w:bottom w:val="nil"/>
            </w:tcBorders>
            <w:vAlign w:val="center"/>
          </w:tcPr>
          <w:p>
            <w:pPr>
              <w:jc w:val="center"/>
              <w:rPr>
                <w:rFonts w:ascii="Malgun Gothic"/>
                <w:color w:val="000000" w:themeColor="text1"/>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tcBorders>
              <w:top w:val="nil"/>
              <w:bottom w:val="nil"/>
            </w:tcBorders>
            <w:vAlign w:val="center"/>
          </w:tcPr>
          <w:p>
            <w:pPr>
              <w:jc w:val="center"/>
              <w:rPr>
                <w:rFonts w:ascii="Malgun Gothic"/>
                <w:color w:val="000000" w:themeColor="text1"/>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06" w:type="dxa"/>
            <w:vMerge w:val="continue"/>
            <w:vAlign w:val="center"/>
          </w:tcPr>
          <w:p>
            <w:pPr>
              <w:jc w:val="center"/>
              <w:rPr>
                <w:rFonts w:ascii="Malgun Gothic"/>
                <w:color w:val="000000" w:themeColor="text1"/>
                <w:sz w:val="18"/>
                <w:szCs w:val="18"/>
              </w:rPr>
            </w:pPr>
          </w:p>
        </w:tc>
        <w:tc>
          <w:tcPr>
            <w:tcW w:w="188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31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4"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1.《中华人民共和国放射性污染防治法》第四十条 向环境排放放射性废气、废液，必须符合国家放射性污染防治标准。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 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(二)向环境排放不得排放的放射性废气、废液的；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61" w:name="_Toc6901"/>
      <w:bookmarkStart w:id="362" w:name="_Toc1033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126</w:t>
      </w:r>
      <w:r>
        <w:rPr>
          <w:rFonts w:hint="eastAsia" w:ascii="仿宋" w:hAnsi="仿宋" w:eastAsia="仿宋" w:cs="仿宋"/>
          <w:b/>
          <w:bCs/>
          <w:color w:val="000000" w:themeColor="text1"/>
          <w:kern w:val="0"/>
          <w:sz w:val="24"/>
          <w:lang w:val="zh-CN"/>
        </w:rPr>
        <w:t>不按照规定的方式排放放射性废液，利用渗井、渗坑、天然裂隙、溶洞或者国家禁止的其他方式排放放射性废液的罚款幅度裁定</w:t>
      </w:r>
      <w:bookmarkEnd w:id="361"/>
      <w:bookmarkEnd w:id="362"/>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6"/>
        <w:gridCol w:w="1176"/>
        <w:gridCol w:w="784"/>
        <w:gridCol w:w="1448"/>
        <w:gridCol w:w="2017"/>
        <w:gridCol w:w="988"/>
        <w:gridCol w:w="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3416"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23" w:type="dxa"/>
            <w:gridSpan w:val="4"/>
          </w:tcPr>
          <w:p>
            <w:pPr>
              <w:spacing w:before="177"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1456" w:type="dxa"/>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要素</w:t>
            </w:r>
          </w:p>
        </w:tc>
        <w:tc>
          <w:tcPr>
            <w:tcW w:w="1176" w:type="dxa"/>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具体条件</w:t>
            </w:r>
          </w:p>
        </w:tc>
        <w:tc>
          <w:tcPr>
            <w:tcW w:w="784" w:type="dxa"/>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构成比例</w:t>
            </w:r>
          </w:p>
        </w:tc>
        <w:tc>
          <w:tcPr>
            <w:tcW w:w="3465" w:type="dxa"/>
            <w:gridSpan w:val="2"/>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程度</w:t>
            </w:r>
          </w:p>
        </w:tc>
        <w:tc>
          <w:tcPr>
            <w:tcW w:w="988" w:type="dxa"/>
            <w:tcBorders>
              <w:right w:val="single" w:color="auto" w:sz="4" w:space="0"/>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百分比</w:t>
            </w:r>
          </w:p>
        </w:tc>
        <w:tc>
          <w:tcPr>
            <w:tcW w:w="570" w:type="dxa"/>
            <w:tcBorders>
              <w:left w:val="single" w:color="auto" w:sz="4" w:space="0"/>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不按照规定的方式排放放射性废液的</w:t>
            </w:r>
          </w:p>
        </w:tc>
        <w:tc>
          <w:tcPr>
            <w:tcW w:w="201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放射性废液量小活度低</w:t>
            </w:r>
          </w:p>
        </w:tc>
        <w:tc>
          <w:tcPr>
            <w:tcW w:w="98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bottom w:val="single" w:color="auto" w:sz="4" w:space="0"/>
            </w:tcBorders>
          </w:tcPr>
          <w:p>
            <w:pPr>
              <w:spacing w:before="196"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放射性废液量大活度低</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bottom w:val="single" w:color="auto" w:sz="4" w:space="0"/>
            </w:tcBorders>
          </w:tcPr>
          <w:p>
            <w:pPr>
              <w:spacing w:before="196"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放射性废液量小活度较高</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top w:val="single" w:color="auto" w:sz="4" w:space="0"/>
              <w:left w:val="single" w:color="auto" w:sz="4" w:space="0"/>
              <w:bottom w:val="single" w:color="auto" w:sz="4" w:space="0"/>
            </w:tcBorders>
          </w:tcPr>
          <w:p>
            <w:pPr>
              <w:spacing w:before="196"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放射性废液量大活度较高</w:t>
            </w:r>
          </w:p>
        </w:tc>
        <w:tc>
          <w:tcPr>
            <w:tcW w:w="98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top w:val="single" w:color="auto" w:sz="4" w:space="0"/>
              <w:left w:val="single" w:color="auto" w:sz="4" w:space="0"/>
            </w:tcBorders>
          </w:tcPr>
          <w:p>
            <w:pPr>
              <w:spacing w:before="196"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利用渗井、渗坑、天然裂隙、溶洞或者国家禁止的其他方式排放放射性废液的</w:t>
            </w:r>
          </w:p>
        </w:tc>
        <w:tc>
          <w:tcPr>
            <w:tcW w:w="201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放射性废液量小活度低</w:t>
            </w:r>
          </w:p>
        </w:tc>
        <w:tc>
          <w:tcPr>
            <w:tcW w:w="98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bottom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放射性废液量大活度低</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bottom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放射性废液量小活度较高</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top w:val="single" w:color="auto" w:sz="4" w:space="0"/>
              <w:left w:val="single" w:color="auto" w:sz="4" w:space="0"/>
              <w:bottom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放射性废液量大活度较高</w:t>
            </w:r>
          </w:p>
        </w:tc>
        <w:tc>
          <w:tcPr>
            <w:tcW w:w="98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top w:val="single" w:color="auto" w:sz="4" w:space="0"/>
              <w:left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tcBorders>
          </w:tcPr>
          <w:p>
            <w:pPr>
              <w:spacing w:before="42"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left w:val="single" w:color="auto" w:sz="4" w:space="0"/>
            </w:tcBorders>
          </w:tcPr>
          <w:p>
            <w:pPr>
              <w:spacing w:before="41"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left w:val="single" w:color="auto" w:sz="4" w:space="0"/>
            </w:tcBorders>
          </w:tcPr>
          <w:p>
            <w:pPr>
              <w:spacing w:before="41"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tcPr>
          <w:p>
            <w:pPr>
              <w:spacing w:before="4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3"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tcPr>
          <w:p>
            <w:pPr>
              <w:spacing w:before="42"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bottom w:val="nil"/>
            </w:tcBorders>
            <w:vAlign w:val="center"/>
          </w:tcPr>
          <w:p>
            <w:pPr>
              <w:jc w:val="center"/>
              <w:rPr>
                <w:rFonts w:ascii="Malgun Gothic"/>
                <w:color w:val="000000" w:themeColor="text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98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bottom w:val="nil"/>
            </w:tcBorders>
            <w:vAlign w:val="center"/>
          </w:tcPr>
          <w:p>
            <w:pPr>
              <w:jc w:val="center"/>
              <w:rPr>
                <w:rFonts w:ascii="Malgun Gothic"/>
                <w:color w:val="000000" w:themeColor="text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tcBorders>
              <w:top w:val="nil"/>
              <w:bottom w:val="nil"/>
            </w:tcBorders>
            <w:vAlign w:val="center"/>
          </w:tcPr>
          <w:p>
            <w:pPr>
              <w:jc w:val="center"/>
              <w:rPr>
                <w:rFonts w:ascii="Malgun Gothic"/>
                <w:color w:val="000000" w:themeColor="text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56" w:type="dxa"/>
            <w:vMerge w:val="continue"/>
            <w:vAlign w:val="center"/>
          </w:tcPr>
          <w:p>
            <w:pPr>
              <w:jc w:val="center"/>
              <w:rPr>
                <w:rFonts w:ascii="Malgun Gothic"/>
                <w:color w:val="000000" w:themeColor="text1"/>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34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1.《中华人民共和国放射性污染防治法》第四十二条第三款禁止利用渗井、渗坑、天然裂隙、溶洞或者国家禁止的其他方式排放放射性废液。</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(三)不按照规定的方式排放放射性废液，利用渗井、渗坑、天然裂隙、溶洞或者国家禁止的其他方式排放放射性废液的；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63" w:name="_Toc5163"/>
      <w:bookmarkStart w:id="364" w:name="_Toc1851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127</w:t>
      </w:r>
      <w:r>
        <w:rPr>
          <w:rFonts w:hint="eastAsia" w:ascii="仿宋" w:hAnsi="仿宋" w:eastAsia="仿宋" w:cs="仿宋"/>
          <w:b/>
          <w:bCs/>
          <w:color w:val="000000" w:themeColor="text1"/>
          <w:kern w:val="0"/>
          <w:sz w:val="24"/>
          <w:lang w:val="zh-CN"/>
        </w:rPr>
        <w:t>不按照规定处理或者贮存不得向环境排放的放射性</w:t>
      </w:r>
      <w:bookmarkStart w:id="365" w:name="_Toc7875"/>
      <w:r>
        <w:rPr>
          <w:rFonts w:hint="eastAsia" w:ascii="仿宋" w:hAnsi="仿宋" w:eastAsia="仿宋" w:cs="仿宋"/>
          <w:b/>
          <w:bCs/>
          <w:color w:val="000000" w:themeColor="text1"/>
          <w:kern w:val="0"/>
          <w:sz w:val="24"/>
          <w:lang w:val="zh-CN"/>
        </w:rPr>
        <w:t>废液的罚款幅度裁定</w:t>
      </w:r>
      <w:bookmarkEnd w:id="363"/>
      <w:bookmarkEnd w:id="364"/>
      <w:bookmarkEnd w:id="365"/>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5"/>
        <w:gridCol w:w="1191"/>
        <w:gridCol w:w="729"/>
        <w:gridCol w:w="2727"/>
        <w:gridCol w:w="1186"/>
        <w:gridCol w:w="627"/>
        <w:gridCol w:w="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3395" w:type="dxa"/>
            <w:gridSpan w:val="3"/>
          </w:tcPr>
          <w:p>
            <w:pPr>
              <w:spacing w:before="175"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84" w:type="dxa"/>
            <w:gridSpan w:val="4"/>
          </w:tcPr>
          <w:p>
            <w:pPr>
              <w:spacing w:before="175"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147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19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29"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913"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27"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644"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7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1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2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72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不按照规定处理或者贮存不得向环境排放的放射性废液，量小活度低的</w:t>
            </w:r>
          </w:p>
        </w:tc>
        <w:tc>
          <w:tcPr>
            <w:tcW w:w="11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bottom w:val="single" w:color="auto" w:sz="4" w:space="0"/>
            </w:tcBorders>
          </w:tcPr>
          <w:p>
            <w:pPr>
              <w:spacing w:before="350"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7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vAlign w:val="center"/>
          </w:tcPr>
          <w:p>
            <w:pPr>
              <w:jc w:val="center"/>
              <w:rPr>
                <w:rFonts w:ascii="仿宋" w:hAnsi="仿宋" w:eastAsia="仿宋" w:cs="仿宋"/>
                <w:color w:val="000000" w:themeColor="text1"/>
                <w:spacing w:val="-1"/>
                <w:sz w:val="18"/>
                <w:szCs w:val="18"/>
              </w:rPr>
            </w:pPr>
          </w:p>
        </w:tc>
        <w:tc>
          <w:tcPr>
            <w:tcW w:w="729" w:type="dxa"/>
            <w:vMerge w:val="continue"/>
            <w:vAlign w:val="center"/>
          </w:tcPr>
          <w:p>
            <w:pPr>
              <w:jc w:val="center"/>
              <w:rPr>
                <w:rFonts w:ascii="仿宋" w:hAnsi="仿宋" w:eastAsia="仿宋" w:cs="仿宋"/>
                <w:color w:val="000000" w:themeColor="text1"/>
                <w:spacing w:val="-1"/>
                <w:sz w:val="18"/>
                <w:szCs w:val="18"/>
              </w:rPr>
            </w:pPr>
          </w:p>
        </w:tc>
        <w:tc>
          <w:tcPr>
            <w:tcW w:w="272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tcBorders>
          </w:tcPr>
          <w:p>
            <w:pPr>
              <w:spacing w:before="350"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72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不按照规定处理或者贮存不得向环境排放的放射性废液，量大活度低的</w:t>
            </w:r>
          </w:p>
        </w:tc>
        <w:tc>
          <w:tcPr>
            <w:tcW w:w="11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tcPr>
          <w:p>
            <w:pPr>
              <w:spacing w:before="352"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72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tcBorders>
          </w:tcPr>
          <w:p>
            <w:pPr>
              <w:spacing w:before="352"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72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不按照规定处理或者贮存不得向环境排放的放射性废液，量小活度较高的</w:t>
            </w:r>
          </w:p>
        </w:tc>
        <w:tc>
          <w:tcPr>
            <w:tcW w:w="11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4" w:type="dxa"/>
            <w:tcBorders>
              <w:left w:val="single" w:color="auto" w:sz="4" w:space="0"/>
              <w:bottom w:val="single" w:color="auto" w:sz="4" w:space="0"/>
            </w:tcBorders>
          </w:tcPr>
          <w:p>
            <w:pPr>
              <w:spacing w:before="352"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72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4" w:type="dxa"/>
            <w:tcBorders>
              <w:top w:val="single" w:color="auto" w:sz="4" w:space="0"/>
              <w:left w:val="single" w:color="auto" w:sz="4" w:space="0"/>
            </w:tcBorders>
          </w:tcPr>
          <w:p>
            <w:pPr>
              <w:spacing w:before="352"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7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72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不按照规定处理或者贮存不得向环境排放的放射性废液，量大活度较高的</w:t>
            </w:r>
          </w:p>
        </w:tc>
        <w:tc>
          <w:tcPr>
            <w:tcW w:w="11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4" w:type="dxa"/>
            <w:tcBorders>
              <w:left w:val="single" w:color="auto" w:sz="4" w:space="0"/>
              <w:bottom w:val="single" w:color="auto" w:sz="4" w:space="0"/>
            </w:tcBorders>
          </w:tcPr>
          <w:p>
            <w:pPr>
              <w:spacing w:before="353" w:line="184" w:lineRule="auto"/>
              <w:ind w:firstLine="174"/>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7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vAlign w:val="center"/>
          </w:tcPr>
          <w:p>
            <w:pPr>
              <w:jc w:val="center"/>
              <w:rPr>
                <w:rFonts w:ascii="仿宋" w:hAnsi="仿宋" w:eastAsia="仿宋" w:cs="仿宋"/>
                <w:color w:val="000000" w:themeColor="text1"/>
                <w:spacing w:val="-1"/>
                <w:sz w:val="18"/>
                <w:szCs w:val="18"/>
              </w:rPr>
            </w:pPr>
          </w:p>
        </w:tc>
        <w:tc>
          <w:tcPr>
            <w:tcW w:w="729" w:type="dxa"/>
            <w:vMerge w:val="continue"/>
            <w:vAlign w:val="center"/>
          </w:tcPr>
          <w:p>
            <w:pPr>
              <w:jc w:val="center"/>
              <w:rPr>
                <w:rFonts w:ascii="仿宋" w:hAnsi="仿宋" w:eastAsia="仿宋" w:cs="仿宋"/>
                <w:color w:val="000000" w:themeColor="text1"/>
                <w:spacing w:val="-1"/>
                <w:sz w:val="18"/>
                <w:szCs w:val="18"/>
              </w:rPr>
            </w:pPr>
          </w:p>
        </w:tc>
        <w:tc>
          <w:tcPr>
            <w:tcW w:w="272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4" w:type="dxa"/>
            <w:tcBorders>
              <w:top w:val="single" w:color="auto" w:sz="4" w:space="0"/>
              <w:left w:val="single" w:color="auto" w:sz="4" w:space="0"/>
            </w:tcBorders>
          </w:tcPr>
          <w:p>
            <w:pPr>
              <w:spacing w:before="353" w:line="184" w:lineRule="auto"/>
              <w:ind w:firstLine="174"/>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1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2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tcBorders>
          </w:tcPr>
          <w:p>
            <w:pPr>
              <w:spacing w:before="41"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left w:val="single" w:color="auto" w:sz="4" w:space="0"/>
            </w:tcBorders>
          </w:tcPr>
          <w:p>
            <w:pPr>
              <w:spacing w:before="41"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tcBorders>
          </w:tcPr>
          <w:p>
            <w:pPr>
              <w:spacing w:before="41"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left w:val="single" w:color="auto" w:sz="4" w:space="0"/>
            </w:tcBorders>
          </w:tcPr>
          <w:p>
            <w:pPr>
              <w:spacing w:before="43"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1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2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4" w:type="dxa"/>
            <w:tcBorders>
              <w:left w:val="single" w:color="auto" w:sz="4" w:space="0"/>
            </w:tcBorders>
          </w:tcPr>
          <w:p>
            <w:pPr>
              <w:spacing w:before="42"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1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2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continue"/>
            <w:tcBorders>
              <w:top w:val="nil"/>
              <w:bottom w:val="nil"/>
            </w:tcBorders>
            <w:vAlign w:val="center"/>
          </w:tcPr>
          <w:p>
            <w:pPr>
              <w:jc w:val="center"/>
              <w:rPr>
                <w:rFonts w:ascii="Malgun Gothic"/>
                <w:color w:val="000000" w:themeColor="text1"/>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continue"/>
            <w:tcBorders>
              <w:top w:val="nil"/>
              <w:bottom w:val="nil"/>
            </w:tcBorders>
            <w:vAlign w:val="center"/>
          </w:tcPr>
          <w:p>
            <w:pPr>
              <w:jc w:val="center"/>
              <w:rPr>
                <w:rFonts w:ascii="Malgun Gothic"/>
                <w:color w:val="000000" w:themeColor="text1"/>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continue"/>
            <w:tcBorders>
              <w:top w:val="nil"/>
              <w:bottom w:val="nil"/>
            </w:tcBorders>
            <w:vAlign w:val="center"/>
          </w:tcPr>
          <w:p>
            <w:pPr>
              <w:jc w:val="center"/>
              <w:rPr>
                <w:rFonts w:ascii="Malgun Gothic"/>
                <w:color w:val="000000" w:themeColor="text1"/>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75" w:type="dxa"/>
            <w:vMerge w:val="continue"/>
            <w:vAlign w:val="center"/>
          </w:tcPr>
          <w:p>
            <w:pPr>
              <w:jc w:val="center"/>
              <w:rPr>
                <w:rFonts w:ascii="Malgun Gothic"/>
                <w:color w:val="000000" w:themeColor="text1"/>
                <w:sz w:val="18"/>
                <w:szCs w:val="18"/>
              </w:rPr>
            </w:pPr>
          </w:p>
        </w:tc>
        <w:tc>
          <w:tcPr>
            <w:tcW w:w="1191" w:type="dxa"/>
            <w:vMerge w:val="continue"/>
            <w:vAlign w:val="center"/>
          </w:tcPr>
          <w:p>
            <w:pPr>
              <w:jc w:val="center"/>
              <w:rPr>
                <w:rFonts w:ascii="仿宋" w:hAnsi="仿宋" w:eastAsia="仿宋" w:cs="仿宋"/>
                <w:color w:val="000000" w:themeColor="text1"/>
                <w:spacing w:val="-1"/>
                <w:sz w:val="18"/>
                <w:szCs w:val="18"/>
              </w:rPr>
            </w:pPr>
          </w:p>
        </w:tc>
        <w:tc>
          <w:tcPr>
            <w:tcW w:w="729" w:type="dxa"/>
            <w:vMerge w:val="continue"/>
            <w:vAlign w:val="center"/>
          </w:tcPr>
          <w:p>
            <w:pPr>
              <w:jc w:val="center"/>
              <w:rPr>
                <w:rFonts w:ascii="仿宋" w:hAnsi="仿宋" w:eastAsia="仿宋" w:cs="仿宋"/>
                <w:color w:val="000000" w:themeColor="text1"/>
                <w:spacing w:val="-1"/>
                <w:sz w:val="18"/>
                <w:szCs w:val="18"/>
              </w:rPr>
            </w:pPr>
          </w:p>
        </w:tc>
        <w:tc>
          <w:tcPr>
            <w:tcW w:w="39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1.《中华人民共和国放射性污染防治法》第四十二条第一款产生放射性废液的单位，必须按照国家放射性污染防治标准的要求，对不得向环境排放的放射性废液进行处理或者贮存。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（四）不按照规定处理或者贮存不得向环境排放的放射性废液的；有前款第(四)项行为的，处1万元以上10万元以下罚款。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66" w:name="_Toc15495"/>
      <w:bookmarkStart w:id="367" w:name="_Toc1061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128</w:t>
      </w:r>
      <w:r>
        <w:rPr>
          <w:rFonts w:hint="eastAsia" w:ascii="仿宋" w:hAnsi="仿宋" w:eastAsia="仿宋" w:cs="仿宋"/>
          <w:b/>
          <w:bCs/>
          <w:color w:val="000000" w:themeColor="text1"/>
          <w:kern w:val="0"/>
          <w:sz w:val="24"/>
          <w:lang w:val="zh-CN"/>
        </w:rPr>
        <w:t>将放射性固体废物提供或者委托给无许可证的单位贮存和处置的罚款幅度裁定</w:t>
      </w:r>
      <w:bookmarkEnd w:id="366"/>
      <w:bookmarkEnd w:id="367"/>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0"/>
        <w:gridCol w:w="1147"/>
        <w:gridCol w:w="785"/>
        <w:gridCol w:w="2681"/>
        <w:gridCol w:w="1158"/>
        <w:gridCol w:w="596"/>
        <w:gridCol w:w="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6" w:hRule="atLeast"/>
        </w:trPr>
        <w:tc>
          <w:tcPr>
            <w:tcW w:w="3392" w:type="dxa"/>
            <w:gridSpan w:val="3"/>
          </w:tcPr>
          <w:p>
            <w:pPr>
              <w:spacing w:before="176"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067" w:type="dxa"/>
            <w:gridSpan w:val="4"/>
          </w:tcPr>
          <w:p>
            <w:pPr>
              <w:spacing w:before="176" w:line="184" w:lineRule="auto"/>
              <w:ind w:firstLine="1628"/>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1460"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14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8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839"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96"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632"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14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68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将放射性固体废物提供或者委托给无许可证的单位贮存和处置，量小活度低的</w:t>
            </w:r>
          </w:p>
        </w:tc>
        <w:tc>
          <w:tcPr>
            <w:tcW w:w="115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bottom w:val="single" w:color="auto" w:sz="4" w:space="0"/>
            </w:tcBorders>
          </w:tcPr>
          <w:p>
            <w:pPr>
              <w:spacing w:before="35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vAlign w:val="center"/>
          </w:tcPr>
          <w:p>
            <w:pPr>
              <w:jc w:val="center"/>
              <w:rPr>
                <w:rFonts w:ascii="仿宋" w:hAnsi="仿宋" w:eastAsia="仿宋" w:cs="仿宋"/>
                <w:color w:val="000000" w:themeColor="text1"/>
                <w:spacing w:val="-1"/>
                <w:sz w:val="18"/>
                <w:szCs w:val="18"/>
              </w:rPr>
            </w:pPr>
          </w:p>
        </w:tc>
        <w:tc>
          <w:tcPr>
            <w:tcW w:w="785" w:type="dxa"/>
            <w:vMerge w:val="continue"/>
            <w:vAlign w:val="center"/>
          </w:tcPr>
          <w:p>
            <w:pPr>
              <w:jc w:val="center"/>
              <w:rPr>
                <w:rFonts w:ascii="仿宋" w:hAnsi="仿宋" w:eastAsia="仿宋" w:cs="仿宋"/>
                <w:color w:val="000000" w:themeColor="text1"/>
                <w:spacing w:val="-1"/>
                <w:sz w:val="18"/>
                <w:szCs w:val="18"/>
              </w:rPr>
            </w:pPr>
          </w:p>
        </w:tc>
        <w:tc>
          <w:tcPr>
            <w:tcW w:w="268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5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9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auto" w:sz="4" w:space="0"/>
              <w:left w:val="single" w:color="auto" w:sz="4" w:space="0"/>
            </w:tcBorders>
          </w:tcPr>
          <w:p>
            <w:pPr>
              <w:spacing w:before="35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8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将放射性固体废物提供或者委托给无许可证的单位贮存和处置，量大活度低的</w:t>
            </w:r>
          </w:p>
        </w:tc>
        <w:tc>
          <w:tcPr>
            <w:tcW w:w="115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left w:val="single" w:color="auto" w:sz="4" w:space="0"/>
              <w:bottom w:val="single" w:color="auto" w:sz="4" w:space="0"/>
            </w:tcBorders>
          </w:tcPr>
          <w:p>
            <w:pPr>
              <w:spacing w:before="352"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8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5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9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top w:val="single" w:color="auto" w:sz="4" w:space="0"/>
              <w:left w:val="single" w:color="auto" w:sz="4" w:space="0"/>
            </w:tcBorders>
          </w:tcPr>
          <w:p>
            <w:pPr>
              <w:spacing w:before="352"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8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将放射性固体废物提供或者委托给无许可证的单位贮存和处置，量小活度较高的</w:t>
            </w:r>
          </w:p>
        </w:tc>
        <w:tc>
          <w:tcPr>
            <w:tcW w:w="115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2" w:type="dxa"/>
            <w:tcBorders>
              <w:left w:val="single" w:color="auto" w:sz="4" w:space="0"/>
              <w:bottom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8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5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9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2" w:type="dxa"/>
            <w:tcBorders>
              <w:top w:val="single" w:color="auto" w:sz="4" w:space="0"/>
              <w:left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68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将放射性固体废物提供或者委托给无许可证的单位贮存和处置，量大活度较高的</w:t>
            </w:r>
          </w:p>
        </w:tc>
        <w:tc>
          <w:tcPr>
            <w:tcW w:w="115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32" w:type="dxa"/>
            <w:tcBorders>
              <w:left w:val="single" w:color="auto" w:sz="4" w:space="0"/>
              <w:bottom w:val="single" w:color="auto" w:sz="4" w:space="0"/>
            </w:tcBorders>
          </w:tcPr>
          <w:p>
            <w:pPr>
              <w:spacing w:before="354" w:line="184" w:lineRule="auto"/>
              <w:ind w:firstLine="174"/>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vAlign w:val="center"/>
          </w:tcPr>
          <w:p>
            <w:pPr>
              <w:jc w:val="center"/>
              <w:rPr>
                <w:rFonts w:ascii="仿宋" w:hAnsi="仿宋" w:eastAsia="仿宋" w:cs="仿宋"/>
                <w:color w:val="000000" w:themeColor="text1"/>
                <w:spacing w:val="-1"/>
                <w:sz w:val="18"/>
                <w:szCs w:val="18"/>
              </w:rPr>
            </w:pPr>
          </w:p>
        </w:tc>
        <w:tc>
          <w:tcPr>
            <w:tcW w:w="785" w:type="dxa"/>
            <w:vMerge w:val="continue"/>
            <w:vAlign w:val="center"/>
          </w:tcPr>
          <w:p>
            <w:pPr>
              <w:jc w:val="center"/>
              <w:rPr>
                <w:rFonts w:ascii="仿宋" w:hAnsi="仿宋" w:eastAsia="仿宋" w:cs="仿宋"/>
                <w:color w:val="000000" w:themeColor="text1"/>
                <w:spacing w:val="-1"/>
                <w:sz w:val="18"/>
                <w:szCs w:val="18"/>
              </w:rPr>
            </w:pPr>
          </w:p>
        </w:tc>
        <w:tc>
          <w:tcPr>
            <w:tcW w:w="268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5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9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2" w:type="dxa"/>
            <w:tcBorders>
              <w:top w:val="single" w:color="auto" w:sz="4" w:space="0"/>
              <w:left w:val="single" w:color="auto" w:sz="4" w:space="0"/>
            </w:tcBorders>
          </w:tcPr>
          <w:p>
            <w:pPr>
              <w:spacing w:before="354" w:line="184" w:lineRule="auto"/>
              <w:ind w:firstLine="174"/>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14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tcBorders>
          </w:tcPr>
          <w:p>
            <w:pPr>
              <w:spacing w:before="42"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left w:val="single" w:color="auto" w:sz="4" w:space="0"/>
            </w:tcBorders>
          </w:tcPr>
          <w:p>
            <w:pPr>
              <w:spacing w:before="41"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left w:val="single" w:color="auto" w:sz="4" w:space="0"/>
            </w:tcBorders>
          </w:tcPr>
          <w:p>
            <w:pPr>
              <w:spacing w:before="41"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14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left w:val="single" w:color="auto" w:sz="4" w:space="0"/>
            </w:tcBorders>
          </w:tcPr>
          <w:p>
            <w:pPr>
              <w:spacing w:before="43"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14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60" w:type="dxa"/>
            <w:vMerge w:val="continue"/>
            <w:vAlign w:val="center"/>
          </w:tcPr>
          <w:p>
            <w:pPr>
              <w:jc w:val="center"/>
              <w:rPr>
                <w:rFonts w:ascii="仿宋" w:hAnsi="仿宋" w:eastAsia="仿宋" w:cs="仿宋"/>
                <w:color w:val="000000" w:themeColor="text1"/>
                <w:sz w:val="18"/>
                <w:szCs w:val="18"/>
              </w:rPr>
            </w:pPr>
          </w:p>
        </w:tc>
        <w:tc>
          <w:tcPr>
            <w:tcW w:w="1147" w:type="dxa"/>
            <w:vMerge w:val="continue"/>
            <w:vAlign w:val="center"/>
          </w:tcPr>
          <w:p>
            <w:pPr>
              <w:jc w:val="center"/>
              <w:rPr>
                <w:rFonts w:ascii="仿宋" w:hAnsi="仿宋" w:eastAsia="仿宋" w:cs="仿宋"/>
                <w:color w:val="000000" w:themeColor="text1"/>
                <w:spacing w:val="-1"/>
                <w:sz w:val="18"/>
                <w:szCs w:val="18"/>
              </w:rPr>
            </w:pPr>
          </w:p>
        </w:tc>
        <w:tc>
          <w:tcPr>
            <w:tcW w:w="785" w:type="dxa"/>
            <w:vMerge w:val="continue"/>
            <w:vAlign w:val="center"/>
          </w:tcPr>
          <w:p>
            <w:pPr>
              <w:jc w:val="center"/>
              <w:rPr>
                <w:rFonts w:ascii="仿宋" w:hAnsi="仿宋" w:eastAsia="仿宋" w:cs="仿宋"/>
                <w:color w:val="000000" w:themeColor="text1"/>
                <w:spacing w:val="-1"/>
                <w:sz w:val="18"/>
                <w:szCs w:val="18"/>
              </w:rPr>
            </w:pPr>
          </w:p>
        </w:tc>
        <w:tc>
          <w:tcPr>
            <w:tcW w:w="383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84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84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1.《中华人民共和国放射性污染防治法》第四十六条第三款禁止将放射性固体废物提供或者委托给无许可证的单位贮存和处置。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(五)将放射性固体废物提供或者委托给无许可证的单位贮存和处置的。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68" w:name="_Toc14529"/>
      <w:bookmarkStart w:id="369" w:name="_Toc890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129</w:t>
      </w:r>
      <w:r>
        <w:rPr>
          <w:rFonts w:hint="eastAsia" w:ascii="仿宋" w:hAnsi="仿宋" w:eastAsia="仿宋" w:cs="仿宋"/>
          <w:b/>
          <w:bCs/>
          <w:color w:val="000000" w:themeColor="text1"/>
          <w:kern w:val="0"/>
          <w:sz w:val="24"/>
          <w:lang w:val="zh-CN"/>
        </w:rPr>
        <w:t>不按照规定设置放射性标识、标志、中文警示说明的罚款幅度裁定</w:t>
      </w:r>
      <w:bookmarkEnd w:id="368"/>
      <w:bookmarkEnd w:id="369"/>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6"/>
        <w:gridCol w:w="1898"/>
        <w:gridCol w:w="797"/>
        <w:gridCol w:w="1597"/>
        <w:gridCol w:w="1620"/>
        <w:gridCol w:w="559"/>
        <w:gridCol w:w="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6" w:hRule="atLeast"/>
        </w:trPr>
        <w:tc>
          <w:tcPr>
            <w:tcW w:w="4191"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68"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1496"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898"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9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217"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59"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92"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149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8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9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不按照规定设置中文警示说明，经责令限期改正但逾期不改正的</w:t>
            </w:r>
          </w:p>
        </w:tc>
        <w:tc>
          <w:tcPr>
            <w:tcW w:w="1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55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2"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55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2"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149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9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不按照规定设置放射性标识、标志，经责令限期改正但逾期不改正的</w:t>
            </w:r>
          </w:p>
        </w:tc>
        <w:tc>
          <w:tcPr>
            <w:tcW w:w="1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55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92"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149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55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92"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8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8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8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2"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continue"/>
            <w:tcBorders>
              <w:top w:val="nil"/>
              <w:bottom w:val="nil"/>
            </w:tcBorders>
            <w:vAlign w:val="center"/>
          </w:tcPr>
          <w:p>
            <w:pPr>
              <w:jc w:val="center"/>
              <w:rPr>
                <w:rFonts w:ascii="Malgun Gothic"/>
                <w:color w:val="000000" w:themeColor="text1"/>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continue"/>
            <w:tcBorders>
              <w:top w:val="nil"/>
              <w:bottom w:val="nil"/>
            </w:tcBorders>
            <w:vAlign w:val="center"/>
          </w:tcPr>
          <w:p>
            <w:pPr>
              <w:jc w:val="center"/>
              <w:rPr>
                <w:rFonts w:ascii="Malgun Gothic"/>
                <w:color w:val="000000" w:themeColor="text1"/>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continue"/>
            <w:tcBorders>
              <w:top w:val="nil"/>
              <w:bottom w:val="nil"/>
            </w:tcBorders>
            <w:vAlign w:val="center"/>
          </w:tcPr>
          <w:p>
            <w:pPr>
              <w:jc w:val="center"/>
              <w:rPr>
                <w:rFonts w:ascii="Malgun Gothic"/>
                <w:color w:val="000000" w:themeColor="text1"/>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96" w:type="dxa"/>
            <w:vMerge w:val="continue"/>
            <w:vAlign w:val="center"/>
          </w:tcPr>
          <w:p>
            <w:pPr>
              <w:jc w:val="center"/>
              <w:rPr>
                <w:rFonts w:ascii="Malgun Gothic"/>
                <w:color w:val="000000" w:themeColor="text1"/>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十六条放射性物质和射线装置应当设置明显的放射性标识和中文警示说明。生产、销售、使用、贮存、处置放射性物质和射线装置的场所，以及运输放射性物质和含放射源的射线装置的工具，应当设置明显的放射性标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五条违反本法规定，有下列行为之一的，由县级以上人民政府环境保护行政主管部门或者其他有关部门依据职权责令限期改正；逾期不改正的，责令停产停业，并处2万元以上10万元以下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(一)不按照规定设置放射性标识、标志、中文警示说明的；</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0" w:name="_Toc26507"/>
      <w:bookmarkStart w:id="371" w:name="_Toc1087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130</w:t>
      </w:r>
      <w:r>
        <w:rPr>
          <w:rFonts w:hint="eastAsia" w:ascii="仿宋" w:hAnsi="仿宋" w:eastAsia="仿宋" w:cs="仿宋"/>
          <w:b/>
          <w:bCs/>
          <w:color w:val="000000" w:themeColor="text1"/>
          <w:kern w:val="0"/>
          <w:sz w:val="24"/>
          <w:lang w:val="zh-CN"/>
        </w:rPr>
        <w:t>不按照规定建立健全安全保卫制度和制定事故应急计划或者应急措施的；不按照规定报告放射源丢失、被盗情况或者放射性污染事故的罚款幅度裁定</w:t>
      </w:r>
      <w:bookmarkEnd w:id="370"/>
      <w:bookmarkEnd w:id="371"/>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984"/>
        <w:gridCol w:w="795"/>
        <w:gridCol w:w="3115"/>
        <w:gridCol w:w="927"/>
        <w:gridCol w:w="684"/>
        <w:gridCol w:w="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3259" w:type="dxa"/>
            <w:gridSpan w:val="3"/>
          </w:tcPr>
          <w:p>
            <w:pPr>
              <w:spacing w:before="177"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380" w:type="dxa"/>
            <w:gridSpan w:val="4"/>
          </w:tcPr>
          <w:p>
            <w:pPr>
              <w:spacing w:before="177" w:line="184" w:lineRule="auto"/>
              <w:ind w:firstLine="1623"/>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1480"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984"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9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4042"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84" w:type="dxa"/>
            <w:vAlign w:val="center"/>
          </w:tcPr>
          <w:p>
            <w:pPr>
              <w:spacing w:before="205" w:line="185"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4"/>
                <w:sz w:val="18"/>
                <w:szCs w:val="18"/>
              </w:rPr>
              <w:t>百分比</w:t>
            </w:r>
          </w:p>
        </w:tc>
        <w:tc>
          <w:tcPr>
            <w:tcW w:w="654" w:type="dxa"/>
            <w:vAlign w:val="center"/>
          </w:tcPr>
          <w:p>
            <w:pPr>
              <w:spacing w:before="205" w:line="185"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restart"/>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984"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9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不按照规定建立健全安全保卫制度，经责令限期改正但逾期不改正的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4" w:type="dxa"/>
            <w:tcBorders>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不按照规定制定事故应急计划或者应急措施，经责令限期改正但逾期不改正的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不按照规定报告Ⅳ类、Ⅴ类放射源丢失、被盗情况或者一般放射性环境事件，经责令限期改正但逾期不改正的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不按照规定报告Ⅲ类源放射源丢失、被盗情况或者较大放射性环境事件，经责令限期改正但逾期不改正的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不按照规定报告Ⅱ类放射源丢失、被盗情况或者重大放射性环境事件，经责令限期改正但逾期不改正的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0" w:hRule="atLeast"/>
        </w:trPr>
        <w:tc>
          <w:tcPr>
            <w:tcW w:w="1480"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不按照规定报告Ⅰ类放射源丢失、被盗情况或者特别重大放射性环境事件，经责令限期改正但逾期不改正的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9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9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80" w:type="dxa"/>
            <w:vMerge w:val="continue"/>
            <w:vAlign w:val="center"/>
          </w:tcPr>
          <w:p>
            <w:pPr>
              <w:jc w:val="center"/>
              <w:rPr>
                <w:rFonts w:ascii="仿宋" w:hAnsi="仿宋" w:eastAsia="仿宋" w:cs="仿宋"/>
                <w:color w:val="000000" w:themeColor="text1"/>
                <w:sz w:val="18"/>
                <w:szCs w:val="18"/>
              </w:rPr>
            </w:pPr>
          </w:p>
        </w:tc>
        <w:tc>
          <w:tcPr>
            <w:tcW w:w="984"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40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86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三十三条第一款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五条违反本法规定，有下列行为之一的，由县级以上人民政府环境保护行政主管部门或者其他有关部门依据职权责令限期改正；逾期不改正的，责令停产停业，并处2万元以上10万元以下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(二)不按照规定建立健全安全保卫制度和制定事故应急计划或者应急措施的；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(三)不按照规定报告放射源丢失、被盗情况或者放射性污染事故的。</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lang w:val="zh-CN"/>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2" w:name="_Toc9888"/>
      <w:bookmarkStart w:id="373" w:name="_Toc676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131</w:t>
      </w:r>
      <w:r>
        <w:rPr>
          <w:rFonts w:hint="eastAsia" w:ascii="仿宋" w:hAnsi="仿宋" w:eastAsia="仿宋" w:cs="仿宋"/>
          <w:b/>
          <w:bCs/>
          <w:color w:val="000000" w:themeColor="text1"/>
          <w:kern w:val="0"/>
          <w:sz w:val="24"/>
          <w:lang w:val="zh-CN"/>
        </w:rPr>
        <w:t>产生放射性固体废物的单位不按照规定对其产生的放射性固体废物进行处理后，送交放射性固体废物处置单位处置的罚款幅度裁定</w:t>
      </w:r>
      <w:bookmarkEnd w:id="372"/>
      <w:bookmarkEnd w:id="373"/>
    </w:p>
    <w:p>
      <w:pPr>
        <w:kinsoku w:val="0"/>
        <w:autoSpaceDE w:val="0"/>
        <w:autoSpaceDN w:val="0"/>
        <w:adjustRightInd w:val="0"/>
        <w:snapToGrid w:val="0"/>
        <w:jc w:val="center"/>
        <w:textAlignment w:val="baseline"/>
        <w:rPr>
          <w:rFonts w:ascii="仿宋" w:hAnsi="仿宋" w:eastAsia="仿宋" w:cs="仿宋"/>
          <w:b/>
          <w:bCs/>
          <w:color w:val="000000" w:themeColor="text1"/>
          <w:kern w:val="0"/>
          <w:sz w:val="28"/>
          <w:szCs w:val="28"/>
          <w:lang w:val="zh-CN"/>
        </w:rPr>
      </w:pPr>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1739"/>
        <w:gridCol w:w="1020"/>
        <w:gridCol w:w="3237"/>
        <w:gridCol w:w="553"/>
        <w:gridCol w:w="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4114" w:type="dxa"/>
            <w:gridSpan w:val="3"/>
          </w:tcPr>
          <w:p>
            <w:pPr>
              <w:spacing w:before="178" w:line="184" w:lineRule="auto"/>
              <w:ind w:firstLine="148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405" w:type="dxa"/>
            <w:gridSpan w:val="3"/>
          </w:tcPr>
          <w:p>
            <w:pPr>
              <w:spacing w:before="178" w:line="184" w:lineRule="auto"/>
              <w:ind w:firstLine="1636"/>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135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739"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020" w:type="dxa"/>
            <w:vAlign w:val="center"/>
          </w:tcPr>
          <w:p>
            <w:pPr>
              <w:spacing w:before="205" w:line="185"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4"/>
                <w:sz w:val="18"/>
                <w:szCs w:val="18"/>
              </w:rPr>
              <w:t>构成比例</w:t>
            </w:r>
          </w:p>
        </w:tc>
        <w:tc>
          <w:tcPr>
            <w:tcW w:w="323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53"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615"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产生的放射性固体废物</w:t>
            </w: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量小活度低的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5" w:type="dxa"/>
            <w:tcBorders>
              <w:left w:val="single" w:color="auto" w:sz="4" w:space="0"/>
            </w:tcBorders>
          </w:tcPr>
          <w:p>
            <w:pPr>
              <w:spacing w:before="41" w:line="184" w:lineRule="auto"/>
              <w:ind w:firstLine="29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量大活度低的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left w:val="single" w:color="auto" w:sz="4" w:space="0"/>
            </w:tcBorders>
          </w:tcPr>
          <w:p>
            <w:pPr>
              <w:spacing w:before="41" w:line="184" w:lineRule="auto"/>
              <w:ind w:firstLine="235"/>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量小活度高的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5" w:type="dxa"/>
            <w:tcBorders>
              <w:left w:val="single" w:color="auto" w:sz="4" w:space="0"/>
            </w:tcBorders>
          </w:tcPr>
          <w:p>
            <w:pPr>
              <w:spacing w:before="81" w:line="184" w:lineRule="auto"/>
              <w:ind w:firstLine="17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量大活度高的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5" w:type="dxa"/>
            <w:tcBorders>
              <w:left w:val="single" w:color="auto" w:sz="4" w:space="0"/>
            </w:tcBorders>
          </w:tcPr>
          <w:p>
            <w:pPr>
              <w:spacing w:before="43" w:line="184" w:lineRule="auto"/>
              <w:ind w:firstLine="17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产生的固体</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废物放射源</w:t>
            </w:r>
          </w:p>
          <w:p>
            <w:pPr>
              <w:jc w:val="center"/>
              <w:rPr>
                <w:rFonts w:ascii="仿宋" w:hAnsi="仿宋" w:eastAsia="仿宋" w:cs="仿宋"/>
                <w:color w:val="000000" w:themeColor="text1"/>
                <w:spacing w:val="-1"/>
                <w:sz w:val="18"/>
                <w:szCs w:val="18"/>
              </w:rPr>
            </w:pP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属Ⅴ类放射源的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5" w:type="dxa"/>
            <w:tcBorders>
              <w:left w:val="single" w:color="auto" w:sz="4" w:space="0"/>
            </w:tcBorders>
          </w:tcPr>
          <w:p>
            <w:pPr>
              <w:spacing w:before="42" w:line="184" w:lineRule="auto"/>
              <w:ind w:firstLine="29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属Ⅳ类放射源的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left w:val="single" w:color="auto" w:sz="4" w:space="0"/>
            </w:tcBorders>
          </w:tcPr>
          <w:p>
            <w:pPr>
              <w:spacing w:before="42" w:line="184" w:lineRule="auto"/>
              <w:ind w:firstLine="235"/>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属Ⅲ类放射源的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5" w:type="dxa"/>
            <w:tcBorders>
              <w:left w:val="single" w:color="auto" w:sz="4" w:space="0"/>
            </w:tcBorders>
          </w:tcPr>
          <w:p>
            <w:pPr>
              <w:spacing w:before="41" w:line="184" w:lineRule="auto"/>
              <w:ind w:firstLine="17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属Ⅱ类放射源的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5" w:type="dxa"/>
            <w:tcBorders>
              <w:left w:val="single" w:color="auto" w:sz="4" w:space="0"/>
            </w:tcBorders>
          </w:tcPr>
          <w:p>
            <w:pPr>
              <w:spacing w:before="41" w:line="184" w:lineRule="auto"/>
              <w:ind w:firstLine="17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属Ⅰ类放射源的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5" w:type="dxa"/>
            <w:tcBorders>
              <w:left w:val="single" w:color="auto" w:sz="4" w:space="0"/>
            </w:tcBorders>
          </w:tcPr>
          <w:p>
            <w:pPr>
              <w:spacing w:before="41" w:line="184" w:lineRule="auto"/>
              <w:ind w:firstLine="173"/>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5" w:type="dxa"/>
            <w:tcBorders>
              <w:left w:val="single" w:color="auto" w:sz="4" w:space="0"/>
            </w:tcBorders>
          </w:tcPr>
          <w:p>
            <w:pPr>
              <w:spacing w:before="43" w:line="184" w:lineRule="auto"/>
              <w:ind w:firstLine="476"/>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5"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5" w:type="dxa"/>
            <w:tcBorders>
              <w:left w:val="single" w:color="auto" w:sz="4" w:space="0"/>
            </w:tcBorders>
          </w:tcPr>
          <w:p>
            <w:pPr>
              <w:spacing w:before="41" w:line="184" w:lineRule="auto"/>
              <w:ind w:firstLine="413"/>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配合调查取证情况</w:t>
            </w: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5" w:type="dxa"/>
            <w:tcBorders>
              <w:left w:val="single" w:color="auto" w:sz="4" w:space="0"/>
            </w:tcBorders>
          </w:tcPr>
          <w:p>
            <w:pPr>
              <w:spacing w:before="41"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left w:val="single" w:color="auto" w:sz="4" w:space="0"/>
            </w:tcBorders>
          </w:tcPr>
          <w:p>
            <w:pPr>
              <w:spacing w:before="41" w:line="184" w:lineRule="auto"/>
              <w:ind w:firstLine="480"/>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5"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5"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5"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55" w:type="dxa"/>
            <w:vMerge w:val="continue"/>
            <w:vAlign w:val="center"/>
          </w:tcPr>
          <w:p>
            <w:pPr>
              <w:jc w:val="center"/>
              <w:rPr>
                <w:rFonts w:ascii="仿宋" w:hAnsi="仿宋" w:eastAsia="仿宋" w:cs="仿宋"/>
                <w:color w:val="000000" w:themeColor="text1"/>
                <w:sz w:val="18"/>
                <w:szCs w:val="18"/>
              </w:rPr>
            </w:pPr>
          </w:p>
        </w:tc>
        <w:tc>
          <w:tcPr>
            <w:tcW w:w="1739" w:type="dxa"/>
            <w:vMerge w:val="continue"/>
            <w:vAlign w:val="center"/>
          </w:tcPr>
          <w:p>
            <w:pPr>
              <w:jc w:val="center"/>
              <w:rPr>
                <w:rFonts w:ascii="仿宋" w:hAnsi="仿宋" w:eastAsia="仿宋" w:cs="仿宋"/>
                <w:color w:val="000000" w:themeColor="text1"/>
                <w:spacing w:val="-1"/>
                <w:sz w:val="18"/>
                <w:szCs w:val="18"/>
              </w:rPr>
            </w:pPr>
          </w:p>
        </w:tc>
        <w:tc>
          <w:tcPr>
            <w:tcW w:w="1020" w:type="dxa"/>
            <w:vMerge w:val="continue"/>
            <w:vAlign w:val="center"/>
          </w:tcPr>
          <w:p>
            <w:pPr>
              <w:jc w:val="center"/>
              <w:rPr>
                <w:rFonts w:ascii="仿宋" w:hAnsi="仿宋" w:eastAsia="仿宋" w:cs="仿宋"/>
                <w:color w:val="000000" w:themeColor="text1"/>
                <w:spacing w:val="-1"/>
                <w:sz w:val="18"/>
                <w:szCs w:val="18"/>
              </w:rPr>
            </w:pPr>
          </w:p>
        </w:tc>
        <w:tc>
          <w:tcPr>
            <w:tcW w:w="323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519"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519"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五条第一款产生放射性固体废物的单位，应当按照国务院环境保护行政主管部门的规定，对其产生的放射性固体废物进行处理后，送交放射性固体废物处置单位处置，并承担处置费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20万元以下罚款；构成犯罪的，依法追究刑事责任。</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4" w:name="_Toc8887"/>
      <w:bookmarkStart w:id="375" w:name="_Toc2107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132</w:t>
      </w:r>
      <w:r>
        <w:rPr>
          <w:rFonts w:hint="eastAsia" w:ascii="仿宋" w:hAnsi="仿宋" w:eastAsia="仿宋" w:cs="仿宋"/>
          <w:b/>
          <w:bCs/>
          <w:color w:val="000000" w:themeColor="text1"/>
          <w:kern w:val="0"/>
          <w:sz w:val="24"/>
          <w:lang w:val="zh-CN"/>
        </w:rPr>
        <w:t>未经许可，擅自从事贮存和处置放射性固体废物活动的；不按照许可的有关规定从事贮存和处置放射性固体废物活动的罚款幅度裁定</w:t>
      </w:r>
      <w:bookmarkEnd w:id="374"/>
      <w:bookmarkEnd w:id="375"/>
    </w:p>
    <w:tbl>
      <w:tblPr>
        <w:tblStyle w:val="15"/>
        <w:tblW w:w="8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1"/>
        <w:gridCol w:w="1248"/>
        <w:gridCol w:w="998"/>
        <w:gridCol w:w="1267"/>
        <w:gridCol w:w="2422"/>
        <w:gridCol w:w="600"/>
        <w:gridCol w:w="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3747" w:type="dxa"/>
            <w:gridSpan w:val="3"/>
          </w:tcPr>
          <w:p>
            <w:pPr>
              <w:spacing w:before="178"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952" w:type="dxa"/>
            <w:gridSpan w:val="4"/>
            <w:tcBorders>
              <w:bottom w:val="single" w:color="auto" w:sz="4" w:space="0"/>
            </w:tcBorders>
          </w:tcPr>
          <w:p>
            <w:pPr>
              <w:spacing w:before="178" w:line="184" w:lineRule="auto"/>
              <w:ind w:firstLine="1628"/>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150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248"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998"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689" w:type="dxa"/>
            <w:gridSpan w:val="2"/>
            <w:tcBorders>
              <w:top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00" w:type="dxa"/>
            <w:tcBorders>
              <w:top w:val="single" w:color="auto" w:sz="4" w:space="0"/>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663" w:type="dxa"/>
            <w:tcBorders>
              <w:top w:val="single" w:color="auto" w:sz="4" w:space="0"/>
              <w:lef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2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没有违法所得的</w:t>
            </w:r>
          </w:p>
        </w:tc>
        <w:tc>
          <w:tcPr>
            <w:tcW w:w="24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违法所得不足10万元的</w:t>
            </w:r>
          </w:p>
        </w:tc>
        <w:tc>
          <w:tcPr>
            <w:tcW w:w="24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6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违法所得10万元以上50万元以下的</w:t>
            </w:r>
          </w:p>
        </w:tc>
        <w:tc>
          <w:tcPr>
            <w:tcW w:w="24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违法所得50万元以上的</w:t>
            </w:r>
          </w:p>
        </w:tc>
        <w:tc>
          <w:tcPr>
            <w:tcW w:w="24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3" w:type="dxa"/>
            <w:vMerge w:val="restart"/>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63" w:type="dxa"/>
            <w:vMerge w:val="continue"/>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配合调查取证情况</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501" w:type="dxa"/>
            <w:vMerge w:val="continue"/>
            <w:vAlign w:val="center"/>
          </w:tcPr>
          <w:p>
            <w:pPr>
              <w:jc w:val="center"/>
              <w:rPr>
                <w:rFonts w:ascii="仿宋" w:hAnsi="仿宋" w:eastAsia="仿宋" w:cs="仿宋"/>
                <w:color w:val="000000" w:themeColor="text1"/>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36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869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w:t>
            </w:r>
          </w:p>
          <w:p>
            <w:pPr>
              <w:ind w:firstLine="462" w:firstLineChars="300"/>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 罚款金额＝违法所得×1～5（由总百分值确定），但罚款金额不能低于违法所得的1倍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86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1.《中华人民共和国放射性污染防治法》第四十六条设立专门从事放射性固体废物贮存、处置的单位，必须经国务院环境保护行政主管部门审查批准，取得许可证。具体办法由国务院规定。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禁止未经许可或者不按照许可的有关规定从事贮存和处置放射性固体废物的活动。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禁止将放射性固体废物提供或者委托给无许可证的单位贮存和处置。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七条违反本法规定，有下列行为之一的，由省级以上人民政府环境保护行政主管部门责令停产停业或者吊销许可证；有违法所得的，没收违法所得；违法所得10万元以上的，并处违法所得一倍以上五倍以下罚款；没有违法所得或者违法所得不足10万元的，并处5万元以上10万元以下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(一)未经许可，擅自从事贮存和处置放射性固体废物活动的；(二)不按照许可的有关规定从事贮存和处置放射性固体废物活动的。</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6</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7</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7</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9</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9</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5</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6" w:name="_Toc28510"/>
      <w:bookmarkStart w:id="377" w:name="_Toc3210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133</w:t>
      </w:r>
      <w:r>
        <w:rPr>
          <w:rFonts w:hint="eastAsia" w:ascii="仿宋" w:hAnsi="仿宋" w:eastAsia="仿宋" w:cs="仿宋"/>
          <w:b/>
          <w:bCs/>
          <w:color w:val="000000" w:themeColor="text1"/>
          <w:kern w:val="0"/>
          <w:sz w:val="24"/>
          <w:lang w:val="zh-CN"/>
        </w:rPr>
        <w:t>在室外、野外使用放射性同位素和射线装置，未按照国家有关安全和防护标准的要求划出安全防护区域和设置明显的放射性标志的罚款幅度裁定</w:t>
      </w:r>
      <w:bookmarkEnd w:id="376"/>
      <w:bookmarkEnd w:id="377"/>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5"/>
        <w:gridCol w:w="1614"/>
        <w:gridCol w:w="1023"/>
        <w:gridCol w:w="1452"/>
        <w:gridCol w:w="1697"/>
        <w:gridCol w:w="621"/>
        <w:gridCol w:w="5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4102"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77" w:type="dxa"/>
            <w:gridSpan w:val="4"/>
          </w:tcPr>
          <w:p>
            <w:pPr>
              <w:spacing w:before="177"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146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614"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02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149"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21"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07"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0" w:hRule="atLeast"/>
        </w:trPr>
        <w:tc>
          <w:tcPr>
            <w:tcW w:w="146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6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已划出安全防护区域/已设置明显的放射性标志，但不符合规定的</w:t>
            </w:r>
          </w:p>
        </w:tc>
        <w:tc>
          <w:tcPr>
            <w:tcW w:w="16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7" w:type="dxa"/>
            <w:tcBorders>
              <w:left w:val="single" w:color="auto" w:sz="4" w:space="0"/>
              <w:bottom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6"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07" w:type="dxa"/>
            <w:tcBorders>
              <w:top w:val="single" w:color="auto" w:sz="4" w:space="0"/>
              <w:left w:val="single" w:color="auto" w:sz="4" w:space="0"/>
              <w:bottom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6"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7" w:type="dxa"/>
            <w:tcBorders>
              <w:top w:val="single" w:color="auto" w:sz="4" w:space="0"/>
              <w:left w:val="single" w:color="auto" w:sz="4" w:space="0"/>
              <w:bottom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6"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7" w:type="dxa"/>
            <w:tcBorders>
              <w:top w:val="single" w:color="auto" w:sz="4" w:space="0"/>
              <w:left w:val="single" w:color="auto" w:sz="4" w:space="0"/>
              <w:bottom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6"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7" w:type="dxa"/>
            <w:tcBorders>
              <w:top w:val="single" w:color="auto" w:sz="4" w:space="0"/>
              <w:left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2" w:hRule="atLeast"/>
        </w:trPr>
        <w:tc>
          <w:tcPr>
            <w:tcW w:w="146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未划出安全防护区域和设置明显的放射性标志的</w:t>
            </w:r>
          </w:p>
        </w:tc>
        <w:tc>
          <w:tcPr>
            <w:tcW w:w="16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07" w:type="dxa"/>
            <w:tcBorders>
              <w:left w:val="single" w:color="auto" w:sz="4" w:space="0"/>
              <w:bottom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46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07" w:type="dxa"/>
            <w:tcBorders>
              <w:top w:val="single" w:color="auto" w:sz="4" w:space="0"/>
              <w:left w:val="single" w:color="auto" w:sz="4" w:space="0"/>
              <w:bottom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07" w:type="dxa"/>
            <w:tcBorders>
              <w:top w:val="single" w:color="auto" w:sz="4" w:space="0"/>
              <w:left w:val="single" w:color="auto" w:sz="4" w:space="0"/>
              <w:bottom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07" w:type="dxa"/>
            <w:tcBorders>
              <w:top w:val="single" w:color="auto" w:sz="4" w:space="0"/>
              <w:left w:val="single" w:color="auto" w:sz="4" w:space="0"/>
              <w:bottom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07" w:type="dxa"/>
            <w:tcBorders>
              <w:top w:val="single" w:color="auto" w:sz="4" w:space="0"/>
              <w:left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6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7" w:type="dxa"/>
            <w:tcBorders>
              <w:left w:val="single" w:color="auto" w:sz="4" w:space="0"/>
            </w:tcBorders>
          </w:tcPr>
          <w:p>
            <w:pPr>
              <w:spacing w:before="43" w:line="184" w:lineRule="auto"/>
              <w:ind w:firstLine="46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7"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7"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7" w:type="dxa"/>
            <w:tcBorders>
              <w:left w:val="single" w:color="auto" w:sz="4" w:space="0"/>
            </w:tcBorders>
          </w:tcPr>
          <w:p>
            <w:pPr>
              <w:spacing w:before="42" w:line="184" w:lineRule="auto"/>
              <w:ind w:firstLine="40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6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是否完成改正</w:t>
            </w:r>
          </w:p>
        </w:tc>
        <w:tc>
          <w:tcPr>
            <w:tcW w:w="10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7" w:type="dxa"/>
            <w:tcBorders>
              <w:left w:val="single" w:color="auto" w:sz="4" w:space="0"/>
            </w:tcBorders>
          </w:tcPr>
          <w:p>
            <w:pPr>
              <w:spacing w:before="41"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7" w:type="dxa"/>
            <w:tcBorders>
              <w:left w:val="single" w:color="auto" w:sz="4" w:space="0"/>
            </w:tcBorders>
          </w:tcPr>
          <w:p>
            <w:pPr>
              <w:spacing w:before="41" w:line="184" w:lineRule="auto"/>
              <w:ind w:firstLine="47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6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continue"/>
            <w:tcBorders>
              <w:top w:val="nil"/>
              <w:bottom w:val="nil"/>
            </w:tcBorders>
            <w:vAlign w:val="center"/>
          </w:tcPr>
          <w:p>
            <w:pPr>
              <w:jc w:val="center"/>
              <w:rPr>
                <w:rFonts w:ascii="Malgun Gothic"/>
                <w:color w:val="000000" w:themeColor="text1"/>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continue"/>
            <w:tcBorders>
              <w:top w:val="nil"/>
              <w:bottom w:val="nil"/>
            </w:tcBorders>
            <w:vAlign w:val="center"/>
          </w:tcPr>
          <w:p>
            <w:pPr>
              <w:jc w:val="center"/>
              <w:rPr>
                <w:rFonts w:ascii="Malgun Gothic"/>
                <w:color w:val="000000" w:themeColor="text1"/>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continue"/>
            <w:tcBorders>
              <w:top w:val="nil"/>
              <w:bottom w:val="nil"/>
            </w:tcBorders>
            <w:vAlign w:val="center"/>
          </w:tcPr>
          <w:p>
            <w:pPr>
              <w:jc w:val="center"/>
              <w:rPr>
                <w:rFonts w:ascii="Malgun Gothic"/>
                <w:color w:val="000000" w:themeColor="text1"/>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65" w:type="dxa"/>
            <w:vMerge w:val="continue"/>
            <w:vAlign w:val="center"/>
          </w:tcPr>
          <w:p>
            <w:pPr>
              <w:jc w:val="center"/>
              <w:rPr>
                <w:rFonts w:ascii="Malgun Gothic"/>
                <w:color w:val="000000" w:themeColor="text1"/>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314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六条第一款在室外、野外使用放射性同位素和射线装置的，应当按照国家安全和防护标准的要求划出安全防护区域，设置明显的放射性标志，必要时设专人警戒。</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七条违反本条例规定，生产、销售、使用放射性同位素和射线装置的单位有下列行为之一的，由县级以上人民政府环境保护主管部门责令停止违法行为，限期改正；逾期不改正的，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（一）在室外、野外使用放射性同位素和射线装置，未按照国家有关安全和防护标准的要求划出安全防护区域和设置明显的放射性标志的；</w:t>
      </w: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8" w:name="_Toc16341"/>
      <w:bookmarkStart w:id="379" w:name="_Toc148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134</w:t>
      </w:r>
      <w:r>
        <w:rPr>
          <w:rFonts w:hint="eastAsia" w:ascii="仿宋" w:hAnsi="仿宋" w:eastAsia="仿宋" w:cs="仿宋"/>
          <w:b/>
          <w:bCs/>
          <w:color w:val="000000" w:themeColor="text1"/>
          <w:kern w:val="0"/>
          <w:sz w:val="24"/>
          <w:lang w:val="zh-CN"/>
        </w:rPr>
        <w:t>未经批准擅自在野外进行放射性同位素示踪试验的罚款幅度裁定</w:t>
      </w:r>
      <w:bookmarkEnd w:id="378"/>
      <w:bookmarkEnd w:id="379"/>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7"/>
        <w:gridCol w:w="1687"/>
        <w:gridCol w:w="1006"/>
        <w:gridCol w:w="1817"/>
        <w:gridCol w:w="1400"/>
        <w:gridCol w:w="584"/>
        <w:gridCol w:w="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9" w:hRule="atLeast"/>
        </w:trPr>
        <w:tc>
          <w:tcPr>
            <w:tcW w:w="4190"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69" w:type="dxa"/>
            <w:gridSpan w:val="4"/>
          </w:tcPr>
          <w:p>
            <w:pPr>
              <w:spacing w:before="178"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9" w:hRule="atLeast"/>
        </w:trPr>
        <w:tc>
          <w:tcPr>
            <w:tcW w:w="149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68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006"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217"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84"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68"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restart"/>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68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0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181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未经批准擅自在野外进行放射性同位素示踪试验的</w:t>
            </w:r>
          </w:p>
        </w:tc>
        <w:tc>
          <w:tcPr>
            <w:tcW w:w="140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w:t>
            </w:r>
          </w:p>
        </w:tc>
        <w:tc>
          <w:tcPr>
            <w:tcW w:w="5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181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181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181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181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0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w:t>
            </w:r>
          </w:p>
        </w:tc>
        <w:tc>
          <w:tcPr>
            <w:tcW w:w="5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8"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0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是否完成改正</w:t>
            </w:r>
          </w:p>
        </w:tc>
        <w:tc>
          <w:tcPr>
            <w:tcW w:w="100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0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tcBorders>
              <w:top w:val="nil"/>
              <w:bottom w:val="nil"/>
            </w:tcBorders>
            <w:vAlign w:val="center"/>
          </w:tcPr>
          <w:p>
            <w:pPr>
              <w:jc w:val="center"/>
              <w:rPr>
                <w:rFonts w:ascii="Malgun Gothic"/>
                <w:color w:val="000000" w:themeColor="text1"/>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tcBorders>
              <w:top w:val="nil"/>
              <w:bottom w:val="nil"/>
            </w:tcBorders>
            <w:vAlign w:val="center"/>
          </w:tcPr>
          <w:p>
            <w:pPr>
              <w:jc w:val="center"/>
              <w:rPr>
                <w:rFonts w:ascii="Malgun Gothic"/>
                <w:color w:val="000000" w:themeColor="text1"/>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tcBorders>
              <w:top w:val="nil"/>
              <w:bottom w:val="nil"/>
            </w:tcBorders>
            <w:vAlign w:val="center"/>
          </w:tcPr>
          <w:p>
            <w:pPr>
              <w:jc w:val="center"/>
              <w:rPr>
                <w:rFonts w:ascii="Malgun Gothic"/>
                <w:color w:val="000000" w:themeColor="text1"/>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97" w:type="dxa"/>
            <w:vMerge w:val="continue"/>
            <w:vAlign w:val="center"/>
          </w:tcPr>
          <w:p>
            <w:pPr>
              <w:jc w:val="center"/>
              <w:rPr>
                <w:rFonts w:ascii="Malgun Gothic"/>
                <w:color w:val="000000" w:themeColor="text1"/>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1"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1.《放射性同位素与射线装置安全和防护条例》第三十六条第二款在野外进行放射性同位素示踪试验的，应当经省级以上人民政府环境保护主管部门商同级有关部门批准方可进行。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七条违反本条例规定，生产、销售、使用放射性同位素和射线装置的单位有下列行为之一的，由县级以上人民政府环境保护主管部门责令停止违法行为，限期改正；逾期不改正的，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（二）未经批准擅自在野外进行放射性同位素示踪试验的。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80" w:name="_Toc32673"/>
      <w:bookmarkStart w:id="381" w:name="_Toc236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135</w:t>
      </w:r>
      <w:r>
        <w:rPr>
          <w:rFonts w:hint="eastAsia" w:ascii="仿宋" w:hAnsi="仿宋" w:eastAsia="仿宋" w:cs="仿宋"/>
          <w:b/>
          <w:bCs/>
          <w:color w:val="000000" w:themeColor="text1"/>
          <w:kern w:val="0"/>
          <w:sz w:val="24"/>
          <w:lang w:val="zh-CN"/>
        </w:rPr>
        <w:t>(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罚款幅度裁定</w:t>
      </w:r>
      <w:bookmarkEnd w:id="380"/>
      <w:bookmarkEnd w:id="381"/>
    </w:p>
    <w:tbl>
      <w:tblPr>
        <w:tblStyle w:val="15"/>
        <w:tblW w:w="8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4"/>
        <w:gridCol w:w="863"/>
        <w:gridCol w:w="1217"/>
        <w:gridCol w:w="2604"/>
        <w:gridCol w:w="1254"/>
        <w:gridCol w:w="616"/>
        <w:gridCol w:w="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3604" w:type="dxa"/>
            <w:gridSpan w:val="3"/>
          </w:tcPr>
          <w:p>
            <w:pPr>
              <w:spacing w:before="178"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175" w:type="dxa"/>
            <w:gridSpan w:val="4"/>
          </w:tcPr>
          <w:p>
            <w:pPr>
              <w:spacing w:before="178" w:line="184" w:lineRule="auto"/>
              <w:ind w:firstLine="1618"/>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524"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86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21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858"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16"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701"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1524" w:type="dxa"/>
            <w:vMerge w:val="restart"/>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863"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21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60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未建立放射性同位素产品台账或未按照国务院环境保护主管部门制定的编码规则，对生产的放射源进行统一编码，经责令限期改正，给予警告但是逾期不改正的</w:t>
            </w:r>
          </w:p>
        </w:tc>
        <w:tc>
          <w:tcPr>
            <w:tcW w:w="125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1" w:type="dxa"/>
            <w:tcBorders>
              <w:left w:val="single" w:color="auto" w:sz="4" w:space="0"/>
            </w:tcBorders>
          </w:tcPr>
          <w:p>
            <w:pPr>
              <w:spacing w:before="197" w:line="184" w:lineRule="auto"/>
              <w:ind w:firstLine="22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5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1" w:type="dxa"/>
            <w:tcBorders>
              <w:left w:val="single" w:color="auto" w:sz="4" w:space="0"/>
            </w:tcBorders>
          </w:tcPr>
          <w:p>
            <w:pPr>
              <w:rPr>
                <w:rFonts w:ascii="仿宋" w:hAnsi="仿宋" w:eastAsia="仿宋" w:cs="仿宋"/>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未将放射性同位素产品台账和放射源编码清单报国务院环境保护主管部门备案，经责令限期改正，给予警告但是逾期不改正的</w:t>
            </w:r>
          </w:p>
        </w:tc>
        <w:tc>
          <w:tcPr>
            <w:tcW w:w="12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701" w:type="dxa"/>
            <w:tcBorders>
              <w:left w:val="single" w:color="auto" w:sz="4" w:space="0"/>
              <w:bottom w:val="single" w:color="auto" w:sz="4" w:space="0"/>
            </w:tcBorders>
            <w:vAlign w:val="center"/>
          </w:tcPr>
          <w:p>
            <w:pPr>
              <w:spacing w:before="79"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01" w:type="dxa"/>
            <w:tcBorders>
              <w:top w:val="single" w:color="auto" w:sz="4" w:space="0"/>
              <w:left w:val="single" w:color="auto" w:sz="4" w:space="0"/>
            </w:tcBorders>
            <w:vAlign w:val="center"/>
          </w:tcPr>
          <w:p>
            <w:pPr>
              <w:spacing w:before="79"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出厂或者销售未列入产品台账的放射性同位素和未编码的放射源，经责令限期改正，给予警告但是逾期不改正的</w:t>
            </w:r>
          </w:p>
        </w:tc>
        <w:tc>
          <w:tcPr>
            <w:tcW w:w="12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701"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1"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8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21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1" w:type="dxa"/>
            <w:tcBorders>
              <w:left w:val="single" w:color="auto" w:sz="4" w:space="0"/>
            </w:tcBorders>
          </w:tcPr>
          <w:p>
            <w:pPr>
              <w:spacing w:before="39" w:line="184" w:lineRule="auto"/>
              <w:ind w:firstLine="476"/>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1"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1" w:type="dxa"/>
            <w:tcBorders>
              <w:left w:val="single" w:color="auto" w:sz="4" w:space="0"/>
            </w:tcBorders>
          </w:tcPr>
          <w:p>
            <w:pPr>
              <w:spacing w:before="41"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1" w:type="dxa"/>
            <w:tcBorders>
              <w:left w:val="single" w:color="auto" w:sz="4" w:space="0"/>
            </w:tcBorders>
          </w:tcPr>
          <w:p>
            <w:pPr>
              <w:spacing w:before="41" w:line="184" w:lineRule="auto"/>
              <w:ind w:firstLine="413"/>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8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21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1"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1"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0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524" w:type="dxa"/>
            <w:vMerge w:val="continue"/>
            <w:vAlign w:val="center"/>
          </w:tcPr>
          <w:p>
            <w:pPr>
              <w:jc w:val="center"/>
              <w:rPr>
                <w:rFonts w:ascii="仿宋" w:hAnsi="仿宋" w:eastAsia="仿宋" w:cs="仿宋"/>
                <w:color w:val="000000" w:themeColor="text1"/>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38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87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87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二十二条生产放射性同位素的单位，应当建立放射性同位素产品台账，并按照国务院环境保护主管部门制定的编码规则，对生产的放射源统一编码。放射性同位素产品台账和放射源编码清单应当报国务院环境保护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生产的放射源应当有明确标号和必要说明文件。其中，Ⅰ类、Ⅱ类、Ⅲ类放射源的标号应当刻制在放射源本体或者密封包壳体上，Ⅳ类、Ⅴ类放射源的标号应当记录在相应说明文件中。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国务院环境保护主管部门负责建立放射性同位素备案信息管理系统，与有关部门实行信息共享。</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未列入产品台账的放射性同位素和未编码的放射源，不得出厂和销售。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八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(一)未建立放射性同位素产品台账的；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(二)未按照国务院环境保护主管部门制定的编码规则，对生产的放射源进行统一编码的；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(三)未将放射性同位素产品台账和放射源编码清单报国务院环境保护主管部门备案的；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(四)出厂或者销售未列入产品台账的放射性同位素和未编码的放射源的。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b/>
          <w:bCs/>
          <w:color w:val="000000" w:themeColor="text1"/>
          <w:kern w:val="0"/>
          <w:sz w:val="28"/>
          <w:szCs w:val="28"/>
          <w:lang w:val="zh-CN"/>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lang w:val="zh-CN"/>
        </w:rPr>
      </w:pPr>
      <w:bookmarkStart w:id="382" w:name="_Toc15586"/>
      <w:bookmarkStart w:id="383" w:name="_Toc2850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136</w:t>
      </w:r>
      <w:r>
        <w:rPr>
          <w:rFonts w:hint="eastAsia" w:ascii="仿宋" w:hAnsi="仿宋" w:eastAsia="仿宋" w:cs="仿宋"/>
          <w:b/>
          <w:bCs/>
          <w:color w:val="000000" w:themeColor="text1"/>
          <w:kern w:val="0"/>
          <w:sz w:val="24"/>
          <w:lang w:val="zh-CN"/>
        </w:rPr>
        <w:t>未按照规定对废旧放射源进行处理的罚款幅度裁定</w:t>
      </w:r>
      <w:bookmarkEnd w:id="382"/>
      <w:bookmarkEnd w:id="383"/>
    </w:p>
    <w:tbl>
      <w:tblPr>
        <w:tblStyle w:val="15"/>
        <w:tblW w:w="8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1"/>
        <w:gridCol w:w="9"/>
        <w:gridCol w:w="1474"/>
        <w:gridCol w:w="1130"/>
        <w:gridCol w:w="1482"/>
        <w:gridCol w:w="1614"/>
        <w:gridCol w:w="553"/>
        <w:gridCol w:w="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4044" w:type="dxa"/>
            <w:gridSpan w:val="4"/>
          </w:tcPr>
          <w:p>
            <w:pPr>
              <w:spacing w:before="178"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195" w:type="dxa"/>
            <w:gridSpan w:val="4"/>
          </w:tcPr>
          <w:p>
            <w:pPr>
              <w:spacing w:before="178" w:line="184" w:lineRule="auto"/>
              <w:ind w:firstLine="1627"/>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1440"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474"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130"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096"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53"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46"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4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属Ⅴ类放射源或Ⅲ类射线装置的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6" w:type="dxa"/>
            <w:tcBorders>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6" w:type="dxa"/>
            <w:tcBorders>
              <w:top w:val="single" w:color="auto" w:sz="4" w:space="0"/>
              <w:left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属Ⅳ类放射源的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6" w:type="dxa"/>
            <w:tcBorders>
              <w:left w:val="single" w:color="auto" w:sz="4" w:space="0"/>
              <w:bottom w:val="single" w:color="auto" w:sz="4" w:space="0"/>
            </w:tcBorders>
          </w:tcPr>
          <w:p>
            <w:pPr>
              <w:spacing w:before="41" w:line="184" w:lineRule="auto"/>
              <w:ind w:firstLine="170"/>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6" w:type="dxa"/>
            <w:tcBorders>
              <w:top w:val="single" w:color="auto" w:sz="4" w:space="0"/>
              <w:left w:val="single" w:color="auto" w:sz="4" w:space="0"/>
            </w:tcBorders>
          </w:tcPr>
          <w:p>
            <w:pPr>
              <w:spacing w:before="41" w:line="184" w:lineRule="auto"/>
              <w:ind w:firstLine="170"/>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属Ⅲ类放射源或Ⅱ类射线装置的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6" w:type="dxa"/>
            <w:tcBorders>
              <w:left w:val="single" w:color="auto" w:sz="4" w:space="0"/>
              <w:bottom w:val="single" w:color="auto" w:sz="4" w:space="0"/>
            </w:tcBorders>
          </w:tcPr>
          <w:p>
            <w:pPr>
              <w:spacing w:before="199"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6" w:type="dxa"/>
            <w:tcBorders>
              <w:top w:val="single" w:color="auto" w:sz="4" w:space="0"/>
              <w:left w:val="single" w:color="auto" w:sz="4" w:space="0"/>
            </w:tcBorders>
          </w:tcPr>
          <w:p>
            <w:pPr>
              <w:spacing w:before="199"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属Ⅱ类放射源的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6" w:type="dxa"/>
            <w:tcBorders>
              <w:left w:val="single" w:color="auto" w:sz="4" w:space="0"/>
              <w:bottom w:val="single" w:color="auto" w:sz="4" w:space="0"/>
            </w:tcBorders>
          </w:tcPr>
          <w:p>
            <w:pPr>
              <w:spacing w:before="42"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6" w:type="dxa"/>
            <w:tcBorders>
              <w:top w:val="single" w:color="auto" w:sz="4" w:space="0"/>
              <w:left w:val="single" w:color="auto" w:sz="4" w:space="0"/>
            </w:tcBorders>
          </w:tcPr>
          <w:p>
            <w:pPr>
              <w:spacing w:before="42"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属Ⅰ类放射源或Ⅰ类射线装置的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546" w:type="dxa"/>
            <w:tcBorders>
              <w:left w:val="single" w:color="auto" w:sz="4" w:space="0"/>
              <w:bottom w:val="single" w:color="auto" w:sz="4" w:space="0"/>
            </w:tcBorders>
          </w:tcPr>
          <w:p>
            <w:pPr>
              <w:spacing w:before="198" w:line="184" w:lineRule="auto"/>
              <w:ind w:firstLine="163"/>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40" w:type="dxa"/>
            <w:gridSpan w:val="2"/>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46" w:type="dxa"/>
            <w:tcBorders>
              <w:top w:val="single" w:color="auto" w:sz="4" w:space="0"/>
              <w:left w:val="single" w:color="auto" w:sz="4" w:space="0"/>
            </w:tcBorders>
          </w:tcPr>
          <w:p>
            <w:pPr>
              <w:spacing w:before="198" w:line="184" w:lineRule="auto"/>
              <w:ind w:firstLine="163"/>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gridSpan w:val="2"/>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4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6" w:type="dxa"/>
            <w:tcBorders>
              <w:left w:val="single" w:color="auto" w:sz="4" w:space="0"/>
            </w:tcBorders>
          </w:tcPr>
          <w:p>
            <w:pPr>
              <w:spacing w:before="42" w:line="184" w:lineRule="auto"/>
              <w:ind w:firstLine="46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6" w:type="dxa"/>
            <w:tcBorders>
              <w:left w:val="single" w:color="auto" w:sz="4" w:space="0"/>
            </w:tcBorders>
          </w:tcPr>
          <w:p>
            <w:pPr>
              <w:spacing w:before="41"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6" w:type="dxa"/>
            <w:tcBorders>
              <w:left w:val="single" w:color="auto" w:sz="4" w:space="0"/>
            </w:tcBorders>
          </w:tcPr>
          <w:p>
            <w:pPr>
              <w:spacing w:before="41"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gridSpan w:val="2"/>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6" w:type="dxa"/>
            <w:tcBorders>
              <w:left w:val="single" w:color="auto" w:sz="4" w:space="0"/>
            </w:tcBorders>
          </w:tcPr>
          <w:p>
            <w:pPr>
              <w:spacing w:before="43" w:line="184" w:lineRule="auto"/>
              <w:ind w:firstLine="40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gridSpan w:val="2"/>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4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6" w:type="dxa"/>
            <w:tcBorders>
              <w:left w:val="single" w:color="auto" w:sz="4" w:space="0"/>
            </w:tcBorders>
          </w:tcPr>
          <w:p>
            <w:pPr>
              <w:spacing w:before="4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40" w:type="dxa"/>
            <w:gridSpan w:val="2"/>
            <w:vMerge w:val="continue"/>
            <w:tcBorders>
              <w:top w:val="nil"/>
              <w:bottom w:val="single" w:color="auto" w:sz="4" w:space="0"/>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09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6" w:type="dxa"/>
            <w:tcBorders>
              <w:left w:val="single" w:color="auto" w:sz="4" w:space="0"/>
              <w:bottom w:val="single" w:color="auto" w:sz="4" w:space="0"/>
            </w:tcBorders>
          </w:tcPr>
          <w:p>
            <w:pPr>
              <w:spacing w:before="42" w:line="184" w:lineRule="auto"/>
              <w:ind w:firstLine="47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1" w:type="dxa"/>
            <w:vMerge w:val="restart"/>
            <w:tcBorders>
              <w:top w:val="single" w:color="auto" w:sz="4" w:space="0"/>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483" w:type="dxa"/>
            <w:gridSpan w:val="2"/>
            <w:vMerge w:val="restart"/>
            <w:tcBorders>
              <w:top w:val="single" w:color="auto" w:sz="4" w:space="0"/>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1"/>
                <w:sz w:val="18"/>
                <w:szCs w:val="18"/>
              </w:rPr>
              <w:t>是否造成社会影响或生态破坏</w:t>
            </w:r>
          </w:p>
        </w:tc>
        <w:tc>
          <w:tcPr>
            <w:tcW w:w="1130"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96"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6"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83" w:type="dxa"/>
            <w:gridSpan w:val="2"/>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6"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83" w:type="dxa"/>
            <w:gridSpan w:val="2"/>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83" w:type="dxa"/>
            <w:gridSpan w:val="2"/>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6"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31" w:type="dxa"/>
            <w:vMerge w:val="continue"/>
            <w:vAlign w:val="center"/>
          </w:tcPr>
          <w:p>
            <w:pPr>
              <w:jc w:val="center"/>
              <w:rPr>
                <w:rFonts w:ascii="仿宋" w:hAnsi="仿宋" w:eastAsia="仿宋" w:cs="仿宋"/>
                <w:color w:val="000000" w:themeColor="text1"/>
                <w:sz w:val="18"/>
                <w:szCs w:val="18"/>
              </w:rPr>
            </w:pPr>
          </w:p>
        </w:tc>
        <w:tc>
          <w:tcPr>
            <w:tcW w:w="1483" w:type="dxa"/>
            <w:gridSpan w:val="2"/>
            <w:vMerge w:val="continue"/>
            <w:vAlign w:val="center"/>
          </w:tcPr>
          <w:p>
            <w:pPr>
              <w:jc w:val="center"/>
              <w:rPr>
                <w:rFonts w:ascii="仿宋" w:hAnsi="仿宋" w:eastAsia="仿宋" w:cs="仿宋"/>
                <w:color w:val="000000" w:themeColor="text1"/>
                <w:spacing w:val="-1"/>
                <w:sz w:val="18"/>
                <w:szCs w:val="18"/>
              </w:rPr>
            </w:pPr>
          </w:p>
        </w:tc>
        <w:tc>
          <w:tcPr>
            <w:tcW w:w="1130" w:type="dxa"/>
            <w:vMerge w:val="continue"/>
            <w:vAlign w:val="center"/>
          </w:tcPr>
          <w:p>
            <w:pPr>
              <w:jc w:val="center"/>
              <w:rPr>
                <w:rFonts w:ascii="仿宋" w:hAnsi="仿宋" w:eastAsia="仿宋" w:cs="仿宋"/>
                <w:color w:val="000000" w:themeColor="text1"/>
                <w:spacing w:val="-1"/>
                <w:sz w:val="18"/>
                <w:szCs w:val="18"/>
              </w:rPr>
            </w:pPr>
          </w:p>
        </w:tc>
        <w:tc>
          <w:tcPr>
            <w:tcW w:w="309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8239" w:type="dxa"/>
            <w:gridSpan w:val="8"/>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8239" w:type="dxa"/>
            <w:gridSpan w:val="8"/>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二条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使用放射源的单位应当按照国务院环境保护主管部门的规定，将Ⅳ类、Ⅴ类废旧放射源进行包装整备后送交有相应资质的放射性废物集中贮存单位贮存。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九条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(一)未按照规定对废旧放射源进行处理的；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84" w:name="_Toc2761"/>
      <w:bookmarkStart w:id="385" w:name="_Toc2788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137</w:t>
      </w:r>
      <w:r>
        <w:rPr>
          <w:rFonts w:hint="eastAsia" w:ascii="仿宋" w:hAnsi="仿宋" w:eastAsia="仿宋" w:cs="仿宋"/>
          <w:b/>
          <w:bCs/>
          <w:color w:val="000000" w:themeColor="text1"/>
          <w:kern w:val="0"/>
          <w:sz w:val="24"/>
          <w:lang w:val="zh-CN"/>
        </w:rPr>
        <w:t>未按照规定对使用Ⅰ类、Ⅱ类、Ⅲ类放射源的场所和生产放射性同位素的场所，以及终结运行后产生放射性污染的射线装置实施退役的罚款幅度裁定</w:t>
      </w:r>
      <w:bookmarkEnd w:id="384"/>
      <w:bookmarkEnd w:id="385"/>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1"/>
        <w:gridCol w:w="1543"/>
        <w:gridCol w:w="1089"/>
        <w:gridCol w:w="1759"/>
        <w:gridCol w:w="1382"/>
        <w:gridCol w:w="583"/>
        <w:gridCol w:w="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4093"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66" w:type="dxa"/>
            <w:gridSpan w:val="4"/>
          </w:tcPr>
          <w:p>
            <w:pPr>
              <w:spacing w:before="178"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146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54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089"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141"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83"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42"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5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7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属Ⅲ类放射源的，经责令限期改正但逾期不改正的</w:t>
            </w:r>
          </w:p>
        </w:tc>
        <w:tc>
          <w:tcPr>
            <w:tcW w:w="138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vAlign w:val="center"/>
          </w:tcPr>
          <w:p>
            <w:pPr>
              <w:jc w:val="center"/>
              <w:rPr>
                <w:rFonts w:ascii="仿宋" w:hAnsi="仿宋" w:eastAsia="仿宋" w:cs="仿宋"/>
                <w:color w:val="000000" w:themeColor="text1"/>
                <w:spacing w:val="-1"/>
                <w:sz w:val="18"/>
                <w:szCs w:val="18"/>
              </w:rPr>
            </w:pPr>
          </w:p>
        </w:tc>
        <w:tc>
          <w:tcPr>
            <w:tcW w:w="1089" w:type="dxa"/>
            <w:vMerge w:val="continue"/>
            <w:vAlign w:val="center"/>
          </w:tcPr>
          <w:p>
            <w:pPr>
              <w:jc w:val="center"/>
              <w:rPr>
                <w:rFonts w:ascii="仿宋" w:hAnsi="仿宋" w:eastAsia="仿宋" w:cs="仿宋"/>
                <w:color w:val="000000" w:themeColor="text1"/>
                <w:spacing w:val="-1"/>
                <w:sz w:val="18"/>
                <w:szCs w:val="18"/>
              </w:rPr>
            </w:pPr>
          </w:p>
        </w:tc>
        <w:tc>
          <w:tcPr>
            <w:tcW w:w="17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8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auto" w:sz="4" w:space="0"/>
              <w:left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属Ⅱ类放射源的，经责令限期改正但逾期不改正的</w:t>
            </w:r>
          </w:p>
        </w:tc>
        <w:tc>
          <w:tcPr>
            <w:tcW w:w="138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left w:val="single" w:color="auto" w:sz="4" w:space="0"/>
              <w:bottom w:val="single" w:color="auto" w:sz="4" w:space="0"/>
            </w:tcBorders>
          </w:tcPr>
          <w:p>
            <w:pPr>
              <w:spacing w:before="197" w:line="184" w:lineRule="auto"/>
              <w:ind w:firstLine="170"/>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8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2" w:type="dxa"/>
            <w:tcBorders>
              <w:top w:val="single" w:color="auto" w:sz="4" w:space="0"/>
              <w:left w:val="single" w:color="auto" w:sz="4" w:space="0"/>
            </w:tcBorders>
          </w:tcPr>
          <w:p>
            <w:pPr>
              <w:spacing w:before="197" w:line="184" w:lineRule="auto"/>
              <w:ind w:firstLine="170"/>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属Ⅰ类放射源的，经责令限期改正但逾期不改正的</w:t>
            </w:r>
          </w:p>
        </w:tc>
        <w:tc>
          <w:tcPr>
            <w:tcW w:w="138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2" w:type="dxa"/>
            <w:tcBorders>
              <w:left w:val="single" w:color="auto" w:sz="4" w:space="0"/>
              <w:bottom w:val="single" w:color="auto" w:sz="4" w:space="0"/>
            </w:tcBorders>
          </w:tcPr>
          <w:p>
            <w:pPr>
              <w:spacing w:before="199"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46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vAlign w:val="center"/>
          </w:tcPr>
          <w:p>
            <w:pPr>
              <w:jc w:val="center"/>
              <w:rPr>
                <w:rFonts w:ascii="仿宋" w:hAnsi="仿宋" w:eastAsia="仿宋" w:cs="仿宋"/>
                <w:color w:val="000000" w:themeColor="text1"/>
                <w:spacing w:val="-1"/>
                <w:sz w:val="18"/>
                <w:szCs w:val="18"/>
              </w:rPr>
            </w:pPr>
          </w:p>
        </w:tc>
        <w:tc>
          <w:tcPr>
            <w:tcW w:w="1089" w:type="dxa"/>
            <w:vMerge w:val="continue"/>
            <w:vAlign w:val="center"/>
          </w:tcPr>
          <w:p>
            <w:pPr>
              <w:jc w:val="center"/>
              <w:rPr>
                <w:rFonts w:ascii="仿宋" w:hAnsi="仿宋" w:eastAsia="仿宋" w:cs="仿宋"/>
                <w:color w:val="000000" w:themeColor="text1"/>
                <w:spacing w:val="-1"/>
                <w:sz w:val="18"/>
                <w:szCs w:val="18"/>
              </w:rPr>
            </w:pPr>
          </w:p>
        </w:tc>
        <w:tc>
          <w:tcPr>
            <w:tcW w:w="17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8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42" w:type="dxa"/>
            <w:tcBorders>
              <w:top w:val="single" w:color="auto" w:sz="4" w:space="0"/>
              <w:left w:val="single" w:color="auto" w:sz="4" w:space="0"/>
            </w:tcBorders>
          </w:tcPr>
          <w:p>
            <w:pPr>
              <w:spacing w:before="199"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5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tcBorders>
          </w:tcPr>
          <w:p>
            <w:pPr>
              <w:spacing w:before="42" w:line="184" w:lineRule="auto"/>
              <w:ind w:firstLine="46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left w:val="single" w:color="auto" w:sz="4" w:space="0"/>
            </w:tcBorders>
          </w:tcPr>
          <w:p>
            <w:pPr>
              <w:spacing w:before="41" w:line="184" w:lineRule="auto"/>
              <w:ind w:firstLine="40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配合调查取证情况</w:t>
            </w:r>
          </w:p>
        </w:tc>
        <w:tc>
          <w:tcPr>
            <w:tcW w:w="15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0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left w:val="single" w:color="auto" w:sz="4" w:space="0"/>
            </w:tcBorders>
          </w:tcPr>
          <w:p>
            <w:pPr>
              <w:spacing w:before="41"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left w:val="single" w:color="auto" w:sz="4" w:space="0"/>
            </w:tcBorders>
          </w:tcPr>
          <w:p>
            <w:pPr>
              <w:spacing w:before="43" w:line="184" w:lineRule="auto"/>
              <w:ind w:firstLine="47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5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continue"/>
            <w:tcBorders>
              <w:top w:val="nil"/>
              <w:bottom w:val="nil"/>
            </w:tcBorders>
            <w:vAlign w:val="center"/>
          </w:tcPr>
          <w:p>
            <w:pPr>
              <w:jc w:val="center"/>
              <w:rPr>
                <w:rFonts w:ascii="Malgun Gothic"/>
                <w:color w:val="000000" w:themeColor="text1"/>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continue"/>
            <w:tcBorders>
              <w:top w:val="nil"/>
              <w:bottom w:val="nil"/>
            </w:tcBorders>
            <w:vAlign w:val="center"/>
          </w:tcPr>
          <w:p>
            <w:pPr>
              <w:jc w:val="center"/>
              <w:rPr>
                <w:rFonts w:ascii="Malgun Gothic"/>
                <w:color w:val="000000" w:themeColor="text1"/>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continue"/>
            <w:tcBorders>
              <w:top w:val="nil"/>
              <w:bottom w:val="nil"/>
            </w:tcBorders>
            <w:vAlign w:val="center"/>
          </w:tcPr>
          <w:p>
            <w:pPr>
              <w:jc w:val="center"/>
              <w:rPr>
                <w:rFonts w:ascii="Malgun Gothic"/>
                <w:color w:val="000000" w:themeColor="text1"/>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461" w:type="dxa"/>
            <w:vMerge w:val="continue"/>
            <w:vAlign w:val="center"/>
          </w:tcPr>
          <w:p>
            <w:pPr>
              <w:jc w:val="center"/>
              <w:rPr>
                <w:rFonts w:ascii="Malgun Gothic"/>
                <w:color w:val="000000" w:themeColor="text1"/>
                <w:sz w:val="18"/>
                <w:szCs w:val="18"/>
              </w:rPr>
            </w:pPr>
          </w:p>
        </w:tc>
        <w:tc>
          <w:tcPr>
            <w:tcW w:w="1543" w:type="dxa"/>
            <w:vMerge w:val="continue"/>
            <w:vAlign w:val="center"/>
          </w:tcPr>
          <w:p>
            <w:pPr>
              <w:jc w:val="center"/>
              <w:rPr>
                <w:rFonts w:ascii="仿宋" w:hAnsi="仿宋" w:eastAsia="仿宋" w:cs="仿宋"/>
                <w:color w:val="000000" w:themeColor="text1"/>
                <w:spacing w:val="-1"/>
                <w:sz w:val="18"/>
                <w:szCs w:val="18"/>
              </w:rPr>
            </w:pPr>
          </w:p>
        </w:tc>
        <w:tc>
          <w:tcPr>
            <w:tcW w:w="1089" w:type="dxa"/>
            <w:vMerge w:val="continue"/>
            <w:vAlign w:val="center"/>
          </w:tcPr>
          <w:p>
            <w:pPr>
              <w:jc w:val="center"/>
              <w:rPr>
                <w:rFonts w:ascii="仿宋" w:hAnsi="仿宋" w:eastAsia="仿宋" w:cs="仿宋"/>
                <w:color w:val="000000" w:themeColor="text1"/>
                <w:spacing w:val="-1"/>
                <w:sz w:val="18"/>
                <w:szCs w:val="18"/>
              </w:rPr>
            </w:pPr>
          </w:p>
        </w:tc>
        <w:tc>
          <w:tcPr>
            <w:tcW w:w="31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1.《放射性同位素与射线装置安全和防护条例》第三十三条使用Ⅰ类、Ⅱ类、Ⅲ类放射源的场所和生产放射性同位素的场所，以及终结运行后产生放射性污染的射线装置，应当依法实施退役。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九条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（二）未按照规定对使用Ⅰ类、Ⅱ类、Ⅲ类放射源的场所和生产放射性同位素的场所，以及终结运行后产生放射性污染的射线装置实施退役的。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86" w:name="_Toc20706"/>
      <w:bookmarkStart w:id="387" w:name="_Toc1154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138</w:t>
      </w:r>
      <w:r>
        <w:rPr>
          <w:rFonts w:hint="eastAsia" w:ascii="仿宋" w:hAnsi="仿宋" w:eastAsia="仿宋" w:cs="仿宋"/>
          <w:b/>
          <w:bCs/>
          <w:color w:val="000000" w:themeColor="text1"/>
          <w:kern w:val="0"/>
          <w:sz w:val="24"/>
          <w:lang w:val="zh-CN"/>
        </w:rPr>
        <w:t>未按照规定对本单位的放射性同位素、射线装置安全和防护状况进行评估或者发现安全隐患不及时整改的罚款幅度裁定</w:t>
      </w:r>
      <w:bookmarkEnd w:id="386"/>
      <w:bookmarkEnd w:id="387"/>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1"/>
        <w:gridCol w:w="923"/>
        <w:gridCol w:w="1193"/>
        <w:gridCol w:w="2654"/>
        <w:gridCol w:w="1013"/>
        <w:gridCol w:w="548"/>
        <w:gridCol w:w="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3627" w:type="dxa"/>
            <w:gridSpan w:val="3"/>
          </w:tcPr>
          <w:p>
            <w:pPr>
              <w:spacing w:before="176"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812" w:type="dxa"/>
            <w:gridSpan w:val="4"/>
          </w:tcPr>
          <w:p>
            <w:pPr>
              <w:spacing w:before="176" w:line="184" w:lineRule="auto"/>
              <w:ind w:firstLine="1636"/>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151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92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19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667"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48"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97"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9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6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没按照规定对本单位的放射性同位素、射线装置安全和防护状况进行评估，经责令限期改正但逾期不改正的</w:t>
            </w:r>
          </w:p>
        </w:tc>
        <w:tc>
          <w:tcPr>
            <w:tcW w:w="101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7"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vAlign w:val="center"/>
          </w:tcPr>
          <w:p>
            <w:pPr>
              <w:jc w:val="center"/>
              <w:rPr>
                <w:rFonts w:ascii="仿宋" w:hAnsi="仿宋" w:eastAsia="仿宋" w:cs="仿宋"/>
                <w:color w:val="000000" w:themeColor="text1"/>
                <w:spacing w:val="-1"/>
                <w:sz w:val="18"/>
                <w:szCs w:val="18"/>
              </w:rPr>
            </w:pPr>
          </w:p>
        </w:tc>
        <w:tc>
          <w:tcPr>
            <w:tcW w:w="1193" w:type="dxa"/>
            <w:vMerge w:val="continue"/>
            <w:vAlign w:val="center"/>
          </w:tcPr>
          <w:p>
            <w:pPr>
              <w:jc w:val="center"/>
              <w:rPr>
                <w:rFonts w:ascii="仿宋" w:hAnsi="仿宋" w:eastAsia="仿宋" w:cs="仿宋"/>
                <w:color w:val="000000" w:themeColor="text1"/>
                <w:spacing w:val="-1"/>
                <w:sz w:val="18"/>
                <w:szCs w:val="18"/>
              </w:rPr>
            </w:pPr>
          </w:p>
        </w:tc>
        <w:tc>
          <w:tcPr>
            <w:tcW w:w="26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1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7"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未对本单位的放射性同位素、射线装置安全和防护状况进行评估，经责令限期改正但逾期不改正的</w:t>
            </w:r>
          </w:p>
        </w:tc>
        <w:tc>
          <w:tcPr>
            <w:tcW w:w="101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7"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1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7"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6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发现安全隐患不及时整改，经责令限期改正但逾期不改正的</w:t>
            </w:r>
          </w:p>
        </w:tc>
        <w:tc>
          <w:tcPr>
            <w:tcW w:w="101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97" w:type="dxa"/>
            <w:tcBorders>
              <w:left w:val="single" w:color="auto" w:sz="4" w:space="0"/>
              <w:bottom w:val="single" w:color="auto" w:sz="4" w:space="0"/>
            </w:tcBorders>
          </w:tcPr>
          <w:p>
            <w:pPr>
              <w:spacing w:before="355" w:line="184" w:lineRule="auto"/>
              <w:ind w:firstLine="1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vAlign w:val="center"/>
          </w:tcPr>
          <w:p>
            <w:pPr>
              <w:jc w:val="center"/>
              <w:rPr>
                <w:rFonts w:ascii="仿宋" w:hAnsi="仿宋" w:eastAsia="仿宋" w:cs="仿宋"/>
                <w:color w:val="000000" w:themeColor="text1"/>
                <w:spacing w:val="-1"/>
                <w:sz w:val="18"/>
                <w:szCs w:val="18"/>
              </w:rPr>
            </w:pPr>
          </w:p>
        </w:tc>
        <w:tc>
          <w:tcPr>
            <w:tcW w:w="1193" w:type="dxa"/>
            <w:vMerge w:val="continue"/>
            <w:vAlign w:val="center"/>
          </w:tcPr>
          <w:p>
            <w:pPr>
              <w:jc w:val="center"/>
              <w:rPr>
                <w:rFonts w:ascii="仿宋" w:hAnsi="仿宋" w:eastAsia="仿宋" w:cs="仿宋"/>
                <w:color w:val="000000" w:themeColor="text1"/>
                <w:spacing w:val="-1"/>
                <w:sz w:val="18"/>
                <w:szCs w:val="18"/>
              </w:rPr>
            </w:pPr>
          </w:p>
        </w:tc>
        <w:tc>
          <w:tcPr>
            <w:tcW w:w="26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1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97" w:type="dxa"/>
            <w:tcBorders>
              <w:top w:val="single" w:color="auto" w:sz="4" w:space="0"/>
              <w:left w:val="single" w:color="auto" w:sz="4" w:space="0"/>
            </w:tcBorders>
          </w:tcPr>
          <w:p>
            <w:pPr>
              <w:spacing w:before="355" w:line="184" w:lineRule="auto"/>
              <w:ind w:firstLine="1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9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7" w:type="dxa"/>
            <w:tcBorders>
              <w:left w:val="single" w:color="auto" w:sz="4" w:space="0"/>
            </w:tcBorders>
          </w:tcPr>
          <w:p>
            <w:pPr>
              <w:spacing w:before="42" w:line="184" w:lineRule="auto"/>
              <w:ind w:firstLine="476"/>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7"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7"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7" w:type="dxa"/>
            <w:tcBorders>
              <w:left w:val="single" w:color="auto" w:sz="4" w:space="0"/>
            </w:tcBorders>
          </w:tcPr>
          <w:p>
            <w:pPr>
              <w:spacing w:before="41" w:line="184" w:lineRule="auto"/>
              <w:ind w:firstLine="413"/>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9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7" w:type="dxa"/>
            <w:tcBorders>
              <w:left w:val="single" w:color="auto" w:sz="4" w:space="0"/>
            </w:tcBorders>
          </w:tcPr>
          <w:p>
            <w:pPr>
              <w:spacing w:before="41"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7" w:type="dxa"/>
            <w:tcBorders>
              <w:left w:val="single" w:color="auto" w:sz="4" w:space="0"/>
            </w:tcBorders>
          </w:tcPr>
          <w:p>
            <w:pPr>
              <w:spacing w:before="43" w:line="184" w:lineRule="auto"/>
              <w:ind w:firstLine="480"/>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9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511" w:type="dxa"/>
            <w:vMerge w:val="continue"/>
            <w:vAlign w:val="center"/>
          </w:tcPr>
          <w:p>
            <w:pPr>
              <w:jc w:val="center"/>
              <w:rPr>
                <w:rFonts w:ascii="仿宋" w:hAnsi="仿宋" w:eastAsia="仿宋" w:cs="仿宋"/>
                <w:color w:val="000000" w:themeColor="text1"/>
                <w:sz w:val="18"/>
                <w:szCs w:val="18"/>
              </w:rPr>
            </w:pPr>
          </w:p>
        </w:tc>
        <w:tc>
          <w:tcPr>
            <w:tcW w:w="923" w:type="dxa"/>
            <w:vMerge w:val="continue"/>
            <w:vAlign w:val="center"/>
          </w:tcPr>
          <w:p>
            <w:pPr>
              <w:jc w:val="center"/>
              <w:rPr>
                <w:rFonts w:ascii="仿宋" w:hAnsi="仿宋" w:eastAsia="仿宋" w:cs="仿宋"/>
                <w:color w:val="000000" w:themeColor="text1"/>
                <w:spacing w:val="-1"/>
                <w:sz w:val="18"/>
                <w:szCs w:val="18"/>
              </w:rPr>
            </w:pPr>
          </w:p>
        </w:tc>
        <w:tc>
          <w:tcPr>
            <w:tcW w:w="1193" w:type="dxa"/>
            <w:vMerge w:val="continue"/>
            <w:vAlign w:val="center"/>
          </w:tcPr>
          <w:p>
            <w:pPr>
              <w:jc w:val="center"/>
              <w:rPr>
                <w:rFonts w:ascii="仿宋" w:hAnsi="仿宋" w:eastAsia="仿宋" w:cs="仿宋"/>
                <w:color w:val="000000" w:themeColor="text1"/>
                <w:spacing w:val="-1"/>
                <w:sz w:val="18"/>
                <w:szCs w:val="18"/>
              </w:rPr>
            </w:pPr>
          </w:p>
        </w:tc>
        <w:tc>
          <w:tcPr>
            <w:tcW w:w="36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条生产、销售、使用放射性同位素和射线装置的单位，应当对本单位的放射性同位素、射线装置的安全和防护状况进行年度评估。发现安全隐患的，应当立即进行整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六十条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（一）未按照规定对本单位的放射性同位素、射线装置安全和防护状况进行评估或者发现安全隐患不及时整改的；</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88" w:name="_Toc27857"/>
      <w:bookmarkStart w:id="389" w:name="_Toc1030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139</w:t>
      </w:r>
      <w:r>
        <w:rPr>
          <w:rFonts w:hint="eastAsia" w:ascii="仿宋" w:hAnsi="仿宋" w:eastAsia="仿宋" w:cs="仿宋"/>
          <w:b/>
          <w:bCs/>
          <w:color w:val="000000" w:themeColor="text1"/>
          <w:kern w:val="0"/>
          <w:sz w:val="24"/>
          <w:lang w:val="zh-CN"/>
        </w:rPr>
        <w:t>生产、销售、使用、贮存放射性同位素和射线装置的场所未按照规定设置安全和防护设施以及放射性标志的罚款幅度裁定</w:t>
      </w:r>
      <w:bookmarkEnd w:id="388"/>
      <w:bookmarkEnd w:id="389"/>
    </w:p>
    <w:tbl>
      <w:tblPr>
        <w:tblStyle w:val="15"/>
        <w:tblW w:w="8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597"/>
        <w:gridCol w:w="990"/>
        <w:gridCol w:w="1344"/>
        <w:gridCol w:w="1745"/>
        <w:gridCol w:w="573"/>
        <w:gridCol w:w="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4024"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195" w:type="dxa"/>
            <w:gridSpan w:val="4"/>
          </w:tcPr>
          <w:p>
            <w:pPr>
              <w:spacing w:before="178"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1" w:hRule="atLeast"/>
        </w:trPr>
        <w:tc>
          <w:tcPr>
            <w:tcW w:w="143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59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990"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089"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73"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33"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143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5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3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未按照规定设置安全和防护设施或放射性标志的</w:t>
            </w:r>
          </w:p>
        </w:tc>
        <w:tc>
          <w:tcPr>
            <w:tcW w:w="17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57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top w:val="single" w:color="auto" w:sz="4" w:space="0"/>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top w:val="single" w:color="auto" w:sz="4" w:space="0"/>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top w:val="single" w:color="auto" w:sz="4" w:space="0"/>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57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3" w:type="dxa"/>
            <w:tcBorders>
              <w:top w:val="single" w:color="auto" w:sz="4" w:space="0"/>
              <w:left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43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未设置安全和防护设施或放射性标志的</w:t>
            </w:r>
          </w:p>
        </w:tc>
        <w:tc>
          <w:tcPr>
            <w:tcW w:w="17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57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33" w:type="dxa"/>
            <w:tcBorders>
              <w:left w:val="single" w:color="auto" w:sz="4" w:space="0"/>
              <w:bottom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143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33" w:type="dxa"/>
            <w:tcBorders>
              <w:top w:val="single" w:color="auto" w:sz="4" w:space="0"/>
              <w:left w:val="single" w:color="auto" w:sz="4" w:space="0"/>
              <w:bottom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33" w:type="dxa"/>
            <w:tcBorders>
              <w:top w:val="single" w:color="auto" w:sz="4" w:space="0"/>
              <w:left w:val="single" w:color="auto" w:sz="4" w:space="0"/>
              <w:bottom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533" w:type="dxa"/>
            <w:tcBorders>
              <w:top w:val="single" w:color="auto" w:sz="4" w:space="0"/>
              <w:left w:val="single" w:color="auto" w:sz="4" w:space="0"/>
              <w:bottom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57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33" w:type="dxa"/>
            <w:tcBorders>
              <w:top w:val="single" w:color="auto" w:sz="4" w:space="0"/>
              <w:left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5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tcBorders>
          </w:tcPr>
          <w:p>
            <w:pPr>
              <w:spacing w:before="43" w:line="184" w:lineRule="auto"/>
              <w:ind w:firstLine="46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left w:val="single" w:color="auto" w:sz="4" w:space="0"/>
            </w:tcBorders>
          </w:tcPr>
          <w:p>
            <w:pPr>
              <w:spacing w:before="42" w:line="184" w:lineRule="auto"/>
              <w:ind w:firstLine="40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5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tcBorders>
          </w:tcPr>
          <w:p>
            <w:pPr>
              <w:spacing w:before="41"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tcPr>
          <w:p>
            <w:pPr>
              <w:spacing w:before="41" w:line="184" w:lineRule="auto"/>
              <w:ind w:firstLine="47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5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7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37" w:type="dxa"/>
            <w:vMerge w:val="continue"/>
            <w:vAlign w:val="center"/>
          </w:tcPr>
          <w:p>
            <w:pPr>
              <w:jc w:val="center"/>
              <w:rPr>
                <w:rFonts w:ascii="Malgun Gothic"/>
                <w:color w:val="000000" w:themeColor="text1"/>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30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82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82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1.《放射性同位素与射线装置安全和防护条例》第三十四条 第一款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六十条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（二）生产、销售、使用、贮存放射性同位素和射线装置的场所未按照规定设置安全和防护设施以及放射性标志的。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90" w:name="_Toc26627"/>
      <w:bookmarkStart w:id="391" w:name="_Toc2996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140</w:t>
      </w:r>
      <w:r>
        <w:rPr>
          <w:rFonts w:hint="eastAsia" w:ascii="仿宋" w:hAnsi="仿宋" w:eastAsia="仿宋" w:cs="仿宋"/>
          <w:b/>
          <w:bCs/>
          <w:color w:val="000000" w:themeColor="text1"/>
          <w:kern w:val="0"/>
          <w:sz w:val="24"/>
          <w:lang w:val="zh-CN"/>
        </w:rPr>
        <w:t>造成电磁辐射污染环境事故的罚款幅度裁定</w:t>
      </w:r>
      <w:bookmarkEnd w:id="390"/>
      <w:bookmarkEnd w:id="391"/>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1538"/>
        <w:gridCol w:w="1131"/>
        <w:gridCol w:w="1769"/>
        <w:gridCol w:w="1418"/>
        <w:gridCol w:w="580"/>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2" w:hRule="atLeast"/>
        </w:trPr>
        <w:tc>
          <w:tcPr>
            <w:tcW w:w="4150"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29" w:type="dxa"/>
            <w:gridSpan w:val="4"/>
          </w:tcPr>
          <w:p>
            <w:pPr>
              <w:spacing w:before="177"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2" w:hRule="atLeast"/>
        </w:trPr>
        <w:tc>
          <w:tcPr>
            <w:tcW w:w="148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538"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13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187"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80"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62"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1"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76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发生电磁辐射污染环境突发事件但无违法所得的</w:t>
            </w:r>
          </w:p>
        </w:tc>
        <w:tc>
          <w:tcPr>
            <w:tcW w:w="14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bottom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0" w:hRule="atLeast"/>
        </w:trPr>
        <w:tc>
          <w:tcPr>
            <w:tcW w:w="148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vAlign w:val="center"/>
          </w:tcPr>
          <w:p>
            <w:pPr>
              <w:jc w:val="center"/>
              <w:rPr>
                <w:rFonts w:ascii="仿宋" w:hAnsi="仿宋" w:eastAsia="仿宋" w:cs="仿宋"/>
                <w:color w:val="000000" w:themeColor="text1"/>
                <w:spacing w:val="-1"/>
                <w:sz w:val="18"/>
                <w:szCs w:val="18"/>
              </w:rPr>
            </w:pPr>
          </w:p>
        </w:tc>
        <w:tc>
          <w:tcPr>
            <w:tcW w:w="1131" w:type="dxa"/>
            <w:vMerge w:val="continue"/>
            <w:vAlign w:val="center"/>
          </w:tcPr>
          <w:p>
            <w:pPr>
              <w:jc w:val="center"/>
              <w:rPr>
                <w:rFonts w:ascii="仿宋" w:hAnsi="仿宋" w:eastAsia="仿宋" w:cs="仿宋"/>
                <w:color w:val="000000" w:themeColor="text1"/>
                <w:spacing w:val="-1"/>
                <w:sz w:val="18"/>
                <w:szCs w:val="18"/>
              </w:rPr>
            </w:pPr>
          </w:p>
        </w:tc>
        <w:tc>
          <w:tcPr>
            <w:tcW w:w="176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1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top w:val="single" w:color="auto" w:sz="4" w:space="0"/>
              <w:left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2" w:hRule="atLeast"/>
        </w:trPr>
        <w:tc>
          <w:tcPr>
            <w:tcW w:w="148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6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发生电磁辐射污染环境突发事件且有违法所得的</w:t>
            </w:r>
          </w:p>
        </w:tc>
        <w:tc>
          <w:tcPr>
            <w:tcW w:w="14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2" w:type="dxa"/>
            <w:tcBorders>
              <w:left w:val="single" w:color="auto" w:sz="4" w:space="0"/>
              <w:bottom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trPr>
        <w:tc>
          <w:tcPr>
            <w:tcW w:w="148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vAlign w:val="center"/>
          </w:tcPr>
          <w:p>
            <w:pPr>
              <w:jc w:val="center"/>
              <w:rPr>
                <w:rFonts w:ascii="仿宋" w:hAnsi="仿宋" w:eastAsia="仿宋" w:cs="仿宋"/>
                <w:color w:val="000000" w:themeColor="text1"/>
                <w:spacing w:val="-1"/>
                <w:sz w:val="18"/>
                <w:szCs w:val="18"/>
              </w:rPr>
            </w:pPr>
          </w:p>
        </w:tc>
        <w:tc>
          <w:tcPr>
            <w:tcW w:w="1131" w:type="dxa"/>
            <w:vMerge w:val="continue"/>
            <w:vAlign w:val="center"/>
          </w:tcPr>
          <w:p>
            <w:pPr>
              <w:jc w:val="center"/>
              <w:rPr>
                <w:rFonts w:ascii="仿宋" w:hAnsi="仿宋" w:eastAsia="仿宋" w:cs="仿宋"/>
                <w:color w:val="000000" w:themeColor="text1"/>
                <w:spacing w:val="-1"/>
                <w:sz w:val="18"/>
                <w:szCs w:val="18"/>
              </w:rPr>
            </w:pPr>
          </w:p>
        </w:tc>
        <w:tc>
          <w:tcPr>
            <w:tcW w:w="176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1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top w:val="single" w:color="auto" w:sz="4" w:space="0"/>
              <w:left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tcBorders>
          </w:tcPr>
          <w:p>
            <w:pPr>
              <w:spacing w:before="43"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2"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left w:val="single" w:color="auto" w:sz="4" w:space="0"/>
            </w:tcBorders>
          </w:tcPr>
          <w:p>
            <w:pPr>
              <w:spacing w:before="42"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是否完成改正</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tcPr>
          <w:p>
            <w:pPr>
              <w:spacing w:before="4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left w:val="single" w:color="auto" w:sz="4" w:space="0"/>
            </w:tcBorders>
          </w:tcPr>
          <w:p>
            <w:pPr>
              <w:spacing w:before="41"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tcPr>
          <w:p>
            <w:pPr>
              <w:spacing w:before="43"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81" w:type="dxa"/>
            <w:vMerge w:val="continue"/>
            <w:vAlign w:val="center"/>
          </w:tcPr>
          <w:p>
            <w:pPr>
              <w:jc w:val="center"/>
              <w:rPr>
                <w:rFonts w:ascii="Malgun Gothic"/>
                <w:color w:val="000000" w:themeColor="text1"/>
                <w:sz w:val="18"/>
                <w:szCs w:val="18"/>
              </w:rPr>
            </w:pPr>
          </w:p>
        </w:tc>
        <w:tc>
          <w:tcPr>
            <w:tcW w:w="1538" w:type="dxa"/>
            <w:vMerge w:val="continue"/>
            <w:vAlign w:val="center"/>
          </w:tcPr>
          <w:p>
            <w:pPr>
              <w:jc w:val="center"/>
              <w:rPr>
                <w:rFonts w:ascii="仿宋" w:hAnsi="仿宋" w:eastAsia="仿宋" w:cs="仿宋"/>
                <w:color w:val="000000" w:themeColor="text1"/>
                <w:spacing w:val="-1"/>
                <w:sz w:val="18"/>
                <w:szCs w:val="18"/>
              </w:rPr>
            </w:pPr>
          </w:p>
        </w:tc>
        <w:tc>
          <w:tcPr>
            <w:tcW w:w="1131" w:type="dxa"/>
            <w:vMerge w:val="continue"/>
            <w:vAlign w:val="center"/>
          </w:tcPr>
          <w:p>
            <w:pPr>
              <w:jc w:val="center"/>
              <w:rPr>
                <w:rFonts w:ascii="仿宋" w:hAnsi="仿宋" w:eastAsia="仿宋" w:cs="仿宋"/>
                <w:color w:val="000000" w:themeColor="text1"/>
                <w:spacing w:val="-1"/>
                <w:sz w:val="18"/>
                <w:szCs w:val="18"/>
              </w:rPr>
            </w:pPr>
          </w:p>
        </w:tc>
        <w:tc>
          <w:tcPr>
            <w:tcW w:w="31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847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公式：1.罚款金额=百分值之和×最高法定罚款上限。（没有收违法所得的）</w:t>
            </w:r>
          </w:p>
          <w:p>
            <w:pPr>
              <w:ind w:firstLine="462" w:firstLineChars="300"/>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2.罚款金额＝违法所得×1～3（由总百分值确定），但罚款金额不能超过3万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电磁辐射环境保护管理办法》第三十条违反本办法规定，造成电磁辐射污染环境事故的，由省级环境保护行政主管部门处以罚款。有违法所得的，处违法所得3倍以下的罚款，但最高不超过3万元；没有违法所得的，处1万元以下的罚款。</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2"/>
        <w:tblpPr w:leftFromText="180" w:rightFromText="180" w:vertAnchor="text" w:horzAnchor="page" w:tblpX="2742" w:tblpY="1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bl>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jc w:val="center"/>
        <w:outlineLvl w:val="2"/>
        <w:rPr>
          <w:rFonts w:ascii="黑体" w:hAnsi="黑体" w:eastAsia="黑体" w:cs="黑体"/>
          <w:b/>
          <w:bCs/>
          <w:color w:val="000000" w:themeColor="text1"/>
          <w:spacing w:val="1"/>
          <w:sz w:val="28"/>
          <w:szCs w:val="28"/>
        </w:rPr>
      </w:pPr>
      <w:bookmarkStart w:id="392" w:name="_Toc30237"/>
      <w:bookmarkStart w:id="393" w:name="_Toc31838"/>
      <w:bookmarkStart w:id="394" w:name="_Toc4751"/>
      <w:r>
        <w:rPr>
          <w:rFonts w:hint="eastAsia" w:ascii="黑体" w:hAnsi="黑体" w:eastAsia="黑体" w:cs="黑体"/>
          <w:b/>
          <w:bCs/>
          <w:color w:val="000000" w:themeColor="text1"/>
          <w:spacing w:val="1"/>
          <w:sz w:val="28"/>
          <w:szCs w:val="28"/>
        </w:rPr>
        <w:t>七、本溪市生态环境局环境行政处罚裁量规则(排污许可类)</w:t>
      </w:r>
      <w:bookmarkEnd w:id="392"/>
      <w:bookmarkEnd w:id="393"/>
      <w:bookmarkEnd w:id="394"/>
    </w:p>
    <w:p>
      <w:pPr>
        <w:jc w:val="center"/>
        <w:outlineLvl w:val="3"/>
        <w:rPr>
          <w:rFonts w:ascii="仿宋" w:hAnsi="仿宋" w:eastAsia="仿宋" w:cs="仿宋"/>
          <w:b/>
          <w:bCs/>
          <w:color w:val="000000" w:themeColor="text1"/>
          <w:kern w:val="0"/>
          <w:sz w:val="24"/>
          <w:lang w:val="zh-CN"/>
        </w:rPr>
      </w:pPr>
      <w:bookmarkStart w:id="395" w:name="_Toc4870"/>
      <w:bookmarkStart w:id="396" w:name="_Toc529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141</w:t>
      </w:r>
      <w:r>
        <w:rPr>
          <w:rFonts w:hint="eastAsia" w:ascii="仿宋" w:hAnsi="仿宋" w:eastAsia="仿宋" w:cs="仿宋"/>
          <w:b/>
          <w:bCs/>
          <w:color w:val="000000" w:themeColor="text1"/>
          <w:kern w:val="0"/>
          <w:sz w:val="24"/>
          <w:lang w:val="zh-CN"/>
        </w:rPr>
        <w:t>违反排污许可管理制度罚款幅度裁定</w:t>
      </w:r>
      <w:bookmarkEnd w:id="395"/>
      <w:bookmarkEnd w:id="396"/>
    </w:p>
    <w:tbl>
      <w:tblPr>
        <w:tblStyle w:val="15"/>
        <w:tblW w:w="8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509"/>
        <w:gridCol w:w="1053"/>
        <w:gridCol w:w="1130"/>
        <w:gridCol w:w="1678"/>
        <w:gridCol w:w="865"/>
        <w:gridCol w:w="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3982"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97" w:type="dxa"/>
            <w:gridSpan w:val="4"/>
          </w:tcPr>
          <w:p>
            <w:pPr>
              <w:spacing w:before="177"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420" w:type="dxa"/>
            <w:vAlign w:val="center"/>
          </w:tcPr>
          <w:p>
            <w:pPr>
              <w:spacing w:before="19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509" w:type="dxa"/>
            <w:vAlign w:val="center"/>
          </w:tcPr>
          <w:p>
            <w:pPr>
              <w:spacing w:before="208"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53" w:type="dxa"/>
            <w:vAlign w:val="center"/>
          </w:tcPr>
          <w:p>
            <w:pPr>
              <w:spacing w:before="52" w:line="312" w:lineRule="exact"/>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2808" w:type="dxa"/>
            <w:gridSpan w:val="2"/>
          </w:tcPr>
          <w:p>
            <w:pPr>
              <w:spacing w:before="208" w:line="185" w:lineRule="auto"/>
              <w:ind w:firstLine="850" w:firstLineChars="500"/>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65" w:type="dxa"/>
            <w:tcBorders>
              <w:right w:val="single" w:color="auto" w:sz="4" w:space="0"/>
            </w:tcBorders>
          </w:tcPr>
          <w:p>
            <w:pPr>
              <w:spacing w:before="208"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4" w:type="dxa"/>
            <w:tcBorders>
              <w:left w:val="single" w:color="auto" w:sz="4" w:space="0"/>
            </w:tcBorders>
          </w:tcPr>
          <w:p>
            <w:pPr>
              <w:spacing w:before="208"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restart"/>
            <w:vAlign w:val="center"/>
          </w:tcPr>
          <w:p>
            <w:pPr>
              <w:spacing w:before="358"/>
              <w:ind w:right="14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13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未对环境造成影响</w:t>
            </w:r>
          </w:p>
        </w:tc>
        <w:tc>
          <w:tcPr>
            <w:tcW w:w="167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4" w:type="dxa"/>
            <w:tcBorders>
              <w:left w:val="single" w:color="auto" w:sz="4" w:space="0"/>
              <w:bottom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vAlign w:val="center"/>
          </w:tcPr>
          <w:p>
            <w:pPr>
              <w:spacing w:before="358"/>
              <w:ind w:right="141"/>
              <w:jc w:val="center"/>
              <w:rPr>
                <w:rFonts w:ascii="仿宋" w:hAnsi="仿宋" w:eastAsia="仿宋" w:cs="仿宋"/>
                <w:color w:val="000000" w:themeColor="text1"/>
                <w:spacing w:val="-2"/>
                <w:sz w:val="18"/>
                <w:szCs w:val="18"/>
              </w:rPr>
            </w:pPr>
          </w:p>
        </w:tc>
        <w:tc>
          <w:tcPr>
            <w:tcW w:w="1509" w:type="dxa"/>
            <w:vMerge w:val="continue"/>
            <w:vAlign w:val="center"/>
          </w:tcPr>
          <w:p>
            <w:pPr>
              <w:jc w:val="center"/>
              <w:rPr>
                <w:rFonts w:ascii="仿宋" w:hAnsi="仿宋" w:eastAsia="仿宋" w:cs="仿宋"/>
                <w:color w:val="000000" w:themeColor="text1"/>
                <w:spacing w:val="-1"/>
                <w:sz w:val="18"/>
                <w:szCs w:val="18"/>
              </w:rPr>
            </w:pPr>
          </w:p>
        </w:tc>
        <w:tc>
          <w:tcPr>
            <w:tcW w:w="1053"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24" w:type="dxa"/>
            <w:tcBorders>
              <w:top w:val="single" w:color="auto" w:sz="4" w:space="0"/>
              <w:left w:val="single" w:color="auto" w:sz="4" w:space="0"/>
              <w:bottom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vAlign w:val="center"/>
          </w:tcPr>
          <w:p>
            <w:pPr>
              <w:spacing w:before="358"/>
              <w:ind w:right="141"/>
              <w:jc w:val="center"/>
              <w:rPr>
                <w:rFonts w:ascii="仿宋" w:hAnsi="仿宋" w:eastAsia="仿宋" w:cs="仿宋"/>
                <w:color w:val="000000" w:themeColor="text1"/>
                <w:spacing w:val="-2"/>
                <w:sz w:val="18"/>
                <w:szCs w:val="18"/>
              </w:rPr>
            </w:pPr>
          </w:p>
        </w:tc>
        <w:tc>
          <w:tcPr>
            <w:tcW w:w="1509" w:type="dxa"/>
            <w:vMerge w:val="continue"/>
            <w:vAlign w:val="center"/>
          </w:tcPr>
          <w:p>
            <w:pPr>
              <w:jc w:val="center"/>
              <w:rPr>
                <w:rFonts w:ascii="仿宋" w:hAnsi="仿宋" w:eastAsia="仿宋" w:cs="仿宋"/>
                <w:color w:val="000000" w:themeColor="text1"/>
                <w:spacing w:val="-1"/>
                <w:sz w:val="18"/>
                <w:szCs w:val="18"/>
              </w:rPr>
            </w:pPr>
          </w:p>
        </w:tc>
        <w:tc>
          <w:tcPr>
            <w:tcW w:w="1053"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7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4" w:type="dxa"/>
            <w:tcBorders>
              <w:top w:val="single" w:color="auto" w:sz="4" w:space="0"/>
              <w:left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vAlign w:val="center"/>
          </w:tcPr>
          <w:p>
            <w:pPr>
              <w:jc w:val="cente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已对环境造成影响</w:t>
            </w:r>
          </w:p>
        </w:tc>
        <w:tc>
          <w:tcPr>
            <w:tcW w:w="167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4" w:type="dxa"/>
            <w:tcBorders>
              <w:left w:val="single" w:color="auto" w:sz="4" w:space="0"/>
              <w:bottom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vAlign w:val="center"/>
          </w:tcPr>
          <w:p>
            <w:pPr>
              <w:jc w:val="cente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24" w:type="dxa"/>
            <w:tcBorders>
              <w:top w:val="single" w:color="auto" w:sz="4" w:space="0"/>
              <w:left w:val="single" w:color="auto" w:sz="4" w:space="0"/>
              <w:bottom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vAlign w:val="center"/>
          </w:tcPr>
          <w:p>
            <w:pPr>
              <w:jc w:val="center"/>
              <w:rPr>
                <w:rFonts w:ascii="Malgun Gothic"/>
                <w:color w:val="000000" w:themeColor="text1"/>
                <w:sz w:val="18"/>
                <w:szCs w:val="18"/>
              </w:rPr>
            </w:pPr>
          </w:p>
        </w:tc>
        <w:tc>
          <w:tcPr>
            <w:tcW w:w="1509" w:type="dxa"/>
            <w:vMerge w:val="continue"/>
            <w:vAlign w:val="center"/>
          </w:tcPr>
          <w:p>
            <w:pPr>
              <w:jc w:val="center"/>
              <w:rPr>
                <w:rFonts w:ascii="仿宋" w:hAnsi="仿宋" w:eastAsia="仿宋" w:cs="仿宋"/>
                <w:color w:val="000000" w:themeColor="text1"/>
                <w:spacing w:val="-1"/>
                <w:sz w:val="18"/>
                <w:szCs w:val="18"/>
              </w:rPr>
            </w:pPr>
          </w:p>
        </w:tc>
        <w:tc>
          <w:tcPr>
            <w:tcW w:w="1053"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7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4" w:type="dxa"/>
            <w:tcBorders>
              <w:top w:val="single" w:color="auto" w:sz="4" w:space="0"/>
              <w:left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42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两年内违法次数</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4" w:type="dxa"/>
            <w:tcBorders>
              <w:left w:val="single" w:color="auto" w:sz="4" w:space="0"/>
            </w:tcBorders>
          </w:tcPr>
          <w:p>
            <w:pPr>
              <w:spacing w:before="43"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420" w:type="dxa"/>
            <w:vMerge w:val="continue"/>
            <w:tcBorders>
              <w:top w:val="nil"/>
              <w:bottom w:val="nil"/>
            </w:tcBorders>
          </w:tcPr>
          <w:p>
            <w:pP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4"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420" w:type="dxa"/>
            <w:vMerge w:val="continue"/>
            <w:tcBorders>
              <w:top w:val="nil"/>
              <w:bottom w:val="nil"/>
            </w:tcBorders>
          </w:tcPr>
          <w:p>
            <w:pP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4"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420" w:type="dxa"/>
            <w:vMerge w:val="continue"/>
            <w:tcBorders>
              <w:top w:val="nil"/>
            </w:tcBorders>
          </w:tcPr>
          <w:p>
            <w:pP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4" w:type="dxa"/>
            <w:tcBorders>
              <w:left w:val="single" w:color="auto" w:sz="4" w:space="0"/>
            </w:tcBorders>
          </w:tcPr>
          <w:p>
            <w:pPr>
              <w:spacing w:before="42"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420" w:type="dxa"/>
            <w:vMerge w:val="restart"/>
            <w:tcBorders>
              <w:bottom w:val="nil"/>
            </w:tcBorders>
            <w:vAlign w:val="center"/>
          </w:tcPr>
          <w:p>
            <w:pPr>
              <w:spacing w:before="202"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是否完成改正</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4" w:type="dxa"/>
            <w:tcBorders>
              <w:left w:val="single" w:color="auto" w:sz="4" w:space="0"/>
            </w:tcBorders>
          </w:tcPr>
          <w:p>
            <w:pPr>
              <w:spacing w:before="4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4" w:type="dxa"/>
            <w:tcBorders>
              <w:left w:val="single" w:color="auto" w:sz="4" w:space="0"/>
            </w:tcBorders>
          </w:tcPr>
          <w:p>
            <w:pPr>
              <w:spacing w:before="41"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420" w:type="dxa"/>
            <w:vMerge w:val="restart"/>
            <w:tcBorders>
              <w:bottom w:val="nil"/>
            </w:tcBorders>
            <w:vAlign w:val="center"/>
          </w:tcPr>
          <w:p>
            <w:pPr>
              <w:spacing w:before="48" w:line="212" w:lineRule="auto"/>
              <w:ind w:right="264"/>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4" w:type="dxa"/>
            <w:tcBorders>
              <w:left w:val="single" w:color="auto" w:sz="4" w:space="0"/>
            </w:tcBorders>
          </w:tcPr>
          <w:p>
            <w:pPr>
              <w:spacing w:before="43"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4"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hRule="atLeast"/>
        </w:trPr>
        <w:tc>
          <w:tcPr>
            <w:tcW w:w="14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20" w:type="dxa"/>
            <w:vMerge w:val="continue"/>
            <w:vAlign w:val="center"/>
          </w:tcPr>
          <w:p>
            <w:pPr>
              <w:jc w:val="center"/>
              <w:rPr>
                <w:rFonts w:ascii="Malgun Gothic"/>
                <w:color w:val="000000" w:themeColor="text1"/>
                <w:sz w:val="18"/>
                <w:szCs w:val="18"/>
              </w:rPr>
            </w:pPr>
          </w:p>
        </w:tc>
        <w:tc>
          <w:tcPr>
            <w:tcW w:w="1509" w:type="dxa"/>
            <w:vMerge w:val="continue"/>
            <w:vAlign w:val="center"/>
          </w:tcPr>
          <w:p>
            <w:pPr>
              <w:jc w:val="center"/>
              <w:rPr>
                <w:rFonts w:ascii="仿宋" w:hAnsi="仿宋" w:eastAsia="仿宋" w:cs="仿宋"/>
                <w:color w:val="000000" w:themeColor="text1"/>
                <w:spacing w:val="-1"/>
                <w:sz w:val="18"/>
                <w:szCs w:val="18"/>
              </w:rPr>
            </w:pPr>
          </w:p>
        </w:tc>
        <w:tc>
          <w:tcPr>
            <w:tcW w:w="1053" w:type="dxa"/>
            <w:vMerge w:val="continue"/>
            <w:vAlign w:val="center"/>
          </w:tcPr>
          <w:p>
            <w:pPr>
              <w:jc w:val="center"/>
              <w:rPr>
                <w:rFonts w:ascii="仿宋" w:hAnsi="仿宋" w:eastAsia="仿宋" w:cs="仿宋"/>
                <w:color w:val="000000" w:themeColor="text1"/>
                <w:spacing w:val="-1"/>
                <w:sz w:val="18"/>
                <w:szCs w:val="18"/>
              </w:rPr>
            </w:pPr>
          </w:p>
        </w:tc>
        <w:tc>
          <w:tcPr>
            <w:tcW w:w="280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9" w:hRule="atLeast"/>
        </w:trPr>
        <w:tc>
          <w:tcPr>
            <w:tcW w:w="82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82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1.《排污许可证管理条例》第三十三条　违反本条例规定，排污单位有下列行为之一的，由生态环境主管部门责令改正或者限制生产、停产整治，处20万元以上100万元以下的罚款；情节严重的，报经有批准权的人民政府批准，责令停业、关闭：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（一）未取得排污许可证排放污染物；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（二）排污许可证有效期届满未申请延续或者延续申请未经批准排放污染物；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（三）被依法撤销、注销、吊销排污许可证后排放污染物；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（四）依法应当重新申请取得排污许可证，未重新申请取得排污许可证排放污染物。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（一）超过许可排放浓度、许可排放量排放污染物；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（二）通过暗管、渗井、渗坑、灌注或者篡改、伪造监测数据，或者不正常运行污染防治设施等逃避监管的方式违法排放污染物。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第三十五条　违反本条例规定，排污单位有下列行为之一的，由生态环境主管部门责令改正，处5万元以上20万元以下的罚款；情节严重的，处20万元以上100万元以下的罚款，责令限制生产、停产整治：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（一）未按照排污许可证规定控制大气污染物无组织排放；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（二）特殊时段未按照排污许可证规定停止或者限制排放污染物。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第三十六条　违反本条例规定，排污单位有下列行为之一的，由生态环境主管部门责令改正，处2万元以上20万元以下的罚款；拒不改正的，责令停产整治：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（一）污染物排放口位置或者数量不符合排污许可证规定；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（二）污染物排放方式或者排放去向不符合排污许可证规定；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（三）损毁或者擅自移动、改变污染物排放自动监测设备；</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（四）未按照排污许可证规定安装、使用污染物排放自动监测设备并与生态环境主管部门的监控设备联网，或者未保证污染物排放自动监测设备正常运行；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（五）未按照排污许可证规定制定自行监测方案并开展自行监测；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（六）未按照排污许可证规定保存原始监测记录；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（七）未按照排污许可证规定公开或者不如实公开污染物排放信息；</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（八）发现污染物排放自动监测设备传输数据异常或者污染物排放超过污染物排放标准等异常情况不报告；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（九）违反法律法规规定的其他控制污染物排放要求的行为。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第三十七条　违反本条例规定，排污单位有下列行为之一的，由生态环境主管部门责令改正，处每次5千元以上2万元以下的罚款；法律另有规定的，从其规定：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（一）未建立环境管理台账记录制度，或者未按照排污许可证规定记录；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（二）未如实记录主要生产设施及污染防治设施运行情况或者污染物排放浓度、排放量；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（三）未按照排污许可证规定提交排污许可证执行报告；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（四）未如实报告污染物排放行为或者污染物排放浓度、排放量。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第三十九条　排污单位拒不配合生态环境主管部门监督检查，或者在接受监督检查时弄虚作假的，由生态环境主管部门责令改正，处2万元以上20万元以下的罚款。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第四十条　排污单位以欺骗、贿赂等不正当手段申请取得排污许可证的，由审批部门依法撤销其排污许可证，处20万元以上50万元以下的罚款，3年内不得再次申请排污许可证。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第四十一条　违反本条例规定，伪造、变造、转让排污许可证的，由生态环境主管部门没收相关证件或者吊销排污许可证，处10万元以上30万元以下的罚款，3年内不得再次申请排污许可证。</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第四十三条　需要填报排污登记表的企业事业单位和其他生产经营者，未依照本条例规定填报排污信息的，由生态环境主管部门责令改正，可以处5万元以下的</w:t>
      </w: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jc w:val="center"/>
        <w:outlineLvl w:val="2"/>
        <w:rPr>
          <w:rFonts w:ascii="黑体" w:hAnsi="黑体" w:eastAsia="黑体" w:cs="黑体"/>
          <w:b/>
          <w:bCs/>
          <w:color w:val="000000" w:themeColor="text1"/>
          <w:spacing w:val="1"/>
          <w:sz w:val="28"/>
          <w:szCs w:val="28"/>
        </w:rPr>
      </w:pPr>
      <w:bookmarkStart w:id="397" w:name="_Toc17326"/>
      <w:bookmarkStart w:id="398" w:name="_Toc28081"/>
      <w:bookmarkStart w:id="399" w:name="_Toc5033"/>
      <w:r>
        <w:rPr>
          <w:rFonts w:hint="eastAsia" w:ascii="黑体" w:hAnsi="黑体" w:eastAsia="黑体" w:cs="黑体"/>
          <w:b/>
          <w:bCs/>
          <w:color w:val="000000" w:themeColor="text1"/>
          <w:spacing w:val="1"/>
          <w:sz w:val="28"/>
          <w:szCs w:val="28"/>
        </w:rPr>
        <w:t>八、辽宁省生态环境行政处罚裁量规则(其他类)</w:t>
      </w:r>
      <w:bookmarkEnd w:id="397"/>
      <w:bookmarkEnd w:id="398"/>
      <w:bookmarkEnd w:id="399"/>
    </w:p>
    <w:p>
      <w:pPr>
        <w:jc w:val="center"/>
        <w:outlineLvl w:val="0"/>
        <w:rPr>
          <w:rFonts w:ascii="仿宋" w:hAnsi="仿宋" w:eastAsia="仿宋" w:cs="仿宋"/>
          <w:b/>
          <w:bCs/>
          <w:color w:val="000000" w:themeColor="text1"/>
          <w:sz w:val="24"/>
        </w:rPr>
      </w:pPr>
      <w:bookmarkStart w:id="400" w:name="_Toc21612"/>
      <w:bookmarkStart w:id="401" w:name="_Toc13198"/>
      <w:bookmarkStart w:id="402" w:name="_Toc13426"/>
      <w:r>
        <w:rPr>
          <w:rFonts w:hint="eastAsia" w:ascii="仿宋" w:hAnsi="仿宋" w:eastAsia="仿宋" w:cs="仿宋"/>
          <w:b/>
          <w:bCs/>
          <w:color w:val="000000" w:themeColor="text1"/>
          <w:sz w:val="24"/>
        </w:rPr>
        <w:t>表142在禁止养殖区域内建设畜禽养殖场、养殖小区的罚款幅度裁定</w:t>
      </w:r>
      <w:bookmarkEnd w:id="400"/>
      <w:bookmarkEnd w:id="401"/>
      <w:bookmarkEnd w:id="402"/>
    </w:p>
    <w:tbl>
      <w:tblPr>
        <w:tblStyle w:val="15"/>
        <w:tblW w:w="87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5"/>
        <w:gridCol w:w="1099"/>
        <w:gridCol w:w="1035"/>
        <w:gridCol w:w="2115"/>
        <w:gridCol w:w="1883"/>
        <w:gridCol w:w="682"/>
        <w:gridCol w:w="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3529" w:type="dxa"/>
            <w:gridSpan w:val="3"/>
          </w:tcPr>
          <w:p>
            <w:pPr>
              <w:spacing w:before="176"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183" w:type="dxa"/>
            <w:gridSpan w:val="4"/>
          </w:tcPr>
          <w:p>
            <w:pPr>
              <w:spacing w:before="176" w:line="184" w:lineRule="auto"/>
              <w:ind w:firstLine="1657"/>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1395" w:type="dxa"/>
            <w:vAlign w:val="center"/>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要素</w:t>
            </w:r>
          </w:p>
        </w:tc>
        <w:tc>
          <w:tcPr>
            <w:tcW w:w="1099" w:type="dxa"/>
            <w:vAlign w:val="center"/>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具体条件</w:t>
            </w:r>
          </w:p>
        </w:tc>
        <w:tc>
          <w:tcPr>
            <w:tcW w:w="1035" w:type="dxa"/>
            <w:vAlign w:val="center"/>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构成比例</w:t>
            </w:r>
          </w:p>
        </w:tc>
        <w:tc>
          <w:tcPr>
            <w:tcW w:w="3998" w:type="dxa"/>
            <w:gridSpan w:val="2"/>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程度</w:t>
            </w:r>
          </w:p>
        </w:tc>
        <w:tc>
          <w:tcPr>
            <w:tcW w:w="682" w:type="dxa"/>
            <w:tcBorders>
              <w:right w:val="single" w:color="auto" w:sz="4" w:space="0"/>
            </w:tcBorders>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百分值</w:t>
            </w:r>
          </w:p>
        </w:tc>
        <w:tc>
          <w:tcPr>
            <w:tcW w:w="503" w:type="dxa"/>
            <w:tcBorders>
              <w:left w:val="single" w:color="auto" w:sz="4" w:space="0"/>
            </w:tcBorders>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5" w:type="dxa"/>
            <w:vMerge w:val="restart"/>
            <w:tcBorders>
              <w:bottom w:val="nil"/>
            </w:tcBorders>
            <w:vAlign w:val="center"/>
          </w:tcPr>
          <w:p>
            <w:pPr>
              <w:spacing w:before="78"/>
              <w:ind w:right="224"/>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w:t>
            </w:r>
          </w:p>
          <w:p>
            <w:pPr>
              <w:spacing w:before="78"/>
              <w:ind w:right="22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1099"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违法行为类型</w:t>
            </w:r>
          </w:p>
        </w:tc>
        <w:tc>
          <w:tcPr>
            <w:tcW w:w="103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8"/>
                <w:sz w:val="18"/>
                <w:szCs w:val="18"/>
              </w:rPr>
              <w:t>50%</w:t>
            </w:r>
          </w:p>
        </w:tc>
        <w:tc>
          <w:tcPr>
            <w:tcW w:w="2115" w:type="dxa"/>
            <w:vMerge w:val="restart"/>
            <w:tcBorders>
              <w:right w:val="single" w:color="auto" w:sz="4" w:space="0"/>
            </w:tcBorders>
            <w:vAlign w:val="center"/>
          </w:tcPr>
          <w:p>
            <w:pPr>
              <w:spacing w:before="40" w:line="221" w:lineRule="auto"/>
              <w:ind w:left="117" w:right="10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5"/>
                <w:sz w:val="18"/>
                <w:szCs w:val="18"/>
              </w:rPr>
              <w:t>养殖场、养殖小区，尚未投入</w:t>
            </w:r>
            <w:r>
              <w:rPr>
                <w:rFonts w:hint="eastAsia" w:ascii="仿宋" w:hAnsi="仿宋" w:eastAsia="仿宋" w:cs="仿宋"/>
                <w:color w:val="000000" w:themeColor="text1"/>
                <w:spacing w:val="-6"/>
                <w:sz w:val="18"/>
                <w:szCs w:val="18"/>
              </w:rPr>
              <w:t>生产</w:t>
            </w:r>
          </w:p>
        </w:tc>
        <w:tc>
          <w:tcPr>
            <w:tcW w:w="1883" w:type="dxa"/>
            <w:tcBorders>
              <w:left w:val="single" w:color="auto" w:sz="4" w:space="0"/>
              <w:bottom w:val="single" w:color="auto" w:sz="4" w:space="0"/>
            </w:tcBorders>
            <w:vAlign w:val="center"/>
          </w:tcPr>
          <w:p>
            <w:pPr>
              <w:pStyle w:val="16"/>
              <w:spacing w:line="230" w:lineRule="exact"/>
              <w:ind w:left="108"/>
              <w:rPr>
                <w:color w:val="000000" w:themeColor="text1"/>
                <w:spacing w:val="-2"/>
                <w:sz w:val="18"/>
                <w:szCs w:val="18"/>
                <w:lang w:val="en-US"/>
              </w:rPr>
            </w:pPr>
            <w:r>
              <w:rPr>
                <w:rFonts w:hint="eastAsia"/>
                <w:color w:val="000000" w:themeColor="text1"/>
                <w:spacing w:val="-2"/>
                <w:sz w:val="18"/>
                <w:szCs w:val="18"/>
                <w:lang w:val="en-US" w:bidi="ar-SA"/>
              </w:rPr>
              <w:t>工业园和农村地区/V类水体或污水集中处理设施</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5" w:type="dxa"/>
            <w:vMerge w:val="continue"/>
            <w:vAlign w:val="center"/>
          </w:tcPr>
          <w:p>
            <w:pPr>
              <w:spacing w:before="78"/>
              <w:ind w:right="224"/>
              <w:jc w:val="center"/>
              <w:rPr>
                <w:rFonts w:ascii="仿宋" w:hAnsi="仿宋" w:eastAsia="仿宋" w:cs="仿宋"/>
                <w:color w:val="000000" w:themeColor="text1"/>
                <w:spacing w:val="-5"/>
                <w:sz w:val="18"/>
                <w:szCs w:val="18"/>
              </w:rPr>
            </w:pPr>
          </w:p>
        </w:tc>
        <w:tc>
          <w:tcPr>
            <w:tcW w:w="109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vAlign w:val="center"/>
          </w:tcPr>
          <w:p>
            <w:pPr>
              <w:spacing w:before="78" w:line="184" w:lineRule="auto"/>
              <w:jc w:val="center"/>
              <w:rPr>
                <w:rFonts w:ascii="仿宋" w:hAnsi="仿宋" w:eastAsia="仿宋" w:cs="仿宋"/>
                <w:color w:val="000000" w:themeColor="text1"/>
                <w:spacing w:val="-8"/>
                <w:sz w:val="18"/>
                <w:szCs w:val="18"/>
              </w:rPr>
            </w:pPr>
          </w:p>
        </w:tc>
        <w:tc>
          <w:tcPr>
            <w:tcW w:w="2115" w:type="dxa"/>
            <w:vMerge w:val="continue"/>
            <w:tcBorders>
              <w:righ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p>
        </w:tc>
        <w:tc>
          <w:tcPr>
            <w:tcW w:w="1883" w:type="dxa"/>
            <w:tcBorders>
              <w:top w:val="single" w:color="auto" w:sz="4" w:space="0"/>
              <w:lef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居民区、商业交通居民混合区、文化区/I、Ⅱ、Ⅲ类水体</w:t>
            </w:r>
          </w:p>
        </w:tc>
        <w:tc>
          <w:tcPr>
            <w:tcW w:w="68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2115" w:type="dxa"/>
            <w:vMerge w:val="restart"/>
            <w:tcBorders>
              <w:right w:val="single" w:color="auto" w:sz="4" w:space="0"/>
            </w:tcBorders>
            <w:vAlign w:val="center"/>
          </w:tcPr>
          <w:p>
            <w:pPr>
              <w:spacing w:before="40" w:line="229" w:lineRule="auto"/>
              <w:ind w:left="105" w:right="104" w:firstLine="1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4"/>
                <w:sz w:val="18"/>
                <w:szCs w:val="18"/>
              </w:rPr>
              <w:t>养殖场、养殖小区，年出栏生</w:t>
            </w:r>
            <w:r>
              <w:rPr>
                <w:rFonts w:hint="eastAsia" w:ascii="仿宋" w:hAnsi="仿宋" w:eastAsia="仿宋" w:cs="仿宋"/>
                <w:color w:val="000000" w:themeColor="text1"/>
                <w:spacing w:val="-11"/>
                <w:sz w:val="18"/>
                <w:szCs w:val="18"/>
              </w:rPr>
              <w:t>猪100头以上，不足500头</w:t>
            </w:r>
            <w:r>
              <w:rPr>
                <w:rFonts w:hint="eastAsia" w:ascii="仿宋" w:hAnsi="仿宋" w:eastAsia="仿宋" w:cs="仿宋"/>
                <w:color w:val="000000" w:themeColor="text1"/>
                <w:sz w:val="18"/>
                <w:szCs w:val="18"/>
              </w:rPr>
              <w:t>(其他畜禽种类折合猪的养殖规模)</w:t>
            </w:r>
          </w:p>
        </w:tc>
        <w:tc>
          <w:tcPr>
            <w:tcW w:w="1883" w:type="dxa"/>
            <w:tcBorders>
              <w:left w:val="single" w:color="auto" w:sz="4" w:space="0"/>
              <w:bottom w:val="single" w:color="auto" w:sz="4" w:space="0"/>
            </w:tcBorders>
            <w:vAlign w:val="center"/>
          </w:tcPr>
          <w:p>
            <w:pPr>
              <w:pStyle w:val="16"/>
              <w:spacing w:line="230" w:lineRule="exact"/>
              <w:ind w:left="108"/>
              <w:rPr>
                <w:color w:val="000000" w:themeColor="text1"/>
                <w:spacing w:val="-2"/>
                <w:sz w:val="18"/>
                <w:szCs w:val="18"/>
              </w:rPr>
            </w:pPr>
            <w:r>
              <w:rPr>
                <w:rFonts w:hint="eastAsia"/>
                <w:color w:val="000000" w:themeColor="text1"/>
                <w:spacing w:val="-2"/>
                <w:sz w:val="18"/>
                <w:szCs w:val="18"/>
                <w:lang w:val="en-US" w:bidi="ar-SA"/>
              </w:rPr>
              <w:t>工业园和农村地区/V类水体或污水集中处理设施</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2115" w:type="dxa"/>
            <w:vMerge w:val="continue"/>
            <w:tcBorders>
              <w:right w:val="single" w:color="auto" w:sz="4" w:space="0"/>
            </w:tcBorders>
            <w:vAlign w:val="center"/>
          </w:tcPr>
          <w:p>
            <w:pPr>
              <w:spacing w:before="40" w:line="229" w:lineRule="auto"/>
              <w:ind w:left="105" w:right="104" w:firstLine="12"/>
              <w:jc w:val="center"/>
              <w:rPr>
                <w:rFonts w:ascii="仿宋" w:hAnsi="仿宋" w:eastAsia="仿宋" w:cs="仿宋"/>
                <w:color w:val="000000" w:themeColor="text1"/>
                <w:spacing w:val="-2"/>
                <w:sz w:val="18"/>
                <w:szCs w:val="18"/>
              </w:rPr>
            </w:pPr>
          </w:p>
        </w:tc>
        <w:tc>
          <w:tcPr>
            <w:tcW w:w="1883" w:type="dxa"/>
            <w:tcBorders>
              <w:top w:val="single" w:color="auto" w:sz="4" w:space="0"/>
              <w:lef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居民区、商业交通居民混合区、文化区/I、Ⅱ、Ⅲ类水体</w:t>
            </w:r>
          </w:p>
        </w:tc>
        <w:tc>
          <w:tcPr>
            <w:tcW w:w="68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2115" w:type="dxa"/>
            <w:vMerge w:val="restart"/>
            <w:tcBorders>
              <w:right w:val="single" w:color="auto" w:sz="4" w:space="0"/>
            </w:tcBorders>
            <w:vAlign w:val="center"/>
          </w:tcPr>
          <w:p>
            <w:pPr>
              <w:spacing w:before="40" w:line="229" w:lineRule="auto"/>
              <w:ind w:left="114" w:right="104" w:firstLine="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5"/>
                <w:sz w:val="18"/>
                <w:szCs w:val="18"/>
              </w:rPr>
              <w:t>养殖场、养殖小区，年出栏生</w:t>
            </w:r>
            <w:r>
              <w:rPr>
                <w:rFonts w:hint="eastAsia" w:ascii="仿宋" w:hAnsi="仿宋" w:eastAsia="仿宋" w:cs="仿宋"/>
                <w:color w:val="000000" w:themeColor="text1"/>
                <w:spacing w:val="-6"/>
                <w:sz w:val="18"/>
                <w:szCs w:val="18"/>
              </w:rPr>
              <w:t>猪500头以上，不足1000</w:t>
            </w:r>
            <w:r>
              <w:rPr>
                <w:rFonts w:hint="eastAsia" w:ascii="仿宋" w:hAnsi="仿宋" w:eastAsia="仿宋" w:cs="仿宋"/>
                <w:color w:val="000000" w:themeColor="text1"/>
                <w:spacing w:val="-5"/>
                <w:sz w:val="18"/>
                <w:szCs w:val="18"/>
              </w:rPr>
              <w:t>头(其他畜禽种类折合猪的养</w:t>
            </w:r>
            <w:r>
              <w:rPr>
                <w:rFonts w:hint="eastAsia" w:ascii="仿宋" w:hAnsi="仿宋" w:eastAsia="仿宋" w:cs="仿宋"/>
                <w:color w:val="000000" w:themeColor="text1"/>
                <w:spacing w:val="-3"/>
                <w:sz w:val="18"/>
                <w:szCs w:val="18"/>
              </w:rPr>
              <w:t>殖规模)</w:t>
            </w:r>
          </w:p>
        </w:tc>
        <w:tc>
          <w:tcPr>
            <w:tcW w:w="1883" w:type="dxa"/>
            <w:tcBorders>
              <w:left w:val="single" w:color="auto" w:sz="4" w:space="0"/>
              <w:bottom w:val="single" w:color="auto" w:sz="4" w:space="0"/>
            </w:tcBorders>
            <w:vAlign w:val="center"/>
          </w:tcPr>
          <w:p>
            <w:pPr>
              <w:pStyle w:val="16"/>
              <w:spacing w:line="230" w:lineRule="exact"/>
              <w:ind w:left="108"/>
              <w:rPr>
                <w:color w:val="000000" w:themeColor="text1"/>
                <w:spacing w:val="-2"/>
                <w:sz w:val="18"/>
                <w:szCs w:val="18"/>
              </w:rPr>
            </w:pPr>
            <w:r>
              <w:rPr>
                <w:rFonts w:hint="eastAsia"/>
                <w:color w:val="000000" w:themeColor="text1"/>
                <w:spacing w:val="-2"/>
                <w:sz w:val="18"/>
                <w:szCs w:val="18"/>
                <w:lang w:val="en-US" w:bidi="ar-SA"/>
              </w:rPr>
              <w:t>工业园和农村地区/V类水体或污水集中处理设施</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2115" w:type="dxa"/>
            <w:vMerge w:val="continue"/>
            <w:tcBorders>
              <w:right w:val="single" w:color="auto" w:sz="4" w:space="0"/>
            </w:tcBorders>
            <w:vAlign w:val="center"/>
          </w:tcPr>
          <w:p>
            <w:pPr>
              <w:spacing w:before="40" w:line="229" w:lineRule="auto"/>
              <w:ind w:left="114" w:right="104" w:firstLine="3"/>
              <w:jc w:val="center"/>
              <w:rPr>
                <w:rFonts w:ascii="仿宋" w:hAnsi="仿宋" w:eastAsia="仿宋" w:cs="仿宋"/>
                <w:color w:val="000000" w:themeColor="text1"/>
                <w:spacing w:val="-2"/>
                <w:sz w:val="18"/>
                <w:szCs w:val="18"/>
              </w:rPr>
            </w:pPr>
          </w:p>
        </w:tc>
        <w:tc>
          <w:tcPr>
            <w:tcW w:w="1883" w:type="dxa"/>
            <w:tcBorders>
              <w:top w:val="single" w:color="auto" w:sz="4" w:space="0"/>
              <w:lef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居民区、商业交通居民混合区、文化区/I、Ⅱ、Ⅲ类水体</w:t>
            </w:r>
          </w:p>
        </w:tc>
        <w:tc>
          <w:tcPr>
            <w:tcW w:w="68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5" w:type="dxa"/>
            <w:vMerge w:val="continue"/>
            <w:tcBorders>
              <w:top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tcBorders>
            <w:vAlign w:val="center"/>
          </w:tcPr>
          <w:p>
            <w:pPr>
              <w:jc w:val="center"/>
              <w:rPr>
                <w:rFonts w:ascii="仿宋" w:hAnsi="仿宋" w:eastAsia="仿宋" w:cs="仿宋"/>
                <w:color w:val="000000" w:themeColor="text1"/>
                <w:sz w:val="18"/>
                <w:szCs w:val="18"/>
              </w:rPr>
            </w:pPr>
          </w:p>
        </w:tc>
        <w:tc>
          <w:tcPr>
            <w:tcW w:w="2115" w:type="dxa"/>
            <w:vMerge w:val="restart"/>
            <w:tcBorders>
              <w:right w:val="single" w:color="auto" w:sz="4" w:space="0"/>
            </w:tcBorders>
            <w:vAlign w:val="center"/>
          </w:tcPr>
          <w:p>
            <w:pPr>
              <w:spacing w:before="42" w:line="226" w:lineRule="auto"/>
              <w:ind w:left="114" w:right="104" w:firstLine="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5"/>
                <w:sz w:val="18"/>
                <w:szCs w:val="18"/>
              </w:rPr>
              <w:t>养殖场、养殖小区，年出栏生</w:t>
            </w:r>
            <w:r>
              <w:rPr>
                <w:rFonts w:hint="eastAsia" w:ascii="仿宋" w:hAnsi="仿宋" w:eastAsia="仿宋" w:cs="仿宋"/>
                <w:color w:val="000000" w:themeColor="text1"/>
                <w:spacing w:val="-8"/>
                <w:sz w:val="18"/>
                <w:szCs w:val="18"/>
              </w:rPr>
              <w:t>猪1000头以上(其他畜禽种</w:t>
            </w:r>
            <w:r>
              <w:rPr>
                <w:rFonts w:hint="eastAsia" w:ascii="仿宋" w:hAnsi="仿宋" w:eastAsia="仿宋" w:cs="仿宋"/>
                <w:color w:val="000000" w:themeColor="text1"/>
                <w:spacing w:val="-1"/>
                <w:sz w:val="18"/>
                <w:szCs w:val="18"/>
              </w:rPr>
              <w:t>类折合猪的养殖规模)</w:t>
            </w:r>
          </w:p>
        </w:tc>
        <w:tc>
          <w:tcPr>
            <w:tcW w:w="1883" w:type="dxa"/>
            <w:tcBorders>
              <w:left w:val="single" w:color="auto" w:sz="4" w:space="0"/>
              <w:bottom w:val="single" w:color="auto" w:sz="4" w:space="0"/>
            </w:tcBorders>
            <w:vAlign w:val="center"/>
          </w:tcPr>
          <w:p>
            <w:pPr>
              <w:pStyle w:val="16"/>
              <w:spacing w:line="230" w:lineRule="exact"/>
              <w:ind w:left="108"/>
              <w:rPr>
                <w:color w:val="000000" w:themeColor="text1"/>
                <w:spacing w:val="-2"/>
                <w:sz w:val="18"/>
                <w:szCs w:val="18"/>
              </w:rPr>
            </w:pPr>
            <w:r>
              <w:rPr>
                <w:rFonts w:hint="eastAsia"/>
                <w:color w:val="000000" w:themeColor="text1"/>
                <w:spacing w:val="-2"/>
                <w:sz w:val="18"/>
                <w:szCs w:val="18"/>
                <w:lang w:val="en-US" w:bidi="ar-SA"/>
              </w:rPr>
              <w:t>工业园和农村地区/V类水体或污水集中处理设施</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5" w:type="dxa"/>
            <w:vMerge w:val="continue"/>
            <w:vAlign w:val="center"/>
          </w:tcPr>
          <w:p>
            <w:pPr>
              <w:jc w:val="center"/>
              <w:rPr>
                <w:rFonts w:ascii="仿宋" w:hAnsi="仿宋" w:eastAsia="仿宋" w:cs="仿宋"/>
                <w:color w:val="000000" w:themeColor="text1"/>
                <w:sz w:val="18"/>
                <w:szCs w:val="18"/>
              </w:rPr>
            </w:pPr>
          </w:p>
        </w:tc>
        <w:tc>
          <w:tcPr>
            <w:tcW w:w="109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vAlign w:val="center"/>
          </w:tcPr>
          <w:p>
            <w:pPr>
              <w:jc w:val="center"/>
              <w:rPr>
                <w:rFonts w:ascii="仿宋" w:hAnsi="仿宋" w:eastAsia="仿宋" w:cs="仿宋"/>
                <w:color w:val="000000" w:themeColor="text1"/>
                <w:sz w:val="18"/>
                <w:szCs w:val="18"/>
              </w:rPr>
            </w:pPr>
          </w:p>
        </w:tc>
        <w:tc>
          <w:tcPr>
            <w:tcW w:w="2115" w:type="dxa"/>
            <w:vMerge w:val="continue"/>
            <w:tcBorders>
              <w:right w:val="single" w:color="auto" w:sz="4" w:space="0"/>
            </w:tcBorders>
            <w:vAlign w:val="center"/>
          </w:tcPr>
          <w:p>
            <w:pPr>
              <w:spacing w:before="42" w:line="226" w:lineRule="auto"/>
              <w:ind w:left="114" w:right="104" w:firstLine="3"/>
              <w:jc w:val="center"/>
              <w:rPr>
                <w:rFonts w:ascii="仿宋" w:hAnsi="仿宋" w:eastAsia="仿宋" w:cs="仿宋"/>
                <w:color w:val="000000" w:themeColor="text1"/>
                <w:spacing w:val="-2"/>
                <w:sz w:val="18"/>
                <w:szCs w:val="18"/>
              </w:rPr>
            </w:pPr>
          </w:p>
        </w:tc>
        <w:tc>
          <w:tcPr>
            <w:tcW w:w="1883" w:type="dxa"/>
            <w:tcBorders>
              <w:top w:val="single" w:color="auto" w:sz="4" w:space="0"/>
              <w:lef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居民区、商业交通居民混合区、文化区/I、Ⅱ、Ⅲ类水体</w:t>
            </w:r>
          </w:p>
        </w:tc>
        <w:tc>
          <w:tcPr>
            <w:tcW w:w="68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099"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一年内违法次数</w:t>
            </w:r>
          </w:p>
        </w:tc>
        <w:tc>
          <w:tcPr>
            <w:tcW w:w="103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998" w:type="dxa"/>
            <w:gridSpan w:val="2"/>
          </w:tcPr>
          <w:p>
            <w:pPr>
              <w:spacing w:before="43" w:line="184" w:lineRule="auto"/>
              <w:ind w:firstLine="12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首次实施违法行为的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Pr>
          <w:p>
            <w:pPr>
              <w:spacing w:before="42" w:line="184" w:lineRule="auto"/>
              <w:ind w:firstLine="121"/>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再次实施违法行为的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Pr>
          <w:p>
            <w:pPr>
              <w:spacing w:before="42" w:line="184" w:lineRule="auto"/>
              <w:ind w:firstLine="12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第三次实施违法行为的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continue"/>
            <w:tcBorders>
              <w:top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tcBorders>
            <w:vAlign w:val="center"/>
          </w:tcPr>
          <w:p>
            <w:pPr>
              <w:jc w:val="center"/>
              <w:rPr>
                <w:rFonts w:ascii="仿宋" w:hAnsi="仿宋" w:eastAsia="仿宋" w:cs="仿宋"/>
                <w:color w:val="000000" w:themeColor="text1"/>
                <w:sz w:val="18"/>
                <w:szCs w:val="18"/>
              </w:rPr>
            </w:pPr>
          </w:p>
        </w:tc>
        <w:tc>
          <w:tcPr>
            <w:tcW w:w="3998" w:type="dxa"/>
            <w:gridSpan w:val="2"/>
          </w:tcPr>
          <w:p>
            <w:pPr>
              <w:spacing w:before="44" w:line="184" w:lineRule="auto"/>
              <w:ind w:firstLine="13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三次以上实施违法行为的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restart"/>
            <w:tcBorders>
              <w:bottom w:val="nil"/>
            </w:tcBorders>
            <w:vAlign w:val="center"/>
          </w:tcPr>
          <w:p>
            <w:pPr>
              <w:spacing w:before="54" w:line="212" w:lineRule="auto"/>
              <w:ind w:right="22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配合调查</w:t>
            </w:r>
            <w:r>
              <w:rPr>
                <w:rFonts w:hint="eastAsia" w:ascii="仿宋" w:hAnsi="仿宋" w:eastAsia="仿宋" w:cs="仿宋"/>
                <w:color w:val="000000" w:themeColor="text1"/>
                <w:spacing w:val="-3"/>
                <w:sz w:val="18"/>
                <w:szCs w:val="18"/>
              </w:rPr>
              <w:t>取证情况</w:t>
            </w:r>
          </w:p>
        </w:tc>
        <w:tc>
          <w:tcPr>
            <w:tcW w:w="1099"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是否配合</w:t>
            </w:r>
          </w:p>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执法检查</w:t>
            </w:r>
          </w:p>
        </w:tc>
        <w:tc>
          <w:tcPr>
            <w:tcW w:w="1035" w:type="dxa"/>
            <w:vMerge w:val="restart"/>
            <w:tcBorders>
              <w:bottom w:val="nil"/>
            </w:tcBorders>
            <w:vAlign w:val="center"/>
          </w:tcPr>
          <w:p>
            <w:pPr>
              <w:spacing w:before="210" w:line="184" w:lineRule="auto"/>
              <w:ind w:firstLine="324" w:firstLineChars="200"/>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998" w:type="dxa"/>
            <w:gridSpan w:val="2"/>
          </w:tcPr>
          <w:p>
            <w:pPr>
              <w:spacing w:before="49" w:line="184" w:lineRule="auto"/>
              <w:ind w:firstLine="12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配合检查的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continue"/>
            <w:tcBorders>
              <w:top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tcBorders>
            <w:vAlign w:val="center"/>
          </w:tcPr>
          <w:p>
            <w:pPr>
              <w:jc w:val="center"/>
              <w:rPr>
                <w:rFonts w:ascii="仿宋" w:hAnsi="仿宋" w:eastAsia="仿宋" w:cs="仿宋"/>
                <w:color w:val="000000" w:themeColor="text1"/>
                <w:sz w:val="18"/>
                <w:szCs w:val="18"/>
              </w:rPr>
            </w:pPr>
          </w:p>
        </w:tc>
        <w:tc>
          <w:tcPr>
            <w:tcW w:w="3998" w:type="dxa"/>
            <w:gridSpan w:val="2"/>
          </w:tcPr>
          <w:p>
            <w:pPr>
              <w:spacing w:before="39" w:line="184" w:lineRule="auto"/>
              <w:ind w:firstLine="125"/>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不</w:t>
            </w:r>
            <w:r>
              <w:rPr>
                <w:rFonts w:hint="eastAsia" w:ascii="仿宋" w:hAnsi="仿宋" w:eastAsia="仿宋" w:cs="仿宋"/>
                <w:color w:val="000000" w:themeColor="text1"/>
                <w:spacing w:val="-4"/>
                <w:sz w:val="18"/>
                <w:szCs w:val="18"/>
              </w:rPr>
              <w:t>配合检查的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099"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1"/>
                <w:sz w:val="18"/>
                <w:szCs w:val="18"/>
              </w:rPr>
              <w:t>是否造成社会影响或生态破坏</w:t>
            </w:r>
          </w:p>
        </w:tc>
        <w:tc>
          <w:tcPr>
            <w:tcW w:w="103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998"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68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0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8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0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8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0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95" w:type="dxa"/>
            <w:vMerge w:val="continue"/>
            <w:vAlign w:val="center"/>
          </w:tcPr>
          <w:p>
            <w:pPr>
              <w:jc w:val="center"/>
              <w:rPr>
                <w:rFonts w:ascii="仿宋" w:hAnsi="仿宋" w:eastAsia="仿宋" w:cs="仿宋"/>
                <w:color w:val="000000" w:themeColor="text1"/>
                <w:sz w:val="18"/>
                <w:szCs w:val="18"/>
              </w:rPr>
            </w:pPr>
          </w:p>
        </w:tc>
        <w:tc>
          <w:tcPr>
            <w:tcW w:w="1099" w:type="dxa"/>
            <w:vMerge w:val="continue"/>
            <w:vAlign w:val="center"/>
          </w:tcPr>
          <w:p>
            <w:pPr>
              <w:jc w:val="center"/>
              <w:rPr>
                <w:rFonts w:ascii="仿宋" w:hAnsi="仿宋" w:eastAsia="仿宋" w:cs="仿宋"/>
                <w:color w:val="000000" w:themeColor="text1"/>
                <w:sz w:val="18"/>
                <w:szCs w:val="18"/>
              </w:rPr>
            </w:pPr>
          </w:p>
        </w:tc>
        <w:tc>
          <w:tcPr>
            <w:tcW w:w="1035" w:type="dxa"/>
            <w:vMerge w:val="continue"/>
            <w:vAlign w:val="center"/>
          </w:tcPr>
          <w:p>
            <w:pPr>
              <w:jc w:val="center"/>
              <w:rPr>
                <w:rFonts w:ascii="仿宋" w:hAnsi="仿宋" w:eastAsia="仿宋" w:cs="仿宋"/>
                <w:color w:val="000000" w:themeColor="text1"/>
                <w:sz w:val="18"/>
                <w:szCs w:val="18"/>
              </w:rPr>
            </w:pPr>
          </w:p>
        </w:tc>
        <w:tc>
          <w:tcPr>
            <w:tcW w:w="39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8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0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8712"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8712"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1.《畜禽规模养殖污染防治条例》第十一条禁止在下列区域内建设畜禽养殖场、养殖小区：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(一)饮用水水源保护区，风景名胜区；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(二)自然保护区的核心区和缓冲区；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(三)城镇居民区、文化教育科学研究区等人口集中区域；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(四)法律、法规规定的其他禁止养殖区域。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pPr>
        <w:spacing w:before="73"/>
        <w:ind w:right="108" w:firstLine="420" w:firstLineChars="200"/>
        <w:rPr>
          <w:rFonts w:ascii="仿宋_GB2312" w:hAnsi="仿宋_GB2312" w:eastAsia="仿宋_GB2312" w:cs="仿宋_GB2312"/>
          <w:color w:val="000000" w:themeColor="text1"/>
          <w:szCs w:val="21"/>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0"/>
        <w:rPr>
          <w:rFonts w:ascii="仿宋" w:hAnsi="仿宋" w:eastAsia="仿宋" w:cs="仿宋"/>
          <w:b/>
          <w:bCs/>
          <w:color w:val="000000" w:themeColor="text1"/>
          <w:sz w:val="24"/>
        </w:rPr>
      </w:pPr>
      <w:bookmarkStart w:id="403" w:name="_Toc23345"/>
      <w:bookmarkStart w:id="404" w:name="_Toc28659"/>
      <w:bookmarkStart w:id="405" w:name="_Toc8294"/>
      <w:r>
        <w:rPr>
          <w:rFonts w:hint="eastAsia" w:ascii="仿宋" w:hAnsi="仿宋" w:eastAsia="仿宋" w:cs="仿宋"/>
          <w:b/>
          <w:bCs/>
          <w:color w:val="000000" w:themeColor="text1"/>
          <w:sz w:val="24"/>
        </w:rPr>
        <w:t>表143在饮用水水源保护区建设畜禽养殖场、养殖小区的罚款幅度裁定</w:t>
      </w:r>
      <w:bookmarkEnd w:id="403"/>
      <w:bookmarkEnd w:id="404"/>
      <w:bookmarkEnd w:id="405"/>
    </w:p>
    <w:p>
      <w:pPr>
        <w:jc w:val="center"/>
        <w:rPr>
          <w:rFonts w:ascii="仿宋" w:hAnsi="仿宋" w:eastAsia="仿宋" w:cs="仿宋"/>
          <w:b/>
          <w:bCs/>
          <w:color w:val="000000" w:themeColor="text1"/>
          <w:sz w:val="24"/>
        </w:rPr>
      </w:pPr>
    </w:p>
    <w:tbl>
      <w:tblPr>
        <w:tblStyle w:val="15"/>
        <w:tblW w:w="8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1835"/>
        <w:gridCol w:w="906"/>
        <w:gridCol w:w="3287"/>
        <w:gridCol w:w="714"/>
        <w:gridCol w:w="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4135" w:type="dxa"/>
            <w:gridSpan w:val="3"/>
          </w:tcPr>
          <w:p>
            <w:pPr>
              <w:spacing w:before="176" w:line="184" w:lineRule="auto"/>
              <w:ind w:firstLine="1513"/>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536" w:type="dxa"/>
            <w:gridSpan w:val="3"/>
          </w:tcPr>
          <w:p>
            <w:pPr>
              <w:spacing w:before="176" w:line="184" w:lineRule="auto"/>
              <w:ind w:firstLine="1657"/>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394" w:type="dxa"/>
            <w:vAlign w:val="center"/>
          </w:tcPr>
          <w:p>
            <w:pPr>
              <w:spacing w:before="195"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835" w:type="dxa"/>
            <w:vAlign w:val="center"/>
          </w:tcPr>
          <w:p>
            <w:pPr>
              <w:spacing w:before="204"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906" w:type="dxa"/>
            <w:vAlign w:val="center"/>
          </w:tcPr>
          <w:p>
            <w:pPr>
              <w:spacing w:before="49" w:line="223" w:lineRule="auto"/>
              <w:ind w:right="119"/>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w:t>
            </w:r>
            <w:r>
              <w:rPr>
                <w:rFonts w:hint="eastAsia" w:ascii="仿宋" w:hAnsi="仿宋" w:eastAsia="仿宋" w:cs="仿宋"/>
                <w:color w:val="000000" w:themeColor="text1"/>
                <w:spacing w:val="-20"/>
                <w:sz w:val="18"/>
                <w:szCs w:val="18"/>
              </w:rPr>
              <w:t>比例</w:t>
            </w:r>
          </w:p>
        </w:tc>
        <w:tc>
          <w:tcPr>
            <w:tcW w:w="3287" w:type="dxa"/>
          </w:tcPr>
          <w:p>
            <w:pPr>
              <w:spacing w:before="204" w:line="185" w:lineRule="auto"/>
              <w:ind w:firstLine="1432"/>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714" w:type="dxa"/>
            <w:tcBorders>
              <w:right w:val="single" w:color="auto" w:sz="4" w:space="0"/>
            </w:tcBorders>
          </w:tcPr>
          <w:p>
            <w:pPr>
              <w:spacing w:before="204" w:line="185" w:lineRule="auto"/>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35" w:type="dxa"/>
            <w:tcBorders>
              <w:left w:val="single" w:color="auto" w:sz="4" w:space="0"/>
            </w:tcBorders>
          </w:tcPr>
          <w:p>
            <w:pPr>
              <w:spacing w:before="204" w:line="185" w:lineRule="auto"/>
              <w:ind w:firstLine="242"/>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4" w:type="dxa"/>
            <w:vMerge w:val="restart"/>
            <w:tcBorders>
              <w:bottom w:val="nil"/>
            </w:tcBorders>
            <w:vAlign w:val="center"/>
          </w:tcPr>
          <w:p>
            <w:pPr>
              <w:spacing w:before="78"/>
              <w:ind w:right="21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违法行为类型</w:t>
            </w:r>
          </w:p>
        </w:tc>
        <w:tc>
          <w:tcPr>
            <w:tcW w:w="90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40%</w:t>
            </w:r>
          </w:p>
        </w:tc>
        <w:tc>
          <w:tcPr>
            <w:tcW w:w="3287" w:type="dxa"/>
          </w:tcPr>
          <w:p>
            <w:pPr>
              <w:spacing w:before="42" w:line="221" w:lineRule="auto"/>
              <w:ind w:left="117" w:right="104"/>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在饮用水水源保护区建设畜</w:t>
            </w:r>
            <w:r>
              <w:rPr>
                <w:rFonts w:hint="eastAsia" w:ascii="仿宋" w:hAnsi="仿宋" w:eastAsia="仿宋" w:cs="仿宋"/>
                <w:color w:val="000000" w:themeColor="text1"/>
                <w:spacing w:val="-5"/>
                <w:sz w:val="18"/>
                <w:szCs w:val="18"/>
              </w:rPr>
              <w:t>禽养殖场、养殖小区，尚未投</w:t>
            </w:r>
            <w:r>
              <w:rPr>
                <w:rFonts w:hint="eastAsia" w:ascii="仿宋" w:hAnsi="仿宋" w:eastAsia="仿宋" w:cs="仿宋"/>
                <w:color w:val="000000" w:themeColor="text1"/>
                <w:spacing w:val="-4"/>
                <w:sz w:val="18"/>
                <w:szCs w:val="18"/>
              </w:rPr>
              <w:t>入生产</w:t>
            </w:r>
          </w:p>
        </w:tc>
        <w:tc>
          <w:tcPr>
            <w:tcW w:w="714" w:type="dxa"/>
            <w:tcBorders>
              <w:righ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5" w:type="dxa"/>
            <w:tcBorders>
              <w:left w:val="single" w:color="auto" w:sz="4" w:space="0"/>
            </w:tcBorders>
            <w:vAlign w:val="center"/>
          </w:tcPr>
          <w:p>
            <w:pPr>
              <w:spacing w:before="353"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Pr>
          <w:p>
            <w:pPr>
              <w:spacing w:before="39" w:line="229" w:lineRule="auto"/>
              <w:ind w:left="105" w:right="104" w:firstLine="1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4"/>
                <w:sz w:val="18"/>
                <w:szCs w:val="18"/>
              </w:rPr>
              <w:t>养殖场、养殖小区，年出栏生</w:t>
            </w:r>
            <w:r>
              <w:rPr>
                <w:rFonts w:hint="eastAsia" w:ascii="仿宋" w:hAnsi="仿宋" w:eastAsia="仿宋" w:cs="仿宋"/>
                <w:color w:val="000000" w:themeColor="text1"/>
                <w:spacing w:val="-11"/>
                <w:sz w:val="18"/>
                <w:szCs w:val="18"/>
              </w:rPr>
              <w:t>猪100头以上，不足500头</w:t>
            </w:r>
            <w:r>
              <w:rPr>
                <w:rFonts w:hint="eastAsia" w:ascii="仿宋" w:hAnsi="仿宋" w:eastAsia="仿宋" w:cs="仿宋"/>
                <w:color w:val="000000" w:themeColor="text1"/>
                <w:sz w:val="18"/>
                <w:szCs w:val="18"/>
              </w:rPr>
              <w:t>(其他畜禽种类折合猪的养殖规模)</w:t>
            </w:r>
          </w:p>
        </w:tc>
        <w:tc>
          <w:tcPr>
            <w:tcW w:w="714" w:type="dxa"/>
            <w:tcBorders>
              <w:righ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35" w:type="dxa"/>
            <w:tcBorders>
              <w:left w:val="single" w:color="auto" w:sz="4" w:space="0"/>
            </w:tcBorders>
            <w:vAlign w:val="center"/>
          </w:tcPr>
          <w:p>
            <w:pPr>
              <w:spacing w:before="79"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Pr>
          <w:p>
            <w:pPr>
              <w:spacing w:before="40" w:line="229" w:lineRule="auto"/>
              <w:ind w:left="114" w:right="104" w:firstLine="3"/>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5"/>
                <w:sz w:val="18"/>
                <w:szCs w:val="18"/>
              </w:rPr>
              <w:t>养殖场、养殖小区，年出栏生</w:t>
            </w:r>
            <w:r>
              <w:rPr>
                <w:rFonts w:hint="eastAsia" w:ascii="仿宋" w:hAnsi="仿宋" w:eastAsia="仿宋" w:cs="仿宋"/>
                <w:color w:val="000000" w:themeColor="text1"/>
                <w:spacing w:val="-6"/>
                <w:sz w:val="18"/>
                <w:szCs w:val="18"/>
              </w:rPr>
              <w:t>猪500头以上，不足1000</w:t>
            </w:r>
            <w:r>
              <w:rPr>
                <w:rFonts w:hint="eastAsia" w:ascii="仿宋" w:hAnsi="仿宋" w:eastAsia="仿宋" w:cs="仿宋"/>
                <w:color w:val="000000" w:themeColor="text1"/>
                <w:spacing w:val="-5"/>
                <w:sz w:val="18"/>
                <w:szCs w:val="18"/>
              </w:rPr>
              <w:t>头(其他畜禽种类折合猪的养</w:t>
            </w:r>
            <w:r>
              <w:rPr>
                <w:rFonts w:hint="eastAsia" w:ascii="仿宋" w:hAnsi="仿宋" w:eastAsia="仿宋" w:cs="仿宋"/>
                <w:color w:val="000000" w:themeColor="text1"/>
                <w:spacing w:val="-3"/>
                <w:sz w:val="18"/>
                <w:szCs w:val="18"/>
              </w:rPr>
              <w:t>殖规模)</w:t>
            </w:r>
          </w:p>
        </w:tc>
        <w:tc>
          <w:tcPr>
            <w:tcW w:w="714" w:type="dxa"/>
            <w:tcBorders>
              <w:righ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30%</w:t>
            </w:r>
          </w:p>
        </w:tc>
        <w:tc>
          <w:tcPr>
            <w:tcW w:w="535" w:type="dxa"/>
            <w:tcBorders>
              <w:left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394" w:type="dxa"/>
            <w:vMerge w:val="continue"/>
            <w:tcBorders>
              <w:top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tcBorders>
            <w:vAlign w:val="center"/>
          </w:tcPr>
          <w:p>
            <w:pPr>
              <w:jc w:val="center"/>
              <w:rPr>
                <w:rFonts w:ascii="仿宋" w:hAnsi="仿宋" w:eastAsia="仿宋" w:cs="仿宋"/>
                <w:color w:val="000000" w:themeColor="text1"/>
                <w:sz w:val="18"/>
                <w:szCs w:val="18"/>
              </w:rPr>
            </w:pPr>
          </w:p>
        </w:tc>
        <w:tc>
          <w:tcPr>
            <w:tcW w:w="3287" w:type="dxa"/>
          </w:tcPr>
          <w:p>
            <w:pPr>
              <w:spacing w:before="42" w:line="226" w:lineRule="auto"/>
              <w:ind w:left="117" w:right="104"/>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在饮用水水源保护区建设畜</w:t>
            </w:r>
            <w:r>
              <w:rPr>
                <w:rFonts w:hint="eastAsia" w:ascii="仿宋" w:hAnsi="仿宋" w:eastAsia="仿宋" w:cs="仿宋"/>
                <w:color w:val="000000" w:themeColor="text1"/>
                <w:spacing w:val="-5"/>
                <w:sz w:val="18"/>
                <w:szCs w:val="18"/>
              </w:rPr>
              <w:t>禽养殖场、养殖小区，年出栏</w:t>
            </w:r>
            <w:r>
              <w:rPr>
                <w:rFonts w:hint="eastAsia" w:ascii="仿宋" w:hAnsi="仿宋" w:eastAsia="仿宋" w:cs="仿宋"/>
                <w:color w:val="000000" w:themeColor="text1"/>
                <w:spacing w:val="-8"/>
                <w:sz w:val="18"/>
                <w:szCs w:val="18"/>
              </w:rPr>
              <w:t>生猪1000头以上(其他畜禽</w:t>
            </w:r>
            <w:r>
              <w:rPr>
                <w:rFonts w:hint="eastAsia" w:ascii="仿宋" w:hAnsi="仿宋" w:eastAsia="仿宋" w:cs="仿宋"/>
                <w:color w:val="000000" w:themeColor="text1"/>
                <w:spacing w:val="-2"/>
                <w:sz w:val="18"/>
                <w:szCs w:val="18"/>
              </w:rPr>
              <w:t>种类折合猪的养殖规模)</w:t>
            </w:r>
          </w:p>
        </w:tc>
        <w:tc>
          <w:tcPr>
            <w:tcW w:w="714" w:type="dxa"/>
            <w:tcBorders>
              <w:righ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535" w:type="dxa"/>
            <w:tcBorders>
              <w:lef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一年内违法次数</w:t>
            </w:r>
          </w:p>
        </w:tc>
        <w:tc>
          <w:tcPr>
            <w:tcW w:w="90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287" w:type="dxa"/>
          </w:tcPr>
          <w:p>
            <w:pPr>
              <w:spacing w:before="42" w:line="184" w:lineRule="auto"/>
              <w:ind w:firstLine="12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首次实施违法行为的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35" w:type="dxa"/>
            <w:tcBorders>
              <w:left w:val="single" w:color="auto" w:sz="4" w:space="0"/>
            </w:tcBorders>
          </w:tcPr>
          <w:p>
            <w:pPr>
              <w:spacing w:before="42" w:line="184" w:lineRule="auto"/>
              <w:ind w:firstLine="45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tcPr>
          <w:p>
            <w:pPr>
              <w:rPr>
                <w:rFonts w:ascii="仿宋" w:hAnsi="仿宋" w:eastAsia="仿宋" w:cs="仿宋"/>
                <w:color w:val="000000" w:themeColor="text1"/>
                <w:sz w:val="18"/>
                <w:szCs w:val="18"/>
              </w:rPr>
            </w:pPr>
          </w:p>
        </w:tc>
        <w:tc>
          <w:tcPr>
            <w:tcW w:w="3287" w:type="dxa"/>
          </w:tcPr>
          <w:p>
            <w:pPr>
              <w:spacing w:before="42" w:line="184" w:lineRule="auto"/>
              <w:ind w:firstLine="121"/>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再次实施违法行为的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5" w:type="dxa"/>
            <w:tcBorders>
              <w:left w:val="single" w:color="auto" w:sz="4" w:space="0"/>
            </w:tcBorders>
          </w:tcPr>
          <w:p>
            <w:pPr>
              <w:spacing w:before="42" w:line="184" w:lineRule="auto"/>
              <w:ind w:firstLine="40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tcPr>
          <w:p>
            <w:pPr>
              <w:rPr>
                <w:rFonts w:ascii="仿宋" w:hAnsi="仿宋" w:eastAsia="仿宋" w:cs="仿宋"/>
                <w:color w:val="000000" w:themeColor="text1"/>
                <w:sz w:val="18"/>
                <w:szCs w:val="18"/>
              </w:rPr>
            </w:pPr>
          </w:p>
        </w:tc>
        <w:tc>
          <w:tcPr>
            <w:tcW w:w="3287" w:type="dxa"/>
          </w:tcPr>
          <w:p>
            <w:pPr>
              <w:spacing w:before="44" w:line="184" w:lineRule="auto"/>
              <w:ind w:firstLine="12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第三次实施违法行为的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35" w:type="dxa"/>
            <w:tcBorders>
              <w:left w:val="single" w:color="auto" w:sz="4" w:space="0"/>
            </w:tcBorders>
          </w:tcPr>
          <w:p>
            <w:pPr>
              <w:spacing w:before="44" w:line="184" w:lineRule="auto"/>
              <w:ind w:firstLine="40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tcBorders>
          </w:tcPr>
          <w:p>
            <w:pPr>
              <w:rPr>
                <w:rFonts w:ascii="仿宋" w:hAnsi="仿宋" w:eastAsia="仿宋" w:cs="仿宋"/>
                <w:color w:val="000000" w:themeColor="text1"/>
                <w:sz w:val="18"/>
                <w:szCs w:val="18"/>
              </w:rPr>
            </w:pPr>
          </w:p>
        </w:tc>
        <w:tc>
          <w:tcPr>
            <w:tcW w:w="1835" w:type="dxa"/>
            <w:vMerge w:val="continue"/>
            <w:tcBorders>
              <w:top w:val="nil"/>
            </w:tcBorders>
          </w:tcPr>
          <w:p>
            <w:pPr>
              <w:rPr>
                <w:rFonts w:ascii="仿宋" w:hAnsi="仿宋" w:eastAsia="仿宋" w:cs="仿宋"/>
                <w:color w:val="000000" w:themeColor="text1"/>
                <w:sz w:val="18"/>
                <w:szCs w:val="18"/>
              </w:rPr>
            </w:pPr>
          </w:p>
        </w:tc>
        <w:tc>
          <w:tcPr>
            <w:tcW w:w="906" w:type="dxa"/>
            <w:vMerge w:val="continue"/>
            <w:tcBorders>
              <w:top w:val="nil"/>
            </w:tcBorders>
          </w:tcPr>
          <w:p>
            <w:pPr>
              <w:rPr>
                <w:rFonts w:ascii="仿宋" w:hAnsi="仿宋" w:eastAsia="仿宋" w:cs="仿宋"/>
                <w:color w:val="000000" w:themeColor="text1"/>
                <w:sz w:val="18"/>
                <w:szCs w:val="18"/>
              </w:rPr>
            </w:pPr>
          </w:p>
        </w:tc>
        <w:tc>
          <w:tcPr>
            <w:tcW w:w="3287" w:type="dxa"/>
          </w:tcPr>
          <w:p>
            <w:pPr>
              <w:spacing w:before="44" w:line="184" w:lineRule="auto"/>
              <w:ind w:firstLine="13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三次以上实施违法行为的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35" w:type="dxa"/>
            <w:tcBorders>
              <w:left w:val="single" w:color="auto" w:sz="4" w:space="0"/>
            </w:tcBorders>
          </w:tcPr>
          <w:p>
            <w:pPr>
              <w:spacing w:before="44" w:line="184" w:lineRule="auto"/>
              <w:ind w:firstLine="39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是否完成整改</w:t>
            </w:r>
          </w:p>
        </w:tc>
        <w:tc>
          <w:tcPr>
            <w:tcW w:w="90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287" w:type="dxa"/>
          </w:tcPr>
          <w:p>
            <w:pPr>
              <w:spacing w:before="42" w:line="184" w:lineRule="auto"/>
              <w:ind w:firstLine="11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全面整改并停止违法行为的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35" w:type="dxa"/>
            <w:tcBorders>
              <w:left w:val="single" w:color="auto" w:sz="4" w:space="0"/>
            </w:tcBorders>
          </w:tcPr>
          <w:p>
            <w:pPr>
              <w:spacing w:before="42"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Pr>
          <w:p>
            <w:pPr>
              <w:spacing w:before="38" w:line="212" w:lineRule="auto"/>
              <w:ind w:left="122" w:right="296"/>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正在整改但违法行为未完全</w:t>
            </w:r>
            <w:r>
              <w:rPr>
                <w:rFonts w:hint="eastAsia" w:ascii="仿宋" w:hAnsi="仿宋" w:eastAsia="仿宋" w:cs="仿宋"/>
                <w:color w:val="000000" w:themeColor="text1"/>
                <w:spacing w:val="-6"/>
                <w:sz w:val="18"/>
                <w:szCs w:val="18"/>
              </w:rPr>
              <w:t>消除的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35" w:type="dxa"/>
            <w:tcBorders>
              <w:left w:val="single" w:color="auto" w:sz="4" w:space="0"/>
            </w:tcBorders>
          </w:tcPr>
          <w:p>
            <w:pPr>
              <w:spacing w:before="194" w:line="184" w:lineRule="auto"/>
              <w:ind w:firstLine="28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tcBorders>
            <w:vAlign w:val="center"/>
          </w:tcPr>
          <w:p>
            <w:pPr>
              <w:jc w:val="center"/>
              <w:rPr>
                <w:rFonts w:ascii="仿宋" w:hAnsi="仿宋" w:eastAsia="仿宋" w:cs="仿宋"/>
                <w:color w:val="000000" w:themeColor="text1"/>
                <w:sz w:val="18"/>
                <w:szCs w:val="18"/>
              </w:rPr>
            </w:pPr>
          </w:p>
        </w:tc>
        <w:tc>
          <w:tcPr>
            <w:tcW w:w="3287" w:type="dxa"/>
          </w:tcPr>
          <w:p>
            <w:pPr>
              <w:spacing w:before="38" w:line="184" w:lineRule="auto"/>
              <w:ind w:firstLine="126"/>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复查时未采取整改措施的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5" w:type="dxa"/>
            <w:tcBorders>
              <w:left w:val="single" w:color="auto" w:sz="4" w:space="0"/>
            </w:tcBorders>
          </w:tcPr>
          <w:p>
            <w:pPr>
              <w:spacing w:before="38" w:line="184" w:lineRule="auto"/>
              <w:ind w:firstLine="216"/>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restart"/>
            <w:tcBorders>
              <w:bottom w:val="nil"/>
            </w:tcBorders>
            <w:vAlign w:val="center"/>
          </w:tcPr>
          <w:p>
            <w:pPr>
              <w:spacing w:before="53" w:line="212" w:lineRule="auto"/>
              <w:ind w:left="226" w:right="212" w:firstLine="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配合调查</w:t>
            </w:r>
            <w:r>
              <w:rPr>
                <w:rFonts w:hint="eastAsia" w:ascii="仿宋" w:hAnsi="仿宋" w:eastAsia="仿宋" w:cs="仿宋"/>
                <w:color w:val="000000" w:themeColor="text1"/>
                <w:spacing w:val="-3"/>
                <w:sz w:val="18"/>
                <w:szCs w:val="18"/>
              </w:rPr>
              <w:t>取证情况</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是否配合</w:t>
            </w:r>
          </w:p>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执法检查</w:t>
            </w:r>
          </w:p>
        </w:tc>
        <w:tc>
          <w:tcPr>
            <w:tcW w:w="906" w:type="dxa"/>
            <w:vMerge w:val="restart"/>
            <w:tcBorders>
              <w:bottom w:val="nil"/>
            </w:tcBorders>
            <w:vAlign w:val="center"/>
          </w:tcPr>
          <w:p>
            <w:pPr>
              <w:spacing w:before="20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287" w:type="dxa"/>
          </w:tcPr>
          <w:p>
            <w:pPr>
              <w:spacing w:before="48" w:line="184" w:lineRule="auto"/>
              <w:ind w:firstLine="12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配合检查的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35" w:type="dxa"/>
            <w:tcBorders>
              <w:left w:val="single" w:color="auto" w:sz="4" w:space="0"/>
            </w:tcBorders>
          </w:tcPr>
          <w:p>
            <w:pPr>
              <w:spacing w:before="48" w:line="184" w:lineRule="auto"/>
              <w:ind w:firstLine="22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tcBorders>
            <w:vAlign w:val="center"/>
          </w:tcPr>
          <w:p>
            <w:pPr>
              <w:jc w:val="center"/>
              <w:rPr>
                <w:rFonts w:ascii="仿宋" w:hAnsi="仿宋" w:eastAsia="仿宋" w:cs="仿宋"/>
                <w:color w:val="000000" w:themeColor="text1"/>
                <w:sz w:val="18"/>
                <w:szCs w:val="18"/>
              </w:rPr>
            </w:pPr>
          </w:p>
        </w:tc>
        <w:tc>
          <w:tcPr>
            <w:tcW w:w="3287" w:type="dxa"/>
          </w:tcPr>
          <w:p>
            <w:pPr>
              <w:spacing w:before="40" w:line="184" w:lineRule="auto"/>
              <w:ind w:firstLine="125"/>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不</w:t>
            </w:r>
            <w:r>
              <w:rPr>
                <w:rFonts w:hint="eastAsia" w:ascii="仿宋" w:hAnsi="仿宋" w:eastAsia="仿宋" w:cs="仿宋"/>
                <w:color w:val="000000" w:themeColor="text1"/>
                <w:spacing w:val="-4"/>
                <w:sz w:val="18"/>
                <w:szCs w:val="18"/>
              </w:rPr>
              <w:t>配合检查的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5" w:type="dxa"/>
            <w:tcBorders>
              <w:left w:val="single" w:color="auto" w:sz="4" w:space="0"/>
            </w:tcBorders>
          </w:tcPr>
          <w:p>
            <w:pPr>
              <w:spacing w:before="40"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restart"/>
            <w:tcBorders>
              <w:bottom w:val="nil"/>
            </w:tcBorders>
            <w:vAlign w:val="center"/>
          </w:tcPr>
          <w:p>
            <w:pPr>
              <w:spacing w:before="83"/>
              <w:ind w:left="218" w:right="212" w:firstLine="9"/>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w:t>
            </w:r>
            <w:r>
              <w:rPr>
                <w:rFonts w:hint="eastAsia" w:ascii="仿宋" w:hAnsi="仿宋" w:eastAsia="仿宋" w:cs="仿宋"/>
                <w:color w:val="000000" w:themeColor="text1"/>
                <w:spacing w:val="-1"/>
                <w:sz w:val="18"/>
                <w:szCs w:val="18"/>
              </w:rPr>
              <w:t>响或生态破坏程度</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是否造成社会影响或生态破坏</w:t>
            </w:r>
          </w:p>
        </w:tc>
        <w:tc>
          <w:tcPr>
            <w:tcW w:w="90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287"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714"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0%</w:t>
            </w:r>
          </w:p>
        </w:tc>
        <w:tc>
          <w:tcPr>
            <w:tcW w:w="535" w:type="dxa"/>
            <w:tcBorders>
              <w:left w:val="single" w:color="auto" w:sz="4" w:space="0"/>
            </w:tcBorders>
          </w:tcPr>
          <w:p>
            <w:pPr>
              <w:spacing w:before="78" w:line="184" w:lineRule="auto"/>
              <w:ind w:firstLine="22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714"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35" w:type="dxa"/>
            <w:tcBorders>
              <w:left w:val="single" w:color="auto" w:sz="4" w:space="0"/>
              <w:bottom w:val="single" w:color="auto" w:sz="4" w:space="0"/>
            </w:tcBorders>
          </w:tcPr>
          <w:p>
            <w:pPr>
              <w:spacing w:before="197"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35" w:type="dxa"/>
            <w:tcBorders>
              <w:top w:val="single" w:color="auto" w:sz="4" w:space="0"/>
              <w:left w:val="single" w:color="auto" w:sz="4" w:space="0"/>
              <w:bottom w:val="single" w:color="auto" w:sz="4" w:space="0"/>
            </w:tcBorders>
          </w:tcPr>
          <w:p>
            <w:pPr>
              <w:spacing w:before="197"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35" w:type="dxa"/>
            <w:tcBorders>
              <w:top w:val="single" w:color="auto" w:sz="4" w:space="0"/>
              <w:left w:val="single" w:color="auto" w:sz="4" w:space="0"/>
              <w:bottom w:val="single" w:color="auto" w:sz="4" w:space="0"/>
            </w:tcBorders>
          </w:tcPr>
          <w:p>
            <w:pPr>
              <w:spacing w:before="197"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394" w:type="dxa"/>
            <w:vMerge w:val="continue"/>
          </w:tcPr>
          <w:p>
            <w:pPr>
              <w:rPr>
                <w:rFonts w:ascii="仿宋" w:hAnsi="仿宋" w:eastAsia="仿宋" w:cs="仿宋"/>
                <w:color w:val="000000" w:themeColor="text1"/>
                <w:sz w:val="18"/>
                <w:szCs w:val="18"/>
              </w:rPr>
            </w:pPr>
          </w:p>
        </w:tc>
        <w:tc>
          <w:tcPr>
            <w:tcW w:w="1835" w:type="dxa"/>
            <w:vMerge w:val="continue"/>
          </w:tcPr>
          <w:p>
            <w:pPr>
              <w:rPr>
                <w:rFonts w:ascii="仿宋" w:hAnsi="仿宋" w:eastAsia="仿宋" w:cs="仿宋"/>
                <w:color w:val="000000" w:themeColor="text1"/>
                <w:sz w:val="18"/>
                <w:szCs w:val="18"/>
              </w:rPr>
            </w:pPr>
          </w:p>
        </w:tc>
        <w:tc>
          <w:tcPr>
            <w:tcW w:w="906" w:type="dxa"/>
            <w:vMerge w:val="continue"/>
            <w:vAlign w:val="center"/>
          </w:tcPr>
          <w:p>
            <w:pPr>
              <w:jc w:val="center"/>
              <w:rPr>
                <w:rFonts w:ascii="仿宋" w:hAnsi="仿宋" w:eastAsia="仿宋" w:cs="仿宋"/>
                <w:color w:val="000000" w:themeColor="text1"/>
                <w:sz w:val="18"/>
                <w:szCs w:val="18"/>
              </w:rPr>
            </w:pPr>
          </w:p>
        </w:tc>
        <w:tc>
          <w:tcPr>
            <w:tcW w:w="328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35" w:type="dxa"/>
            <w:tcBorders>
              <w:top w:val="single" w:color="auto" w:sz="4" w:space="0"/>
              <w:left w:val="single" w:color="auto" w:sz="4" w:space="0"/>
              <w:bottom w:val="single" w:color="auto" w:sz="4" w:space="0"/>
            </w:tcBorders>
          </w:tcPr>
          <w:p>
            <w:pPr>
              <w:spacing w:before="197"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8671"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8671"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kinsoku w:val="0"/>
        <w:autoSpaceDE w:val="0"/>
        <w:autoSpaceDN w:val="0"/>
        <w:adjustRightInd w:val="0"/>
        <w:snapToGrid w:val="0"/>
        <w:textAlignment w:val="baseline"/>
        <w:rPr>
          <w:rFonts w:ascii="仿宋" w:hAnsi="仿宋" w:eastAsia="仿宋" w:cs="仿宋"/>
          <w:color w:val="000000" w:themeColor="text1"/>
          <w:spacing w:val="-1"/>
          <w:sz w:val="24"/>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1.《畜禽规模养殖污染防治条例》第十一条禁止在下列区域内建设畜禽养殖场、养殖小区：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(一)饮用水水源保护区，风景名胜区；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(二)自然保护区的核心区和缓冲区；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(三)城镇居民区、文化教育科学研究区等人口集中区域；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(四)法律、法规规定的其他禁止养殖区域。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七条第二款在饮用水水源保护区建设畜禽养殖场、养殖小区的，由县级以上地方人民政府环境保护主管部门责令停止违法行为，处10万元以上50万元以下的罚款，并报经有批准权的人民政府批准，责令拆除或者关闭。</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center"/>
        <w:outlineLvl w:val="0"/>
        <w:rPr>
          <w:rFonts w:ascii="仿宋" w:hAnsi="仿宋" w:eastAsia="仿宋" w:cs="仿宋"/>
          <w:b/>
          <w:bCs/>
          <w:color w:val="000000" w:themeColor="text1"/>
          <w:sz w:val="24"/>
        </w:rPr>
      </w:pPr>
      <w:bookmarkStart w:id="406" w:name="_Toc30834"/>
      <w:bookmarkStart w:id="407" w:name="_Toc6339"/>
      <w:bookmarkStart w:id="408" w:name="_Toc13304"/>
      <w:r>
        <w:rPr>
          <w:rFonts w:hint="eastAsia" w:ascii="仿宋" w:hAnsi="仿宋" w:eastAsia="仿宋" w:cs="仿宋"/>
          <w:b/>
          <w:bCs/>
          <w:color w:val="000000" w:themeColor="text1"/>
          <w:sz w:val="24"/>
        </w:rPr>
        <w:t>表144畜禽养殖场、养殖小区依法应当进行环境影响评价而未进行</w:t>
      </w:r>
      <w:bookmarkStart w:id="409" w:name="_Toc20858"/>
      <w:r>
        <w:rPr>
          <w:rFonts w:hint="eastAsia" w:ascii="仿宋" w:hAnsi="仿宋" w:eastAsia="仿宋" w:cs="仿宋"/>
          <w:b/>
          <w:bCs/>
          <w:color w:val="000000" w:themeColor="text1"/>
          <w:sz w:val="24"/>
        </w:rPr>
        <w:t>的罚款幅度裁定</w:t>
      </w:r>
      <w:bookmarkEnd w:id="406"/>
      <w:bookmarkEnd w:id="407"/>
      <w:bookmarkEnd w:id="408"/>
      <w:bookmarkEnd w:id="409"/>
    </w:p>
    <w:tbl>
      <w:tblPr>
        <w:tblStyle w:val="15"/>
        <w:tblW w:w="8860" w:type="dxa"/>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1185"/>
        <w:gridCol w:w="960"/>
        <w:gridCol w:w="1155"/>
        <w:gridCol w:w="3165"/>
        <w:gridCol w:w="556"/>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435"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25" w:type="dxa"/>
            <w:gridSpan w:val="4"/>
          </w:tcPr>
          <w:p>
            <w:pPr>
              <w:spacing w:before="176"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1290" w:type="dxa"/>
          </w:tcPr>
          <w:p>
            <w:pPr>
              <w:spacing w:before="197" w:line="184" w:lineRule="auto"/>
              <w:ind w:firstLine="484"/>
              <w:jc w:val="left"/>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85" w:type="dxa"/>
          </w:tcPr>
          <w:p>
            <w:pPr>
              <w:spacing w:before="206" w:line="185" w:lineRule="auto"/>
              <w:ind w:firstLine="344" w:firstLineChars="200"/>
              <w:jc w:val="left"/>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60" w:type="dxa"/>
          </w:tcPr>
          <w:p>
            <w:pPr>
              <w:spacing w:before="197" w:line="184" w:lineRule="auto"/>
              <w:ind w:firstLine="162" w:firstLineChars="100"/>
              <w:jc w:val="left"/>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4320" w:type="dxa"/>
            <w:gridSpan w:val="2"/>
          </w:tcPr>
          <w:p>
            <w:pPr>
              <w:spacing w:before="197" w:line="184" w:lineRule="auto"/>
              <w:ind w:firstLine="484"/>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56" w:type="dxa"/>
            <w:tcBorders>
              <w:right w:val="single" w:color="auto" w:sz="4" w:space="0"/>
            </w:tcBorders>
          </w:tcPr>
          <w:p>
            <w:pPr>
              <w:spacing w:before="197"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百分值</w:t>
            </w:r>
          </w:p>
        </w:tc>
        <w:tc>
          <w:tcPr>
            <w:tcW w:w="549" w:type="dxa"/>
            <w:tcBorders>
              <w:left w:val="single" w:color="auto" w:sz="4" w:space="0"/>
            </w:tcBorders>
          </w:tcPr>
          <w:p>
            <w:pPr>
              <w:spacing w:before="197"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290" w:type="dxa"/>
            <w:vMerge w:val="restart"/>
            <w:tcBorders>
              <w:bottom w:val="nil"/>
            </w:tcBorders>
            <w:vAlign w:val="center"/>
          </w:tcPr>
          <w:p>
            <w:pPr>
              <w:spacing w:before="359"/>
              <w:ind w:left="363" w:right="224" w:hanging="122"/>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18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96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155" w:type="dxa"/>
            <w:vMerge w:val="restart"/>
            <w:tcBorders>
              <w:right w:val="single" w:color="auto" w:sz="4" w:space="0"/>
            </w:tcBorders>
            <w:vAlign w:val="center"/>
          </w:tcPr>
          <w:p>
            <w:pPr>
              <w:spacing w:before="42" w:line="212" w:lineRule="auto"/>
              <w:ind w:left="115" w:right="296" w:firstLine="5"/>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应当填报环境影响登记表的</w:t>
            </w:r>
            <w:r>
              <w:rPr>
                <w:rFonts w:ascii="仿宋" w:hAnsi="仿宋" w:eastAsia="仿宋" w:cs="仿宋"/>
                <w:color w:val="000000" w:themeColor="text1"/>
                <w:spacing w:val="-1"/>
                <w:sz w:val="18"/>
                <w:szCs w:val="18"/>
              </w:rPr>
              <w:t>其他畜禽养殖场、养殖小区</w:t>
            </w:r>
          </w:p>
        </w:tc>
        <w:tc>
          <w:tcPr>
            <w:tcW w:w="3165" w:type="dxa"/>
            <w:tcBorders>
              <w:left w:val="single" w:color="auto" w:sz="4" w:space="0"/>
              <w:bottom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4"/>
                <w:sz w:val="18"/>
                <w:szCs w:val="18"/>
              </w:rPr>
              <w:t>年出栏生</w:t>
            </w:r>
            <w:r>
              <w:rPr>
                <w:rFonts w:hint="eastAsia" w:ascii="仿宋" w:hAnsi="仿宋" w:eastAsia="仿宋" w:cs="仿宋"/>
                <w:color w:val="000000" w:themeColor="text1"/>
                <w:spacing w:val="-11"/>
                <w:sz w:val="18"/>
                <w:szCs w:val="18"/>
              </w:rPr>
              <w:t>猪100头以上，不足500头</w:t>
            </w:r>
          </w:p>
        </w:tc>
        <w:tc>
          <w:tcPr>
            <w:tcW w:w="556" w:type="dxa"/>
            <w:tcBorders>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5%</w:t>
            </w:r>
          </w:p>
        </w:tc>
        <w:tc>
          <w:tcPr>
            <w:tcW w:w="549" w:type="dxa"/>
            <w:tcBorders>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1290" w:type="dxa"/>
            <w:vMerge w:val="continue"/>
            <w:vAlign w:val="center"/>
          </w:tcPr>
          <w:p>
            <w:pPr>
              <w:spacing w:before="359"/>
              <w:ind w:left="363" w:right="224" w:hanging="122"/>
              <w:jc w:val="center"/>
              <w:rPr>
                <w:rFonts w:ascii="仿宋" w:hAnsi="仿宋" w:eastAsia="仿宋" w:cs="仿宋"/>
                <w:color w:val="000000" w:themeColor="text1"/>
                <w:spacing w:val="-3"/>
                <w:sz w:val="18"/>
                <w:szCs w:val="18"/>
              </w:rPr>
            </w:pPr>
          </w:p>
        </w:tc>
        <w:tc>
          <w:tcPr>
            <w:tcW w:w="118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96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bottom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6"/>
                <w:sz w:val="18"/>
                <w:szCs w:val="18"/>
              </w:rPr>
              <w:t>猪500头以上，不足1000</w:t>
            </w:r>
            <w:r>
              <w:rPr>
                <w:rFonts w:hint="eastAsia" w:ascii="仿宋" w:hAnsi="仿宋" w:eastAsia="仿宋" w:cs="仿宋"/>
                <w:color w:val="000000" w:themeColor="text1"/>
                <w:spacing w:val="-5"/>
                <w:sz w:val="18"/>
                <w:szCs w:val="18"/>
              </w:rPr>
              <w:t>头</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1290" w:type="dxa"/>
            <w:vMerge w:val="continue"/>
            <w:vAlign w:val="center"/>
          </w:tcPr>
          <w:p>
            <w:pPr>
              <w:spacing w:before="359"/>
              <w:ind w:left="363" w:right="224" w:hanging="122"/>
              <w:jc w:val="center"/>
              <w:rPr>
                <w:rFonts w:ascii="仿宋" w:hAnsi="仿宋" w:eastAsia="仿宋" w:cs="仿宋"/>
                <w:color w:val="000000" w:themeColor="text1"/>
                <w:spacing w:val="-3"/>
                <w:sz w:val="18"/>
                <w:szCs w:val="18"/>
              </w:rPr>
            </w:pPr>
          </w:p>
        </w:tc>
        <w:tc>
          <w:tcPr>
            <w:tcW w:w="118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96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bottom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猪1000头以上3000头以下</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15%</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 w:hRule="atLeast"/>
        </w:trPr>
        <w:tc>
          <w:tcPr>
            <w:tcW w:w="1290" w:type="dxa"/>
            <w:vMerge w:val="continue"/>
            <w:vAlign w:val="center"/>
          </w:tcPr>
          <w:p>
            <w:pPr>
              <w:spacing w:before="359"/>
              <w:ind w:left="363" w:right="224" w:hanging="122"/>
              <w:jc w:val="center"/>
              <w:rPr>
                <w:rFonts w:ascii="仿宋" w:hAnsi="仿宋" w:eastAsia="仿宋" w:cs="仿宋"/>
                <w:color w:val="000000" w:themeColor="text1"/>
                <w:spacing w:val="-3"/>
                <w:sz w:val="18"/>
                <w:szCs w:val="18"/>
              </w:rPr>
            </w:pPr>
          </w:p>
        </w:tc>
        <w:tc>
          <w:tcPr>
            <w:tcW w:w="118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96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猪3000头以上5000头以下</w:t>
            </w:r>
          </w:p>
        </w:tc>
        <w:tc>
          <w:tcPr>
            <w:tcW w:w="556" w:type="dxa"/>
            <w:tcBorders>
              <w:top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20%</w:t>
            </w:r>
          </w:p>
        </w:tc>
        <w:tc>
          <w:tcPr>
            <w:tcW w:w="549" w:type="dxa"/>
            <w:tcBorders>
              <w:top w:val="single" w:color="auto" w:sz="4" w:space="0"/>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3" w:hRule="atLeast"/>
        </w:trPr>
        <w:tc>
          <w:tcPr>
            <w:tcW w:w="1290"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top w:val="nil"/>
            </w:tcBorders>
            <w:vAlign w:val="center"/>
          </w:tcPr>
          <w:p>
            <w:pPr>
              <w:jc w:val="center"/>
              <w:rPr>
                <w:rFonts w:ascii="Malgun Gothic"/>
                <w:color w:val="000000" w:themeColor="text1"/>
                <w:sz w:val="18"/>
                <w:szCs w:val="18"/>
              </w:rPr>
            </w:pPr>
          </w:p>
        </w:tc>
        <w:tc>
          <w:tcPr>
            <w:tcW w:w="960" w:type="dxa"/>
            <w:vMerge w:val="continue"/>
            <w:tcBorders>
              <w:top w:val="nil"/>
            </w:tcBorders>
            <w:vAlign w:val="center"/>
          </w:tcPr>
          <w:p>
            <w:pPr>
              <w:jc w:val="center"/>
              <w:rPr>
                <w:rFonts w:ascii="Malgun Gothic"/>
                <w:color w:val="000000" w:themeColor="text1"/>
                <w:sz w:val="18"/>
                <w:szCs w:val="18"/>
              </w:rPr>
            </w:pPr>
          </w:p>
        </w:tc>
        <w:tc>
          <w:tcPr>
            <w:tcW w:w="1155" w:type="dxa"/>
            <w:vMerge w:val="restart"/>
            <w:tcBorders>
              <w:right w:val="single" w:color="auto" w:sz="4" w:space="0"/>
            </w:tcBorders>
            <w:vAlign w:val="center"/>
          </w:tcPr>
          <w:p>
            <w:pPr>
              <w:spacing w:before="42" w:line="212" w:lineRule="auto"/>
              <w:ind w:left="125" w:right="296" w:hanging="4"/>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应当编制环境影响报告书的大型畜禽养殖场、养殖小区</w:t>
            </w:r>
          </w:p>
        </w:tc>
        <w:tc>
          <w:tcPr>
            <w:tcW w:w="3165" w:type="dxa"/>
            <w:tcBorders>
              <w:left w:val="single" w:color="auto" w:sz="4" w:space="0"/>
              <w:bottom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猪5000头以上7000头以下存</w:t>
            </w:r>
            <w:r>
              <w:rPr>
                <w:rFonts w:hint="eastAsia" w:ascii="仿宋" w:hAnsi="仿宋" w:eastAsia="仿宋" w:cs="仿宋"/>
                <w:color w:val="000000" w:themeColor="text1"/>
                <w:spacing w:val="-5"/>
                <w:sz w:val="18"/>
                <w:szCs w:val="18"/>
              </w:rPr>
              <w:t>栏2500以上4500以下</w:t>
            </w:r>
          </w:p>
        </w:tc>
        <w:tc>
          <w:tcPr>
            <w:tcW w:w="556" w:type="dxa"/>
            <w:tcBorders>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25%%</w:t>
            </w:r>
          </w:p>
        </w:tc>
        <w:tc>
          <w:tcPr>
            <w:tcW w:w="549" w:type="dxa"/>
            <w:tcBorders>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1290" w:type="dxa"/>
            <w:vMerge w:val="continue"/>
            <w:vAlign w:val="center"/>
          </w:tcPr>
          <w:p>
            <w:pPr>
              <w:jc w:val="center"/>
              <w:rPr>
                <w:rFonts w:ascii="Malgun Gothic"/>
                <w:color w:val="000000" w:themeColor="text1"/>
                <w:sz w:val="18"/>
                <w:szCs w:val="18"/>
              </w:rPr>
            </w:pPr>
          </w:p>
        </w:tc>
        <w:tc>
          <w:tcPr>
            <w:tcW w:w="1185" w:type="dxa"/>
            <w:vMerge w:val="continue"/>
            <w:vAlign w:val="center"/>
          </w:tcPr>
          <w:p>
            <w:pPr>
              <w:jc w:val="center"/>
              <w:rPr>
                <w:rFonts w:ascii="Malgun Gothic"/>
                <w:color w:val="000000" w:themeColor="text1"/>
                <w:sz w:val="18"/>
                <w:szCs w:val="18"/>
              </w:rPr>
            </w:pPr>
          </w:p>
        </w:tc>
        <w:tc>
          <w:tcPr>
            <w:tcW w:w="960" w:type="dxa"/>
            <w:vMerge w:val="continue"/>
            <w:vAlign w:val="center"/>
          </w:tcPr>
          <w:p>
            <w:pPr>
              <w:jc w:val="center"/>
              <w:rPr>
                <w:rFonts w:ascii="Malgun Gothic"/>
                <w:color w:val="000000" w:themeColor="text1"/>
                <w:sz w:val="18"/>
                <w:szCs w:val="18"/>
              </w:rPr>
            </w:pPr>
          </w:p>
        </w:tc>
        <w:tc>
          <w:tcPr>
            <w:tcW w:w="1155" w:type="dxa"/>
            <w:vMerge w:val="continue"/>
            <w:tcBorders>
              <w:right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bottom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猪7000头以上9000头以下存</w:t>
            </w:r>
            <w:r>
              <w:rPr>
                <w:rFonts w:hint="eastAsia" w:ascii="仿宋" w:hAnsi="仿宋" w:eastAsia="仿宋" w:cs="仿宋"/>
                <w:color w:val="000000" w:themeColor="text1"/>
                <w:spacing w:val="-5"/>
                <w:sz w:val="18"/>
                <w:szCs w:val="18"/>
              </w:rPr>
              <w:t>栏4500以上6500以下</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30%</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290" w:type="dxa"/>
            <w:vMerge w:val="continue"/>
            <w:vAlign w:val="center"/>
          </w:tcPr>
          <w:p>
            <w:pPr>
              <w:jc w:val="center"/>
              <w:rPr>
                <w:rFonts w:ascii="Malgun Gothic"/>
                <w:color w:val="000000" w:themeColor="text1"/>
                <w:sz w:val="18"/>
                <w:szCs w:val="18"/>
              </w:rPr>
            </w:pPr>
          </w:p>
        </w:tc>
        <w:tc>
          <w:tcPr>
            <w:tcW w:w="1185" w:type="dxa"/>
            <w:vMerge w:val="continue"/>
            <w:vAlign w:val="center"/>
          </w:tcPr>
          <w:p>
            <w:pPr>
              <w:jc w:val="center"/>
              <w:rPr>
                <w:rFonts w:ascii="Malgun Gothic"/>
                <w:color w:val="000000" w:themeColor="text1"/>
                <w:sz w:val="18"/>
                <w:szCs w:val="18"/>
              </w:rPr>
            </w:pPr>
          </w:p>
        </w:tc>
        <w:tc>
          <w:tcPr>
            <w:tcW w:w="960" w:type="dxa"/>
            <w:vMerge w:val="continue"/>
            <w:vAlign w:val="center"/>
          </w:tcPr>
          <w:p>
            <w:pPr>
              <w:jc w:val="center"/>
              <w:rPr>
                <w:rFonts w:ascii="Malgun Gothic"/>
                <w:color w:val="000000" w:themeColor="text1"/>
                <w:sz w:val="18"/>
                <w:szCs w:val="18"/>
              </w:rPr>
            </w:pPr>
          </w:p>
        </w:tc>
        <w:tc>
          <w:tcPr>
            <w:tcW w:w="1155" w:type="dxa"/>
            <w:vMerge w:val="continue"/>
            <w:tcBorders>
              <w:right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bottom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猪9000头以上11000头以下存</w:t>
            </w:r>
            <w:r>
              <w:rPr>
                <w:rFonts w:hint="eastAsia" w:ascii="仿宋" w:hAnsi="仿宋" w:eastAsia="仿宋" w:cs="仿宋"/>
                <w:color w:val="000000" w:themeColor="text1"/>
                <w:spacing w:val="-5"/>
                <w:sz w:val="18"/>
                <w:szCs w:val="18"/>
              </w:rPr>
              <w:t>栏6500以上8500以下</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35%</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3" w:hRule="atLeast"/>
        </w:trPr>
        <w:tc>
          <w:tcPr>
            <w:tcW w:w="1290" w:type="dxa"/>
            <w:vMerge w:val="continue"/>
            <w:vAlign w:val="center"/>
          </w:tcPr>
          <w:p>
            <w:pPr>
              <w:jc w:val="center"/>
              <w:rPr>
                <w:rFonts w:ascii="Malgun Gothic"/>
                <w:color w:val="000000" w:themeColor="text1"/>
                <w:sz w:val="18"/>
                <w:szCs w:val="18"/>
              </w:rPr>
            </w:pPr>
          </w:p>
        </w:tc>
        <w:tc>
          <w:tcPr>
            <w:tcW w:w="1185" w:type="dxa"/>
            <w:vMerge w:val="continue"/>
            <w:vAlign w:val="center"/>
          </w:tcPr>
          <w:p>
            <w:pPr>
              <w:jc w:val="center"/>
              <w:rPr>
                <w:rFonts w:ascii="Malgun Gothic"/>
                <w:color w:val="000000" w:themeColor="text1"/>
                <w:sz w:val="18"/>
                <w:szCs w:val="18"/>
              </w:rPr>
            </w:pPr>
          </w:p>
        </w:tc>
        <w:tc>
          <w:tcPr>
            <w:tcW w:w="960" w:type="dxa"/>
            <w:vMerge w:val="continue"/>
            <w:vAlign w:val="center"/>
          </w:tcPr>
          <w:p>
            <w:pPr>
              <w:jc w:val="center"/>
              <w:rPr>
                <w:rFonts w:ascii="Malgun Gothic"/>
                <w:color w:val="000000" w:themeColor="text1"/>
                <w:sz w:val="18"/>
                <w:szCs w:val="18"/>
              </w:rPr>
            </w:pPr>
          </w:p>
        </w:tc>
        <w:tc>
          <w:tcPr>
            <w:tcW w:w="1155" w:type="dxa"/>
            <w:vMerge w:val="continue"/>
            <w:tcBorders>
              <w:right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猪11000头以上13000头以下存</w:t>
            </w:r>
            <w:r>
              <w:rPr>
                <w:rFonts w:hint="eastAsia" w:ascii="仿宋" w:hAnsi="仿宋" w:eastAsia="仿宋" w:cs="仿宋"/>
                <w:color w:val="000000" w:themeColor="text1"/>
                <w:spacing w:val="-5"/>
                <w:sz w:val="18"/>
                <w:szCs w:val="18"/>
              </w:rPr>
              <w:t>栏8500以上10500以下</w:t>
            </w:r>
          </w:p>
        </w:tc>
        <w:tc>
          <w:tcPr>
            <w:tcW w:w="556" w:type="dxa"/>
            <w:tcBorders>
              <w:top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40%</w:t>
            </w:r>
          </w:p>
        </w:tc>
        <w:tc>
          <w:tcPr>
            <w:tcW w:w="549" w:type="dxa"/>
            <w:tcBorders>
              <w:top w:val="single" w:color="auto" w:sz="4" w:space="0"/>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8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96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320" w:type="dxa"/>
            <w:gridSpan w:val="2"/>
          </w:tcPr>
          <w:p>
            <w:pPr>
              <w:spacing w:before="41"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5%</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Pr>
          <w:p>
            <w:pPr>
              <w:spacing w:before="41"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Pr>
          <w:p>
            <w:pPr>
              <w:spacing w:before="43"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15%</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top w:val="nil"/>
            </w:tcBorders>
            <w:vAlign w:val="center"/>
          </w:tcPr>
          <w:p>
            <w:pPr>
              <w:jc w:val="center"/>
              <w:rPr>
                <w:rFonts w:ascii="Malgun Gothic"/>
                <w:color w:val="000000" w:themeColor="text1"/>
                <w:sz w:val="18"/>
                <w:szCs w:val="18"/>
              </w:rPr>
            </w:pPr>
          </w:p>
        </w:tc>
        <w:tc>
          <w:tcPr>
            <w:tcW w:w="960" w:type="dxa"/>
            <w:vMerge w:val="continue"/>
            <w:tcBorders>
              <w:top w:val="nil"/>
            </w:tcBorders>
            <w:vAlign w:val="center"/>
          </w:tcPr>
          <w:p>
            <w:pPr>
              <w:jc w:val="center"/>
              <w:rPr>
                <w:rFonts w:ascii="Malgun Gothic"/>
                <w:color w:val="000000" w:themeColor="text1"/>
                <w:sz w:val="18"/>
                <w:szCs w:val="18"/>
              </w:rPr>
            </w:pPr>
          </w:p>
        </w:tc>
        <w:tc>
          <w:tcPr>
            <w:tcW w:w="4320" w:type="dxa"/>
            <w:gridSpan w:val="2"/>
          </w:tcPr>
          <w:p>
            <w:pPr>
              <w:spacing w:before="42"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20%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8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96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320" w:type="dxa"/>
            <w:gridSpan w:val="2"/>
          </w:tcPr>
          <w:p>
            <w:pPr>
              <w:spacing w:before="42"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Pr>
          <w:p>
            <w:pPr>
              <w:spacing w:before="42" w:line="212" w:lineRule="auto"/>
              <w:ind w:left="122" w:right="29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5%</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top w:val="nil"/>
            </w:tcBorders>
            <w:vAlign w:val="center"/>
          </w:tcPr>
          <w:p>
            <w:pPr>
              <w:jc w:val="center"/>
              <w:rPr>
                <w:rFonts w:ascii="Malgun Gothic"/>
                <w:color w:val="000000" w:themeColor="text1"/>
                <w:sz w:val="18"/>
                <w:szCs w:val="18"/>
              </w:rPr>
            </w:pPr>
          </w:p>
        </w:tc>
        <w:tc>
          <w:tcPr>
            <w:tcW w:w="960" w:type="dxa"/>
            <w:vMerge w:val="continue"/>
            <w:tcBorders>
              <w:top w:val="nil"/>
            </w:tcBorders>
            <w:vAlign w:val="center"/>
          </w:tcPr>
          <w:p>
            <w:pPr>
              <w:jc w:val="center"/>
              <w:rPr>
                <w:rFonts w:ascii="Malgun Gothic"/>
                <w:color w:val="000000" w:themeColor="text1"/>
                <w:sz w:val="18"/>
                <w:szCs w:val="18"/>
              </w:rPr>
            </w:pPr>
          </w:p>
        </w:tc>
        <w:tc>
          <w:tcPr>
            <w:tcW w:w="4320" w:type="dxa"/>
            <w:gridSpan w:val="2"/>
          </w:tcPr>
          <w:p>
            <w:pPr>
              <w:spacing w:before="41"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restart"/>
            <w:tcBorders>
              <w:bottom w:val="nil"/>
            </w:tcBorders>
            <w:vAlign w:val="center"/>
          </w:tcPr>
          <w:p>
            <w:pPr>
              <w:spacing w:before="55" w:line="212" w:lineRule="auto"/>
              <w:ind w:left="240" w:right="224"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185" w:type="dxa"/>
            <w:vMerge w:val="restart"/>
            <w:tcBorders>
              <w:bottom w:val="nil"/>
            </w:tcBorders>
            <w:vAlign w:val="center"/>
          </w:tcPr>
          <w:p>
            <w:pPr>
              <w:spacing w:before="78"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78"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960" w:type="dxa"/>
            <w:vMerge w:val="restart"/>
            <w:tcBorders>
              <w:bottom w:val="nil"/>
            </w:tcBorders>
            <w:vAlign w:val="center"/>
          </w:tcPr>
          <w:p>
            <w:pPr>
              <w:spacing w:before="211" w:line="184" w:lineRule="auto"/>
              <w:ind w:firstLine="184"/>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320" w:type="dxa"/>
            <w:gridSpan w:val="2"/>
          </w:tcPr>
          <w:p>
            <w:pPr>
              <w:spacing w:before="50"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top w:val="nil"/>
            </w:tcBorders>
            <w:vAlign w:val="center"/>
          </w:tcPr>
          <w:p>
            <w:pPr>
              <w:spacing w:before="78" w:line="184" w:lineRule="auto"/>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Malgun Gothic"/>
                <w:color w:val="000000" w:themeColor="text1"/>
                <w:sz w:val="18"/>
                <w:szCs w:val="18"/>
              </w:rPr>
            </w:pPr>
          </w:p>
        </w:tc>
        <w:tc>
          <w:tcPr>
            <w:tcW w:w="4320" w:type="dxa"/>
            <w:gridSpan w:val="2"/>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185" w:type="dxa"/>
            <w:vMerge w:val="restart"/>
            <w:tcBorders>
              <w:bottom w:val="nil"/>
            </w:tcBorders>
            <w:vAlign w:val="center"/>
          </w:tcPr>
          <w:p>
            <w:pPr>
              <w:spacing w:before="78" w:line="184" w:lineRule="auto"/>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4320"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556" w:type="dxa"/>
            <w:tcBorders>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5%</w:t>
            </w:r>
          </w:p>
        </w:tc>
        <w:tc>
          <w:tcPr>
            <w:tcW w:w="549" w:type="dxa"/>
            <w:tcBorders>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15%</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290" w:type="dxa"/>
            <w:vMerge w:val="continue"/>
            <w:vAlign w:val="center"/>
          </w:tcPr>
          <w:p>
            <w:pPr>
              <w:jc w:val="center"/>
              <w:rPr>
                <w:rFonts w:ascii="Malgun Gothic"/>
                <w:color w:val="000000" w:themeColor="text1"/>
                <w:sz w:val="18"/>
                <w:szCs w:val="18"/>
              </w:rPr>
            </w:pPr>
          </w:p>
        </w:tc>
        <w:tc>
          <w:tcPr>
            <w:tcW w:w="1185" w:type="dxa"/>
            <w:vMerge w:val="continue"/>
            <w:vAlign w:val="center"/>
          </w:tcPr>
          <w:p>
            <w:pPr>
              <w:jc w:val="center"/>
              <w:rPr>
                <w:rFonts w:ascii="Malgun Gothic"/>
                <w:color w:val="000000" w:themeColor="text1"/>
                <w:sz w:val="18"/>
                <w:szCs w:val="18"/>
              </w:rPr>
            </w:pPr>
          </w:p>
        </w:tc>
        <w:tc>
          <w:tcPr>
            <w:tcW w:w="960" w:type="dxa"/>
            <w:vMerge w:val="continue"/>
            <w:vAlign w:val="center"/>
          </w:tcPr>
          <w:p>
            <w:pPr>
              <w:jc w:val="center"/>
              <w:rPr>
                <w:rFonts w:ascii="Malgun Gothic"/>
                <w:color w:val="000000" w:themeColor="text1"/>
                <w:sz w:val="18"/>
                <w:szCs w:val="18"/>
              </w:rPr>
            </w:pPr>
          </w:p>
        </w:tc>
        <w:tc>
          <w:tcPr>
            <w:tcW w:w="43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20%</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 w:hRule="atLeast"/>
        </w:trPr>
        <w:tc>
          <w:tcPr>
            <w:tcW w:w="8860"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8860"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二条第一款新建、改建、扩建畜禽养殖场、养殖小区，应当符合畜牧业发展规划、畜禽养殖污染防治规划，满足动物防疫条件，并进行环境影响评价。对环境可能造成重大影响的大型畜禽养殖场、养殖小区，应当编制环境影响报告书；其他畜禽养殖场、养殖小区应当填报环境影响登记表。大型畜禽养殖场、养殖小区的管理目录，由国务院环境保护主管部门商国务院农牧主管部门确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三十八条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rPr>
          <w:rFonts w:ascii="仿宋" w:hAnsi="仿宋" w:eastAsia="仿宋" w:cs="仿宋"/>
          <w:color w:val="000000" w:themeColor="text1"/>
          <w:spacing w:val="-5"/>
          <w:sz w:val="24"/>
        </w:rPr>
      </w:pPr>
    </w:p>
    <w:p>
      <w:pPr>
        <w:jc w:val="center"/>
        <w:outlineLvl w:val="1"/>
        <w:rPr>
          <w:rFonts w:ascii="仿宋" w:hAnsi="仿宋" w:eastAsia="仿宋" w:cs="仿宋"/>
          <w:b/>
          <w:bCs/>
          <w:color w:val="000000" w:themeColor="text1"/>
          <w:sz w:val="24"/>
        </w:rPr>
      </w:pPr>
      <w:bookmarkStart w:id="410" w:name="_Toc21506"/>
      <w:bookmarkStart w:id="411" w:name="_Toc9395"/>
      <w:r>
        <w:rPr>
          <w:rFonts w:hint="eastAsia" w:ascii="仿宋" w:hAnsi="仿宋" w:eastAsia="仿宋" w:cs="仿宋"/>
          <w:b/>
          <w:bCs/>
          <w:color w:val="000000" w:themeColor="text1"/>
          <w:sz w:val="24"/>
        </w:rPr>
        <w:t>表145未建设污染防治配套设施或者自行建设的配套设施不合格，也未委托他人对畜禽养殖废弃物进行综合利用和无害化处理，畜禽养殖场、养殖小区即投入生产、使用，或者建设的污染防治配套设施未正常运行的罚款幅度裁定</w:t>
      </w:r>
      <w:bookmarkEnd w:id="410"/>
      <w:bookmarkEnd w:id="411"/>
    </w:p>
    <w:tbl>
      <w:tblPr>
        <w:tblStyle w:val="15"/>
        <w:tblW w:w="8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659"/>
        <w:gridCol w:w="1082"/>
        <w:gridCol w:w="2203"/>
        <w:gridCol w:w="1084"/>
        <w:gridCol w:w="592"/>
        <w:gridCol w:w="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4161" w:type="dxa"/>
            <w:gridSpan w:val="3"/>
          </w:tcPr>
          <w:p>
            <w:pPr>
              <w:spacing w:before="17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3" w:type="dxa"/>
            <w:gridSpan w:val="4"/>
          </w:tcPr>
          <w:p>
            <w:pPr>
              <w:spacing w:before="176"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rPr>
          <w:trHeight w:val="629" w:hRule="atLeast"/>
        </w:trPr>
        <w:tc>
          <w:tcPr>
            <w:tcW w:w="1420" w:type="dxa"/>
          </w:tcPr>
          <w:p>
            <w:pPr>
              <w:spacing w:before="198" w:line="184" w:lineRule="auto"/>
              <w:ind w:firstLine="484"/>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59" w:type="dxa"/>
          </w:tcPr>
          <w:p>
            <w:pPr>
              <w:spacing w:before="206" w:line="185" w:lineRule="auto"/>
              <w:ind w:firstLine="599"/>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82" w:type="dxa"/>
          </w:tcPr>
          <w:p>
            <w:pPr>
              <w:spacing w:before="198" w:line="184" w:lineRule="auto"/>
              <w:ind w:firstLine="162" w:firstLineChars="10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287" w:type="dxa"/>
            <w:gridSpan w:val="2"/>
          </w:tcPr>
          <w:p>
            <w:pPr>
              <w:spacing w:before="198" w:line="184" w:lineRule="auto"/>
              <w:ind w:firstLine="1506" w:firstLineChars="93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92" w:type="dxa"/>
            <w:tcBorders>
              <w:right w:val="single" w:color="auto" w:sz="4" w:space="0"/>
            </w:tcBorders>
          </w:tcPr>
          <w:p>
            <w:pPr>
              <w:spacing w:before="206"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4" w:type="dxa"/>
            <w:tcBorders>
              <w:left w:val="single" w:color="auto" w:sz="4" w:space="0"/>
            </w:tcBorders>
          </w:tcPr>
          <w:p>
            <w:pPr>
              <w:spacing w:before="206"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restart"/>
            <w:tcBorders>
              <w:bottom w:val="nil"/>
            </w:tcBorders>
            <w:vAlign w:val="center"/>
          </w:tcPr>
          <w:p>
            <w:pPr>
              <w:spacing w:before="78"/>
              <w:ind w:right="224"/>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65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108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203" w:type="dxa"/>
            <w:vMerge w:val="restart"/>
            <w:tcBorders>
              <w:right w:val="single" w:color="auto" w:sz="4" w:space="0"/>
            </w:tcBorders>
            <w:vAlign w:val="center"/>
          </w:tcPr>
          <w:p>
            <w:pPr>
              <w:spacing w:before="41" w:line="212" w:lineRule="auto"/>
              <w:ind w:left="122" w:right="296" w:hanging="9"/>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建设的污染防治配套设施未</w:t>
            </w:r>
            <w:r>
              <w:rPr>
                <w:rFonts w:ascii="仿宋" w:hAnsi="仿宋" w:eastAsia="仿宋" w:cs="仿宋"/>
                <w:color w:val="000000" w:themeColor="text1"/>
                <w:spacing w:val="-4"/>
                <w:sz w:val="18"/>
                <w:szCs w:val="18"/>
              </w:rPr>
              <w:t>正常运行的</w:t>
            </w:r>
          </w:p>
        </w:tc>
        <w:tc>
          <w:tcPr>
            <w:tcW w:w="1084"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登记表</w:t>
            </w:r>
          </w:p>
        </w:tc>
        <w:tc>
          <w:tcPr>
            <w:tcW w:w="59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4"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vAlign w:val="center"/>
          </w:tcPr>
          <w:p>
            <w:pPr>
              <w:spacing w:before="78"/>
              <w:ind w:right="224"/>
              <w:jc w:val="center"/>
              <w:rPr>
                <w:rFonts w:ascii="仿宋" w:hAnsi="仿宋" w:eastAsia="仿宋" w:cs="仿宋"/>
                <w:color w:val="000000" w:themeColor="text1"/>
                <w:spacing w:val="-3"/>
                <w:sz w:val="18"/>
                <w:szCs w:val="18"/>
              </w:rPr>
            </w:pPr>
          </w:p>
        </w:tc>
        <w:tc>
          <w:tcPr>
            <w:tcW w:w="165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082"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203" w:type="dxa"/>
            <w:vMerge w:val="continue"/>
            <w:tcBorders>
              <w:righ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p>
        </w:tc>
        <w:tc>
          <w:tcPr>
            <w:tcW w:w="1084"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报告书</w:t>
            </w:r>
          </w:p>
        </w:tc>
        <w:tc>
          <w:tcPr>
            <w:tcW w:w="59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4"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2203" w:type="dxa"/>
            <w:vMerge w:val="restart"/>
            <w:tcBorders>
              <w:right w:val="single" w:color="auto" w:sz="4" w:space="0"/>
            </w:tcBorders>
            <w:vAlign w:val="center"/>
          </w:tcPr>
          <w:p>
            <w:pPr>
              <w:spacing w:before="41" w:line="226" w:lineRule="auto"/>
              <w:ind w:left="120" w:right="110" w:firstLine="38"/>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自行建设的配套设施不合格，</w:t>
            </w:r>
            <w:r>
              <w:rPr>
                <w:rFonts w:ascii="仿宋" w:hAnsi="仿宋" w:eastAsia="仿宋" w:cs="仿宋"/>
                <w:color w:val="000000" w:themeColor="text1"/>
                <w:spacing w:val="-2"/>
                <w:sz w:val="18"/>
                <w:szCs w:val="18"/>
              </w:rPr>
              <w:t>也未委托他人对畜禽养殖废弃物进行综合利用和无害化</w:t>
            </w:r>
            <w:r>
              <w:rPr>
                <w:rFonts w:ascii="仿宋" w:hAnsi="仿宋" w:eastAsia="仿宋" w:cs="仿宋"/>
                <w:color w:val="000000" w:themeColor="text1"/>
                <w:spacing w:val="-5"/>
                <w:sz w:val="18"/>
                <w:szCs w:val="18"/>
              </w:rPr>
              <w:t>处理的</w:t>
            </w:r>
          </w:p>
        </w:tc>
        <w:tc>
          <w:tcPr>
            <w:tcW w:w="1084"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2"/>
                <w:sz w:val="18"/>
                <w:szCs w:val="18"/>
              </w:rPr>
              <w:t>登记表</w:t>
            </w:r>
          </w:p>
        </w:tc>
        <w:tc>
          <w:tcPr>
            <w:tcW w:w="59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4"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2203" w:type="dxa"/>
            <w:vMerge w:val="continue"/>
            <w:tcBorders>
              <w:right w:val="single" w:color="auto" w:sz="4" w:space="0"/>
            </w:tcBorders>
            <w:vAlign w:val="center"/>
          </w:tcPr>
          <w:p>
            <w:pPr>
              <w:spacing w:before="41" w:line="226" w:lineRule="auto"/>
              <w:ind w:left="120" w:right="110" w:firstLine="38"/>
              <w:jc w:val="center"/>
              <w:rPr>
                <w:rFonts w:ascii="仿宋" w:hAnsi="仿宋" w:eastAsia="仿宋" w:cs="仿宋"/>
                <w:color w:val="000000" w:themeColor="text1"/>
                <w:spacing w:val="-9"/>
                <w:sz w:val="18"/>
                <w:szCs w:val="18"/>
              </w:rPr>
            </w:pPr>
          </w:p>
        </w:tc>
        <w:tc>
          <w:tcPr>
            <w:tcW w:w="1084"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2"/>
                <w:sz w:val="18"/>
                <w:szCs w:val="18"/>
              </w:rPr>
              <w:t>报告书</w:t>
            </w:r>
          </w:p>
        </w:tc>
        <w:tc>
          <w:tcPr>
            <w:tcW w:w="59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4"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659" w:type="dxa"/>
            <w:vMerge w:val="continue"/>
            <w:tcBorders>
              <w:top w:val="nil"/>
            </w:tcBorders>
            <w:vAlign w:val="center"/>
          </w:tcPr>
          <w:p>
            <w:pPr>
              <w:jc w:val="center"/>
              <w:rPr>
                <w:rFonts w:ascii="Malgun Gothic"/>
                <w:color w:val="000000" w:themeColor="text1"/>
                <w:sz w:val="18"/>
                <w:szCs w:val="18"/>
              </w:rPr>
            </w:pPr>
          </w:p>
        </w:tc>
        <w:tc>
          <w:tcPr>
            <w:tcW w:w="1082" w:type="dxa"/>
            <w:vMerge w:val="continue"/>
            <w:tcBorders>
              <w:top w:val="nil"/>
            </w:tcBorders>
            <w:vAlign w:val="center"/>
          </w:tcPr>
          <w:p>
            <w:pPr>
              <w:jc w:val="center"/>
              <w:rPr>
                <w:rFonts w:ascii="Malgun Gothic"/>
                <w:color w:val="000000" w:themeColor="text1"/>
                <w:sz w:val="18"/>
                <w:szCs w:val="18"/>
              </w:rPr>
            </w:pPr>
          </w:p>
        </w:tc>
        <w:tc>
          <w:tcPr>
            <w:tcW w:w="2203" w:type="dxa"/>
            <w:vMerge w:val="restart"/>
            <w:tcBorders>
              <w:right w:val="single" w:color="auto" w:sz="4" w:space="0"/>
            </w:tcBorders>
            <w:vAlign w:val="center"/>
          </w:tcPr>
          <w:p>
            <w:pPr>
              <w:spacing w:before="41" w:line="226" w:lineRule="auto"/>
              <w:ind w:left="115" w:right="104"/>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未建设污染防治配套设施，也</w:t>
            </w:r>
            <w:r>
              <w:rPr>
                <w:rFonts w:ascii="仿宋" w:hAnsi="仿宋" w:eastAsia="仿宋" w:cs="仿宋"/>
                <w:color w:val="000000" w:themeColor="text1"/>
                <w:spacing w:val="-1"/>
                <w:sz w:val="18"/>
                <w:szCs w:val="18"/>
              </w:rPr>
              <w:t>未委托他人对畜禽养殖废弃物进行综合利用和无害化处</w:t>
            </w:r>
            <w:r>
              <w:rPr>
                <w:rFonts w:ascii="仿宋" w:hAnsi="仿宋" w:eastAsia="仿宋" w:cs="仿宋"/>
                <w:color w:val="000000" w:themeColor="text1"/>
                <w:spacing w:val="-5"/>
                <w:sz w:val="18"/>
                <w:szCs w:val="18"/>
              </w:rPr>
              <w:t>理的</w:t>
            </w:r>
          </w:p>
        </w:tc>
        <w:tc>
          <w:tcPr>
            <w:tcW w:w="1084"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2"/>
                <w:sz w:val="18"/>
                <w:szCs w:val="18"/>
              </w:rPr>
              <w:t>登记表</w:t>
            </w:r>
          </w:p>
        </w:tc>
        <w:tc>
          <w:tcPr>
            <w:tcW w:w="59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4"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420" w:type="dxa"/>
            <w:vMerge w:val="continue"/>
            <w:vAlign w:val="center"/>
          </w:tcPr>
          <w:p>
            <w:pPr>
              <w:jc w:val="center"/>
              <w:rPr>
                <w:rFonts w:ascii="Malgun Gothic"/>
                <w:color w:val="000000" w:themeColor="text1"/>
                <w:sz w:val="18"/>
                <w:szCs w:val="18"/>
              </w:rPr>
            </w:pPr>
          </w:p>
        </w:tc>
        <w:tc>
          <w:tcPr>
            <w:tcW w:w="1659" w:type="dxa"/>
            <w:vMerge w:val="continue"/>
            <w:vAlign w:val="center"/>
          </w:tcPr>
          <w:p>
            <w:pPr>
              <w:jc w:val="center"/>
              <w:rPr>
                <w:rFonts w:ascii="Malgun Gothic"/>
                <w:color w:val="000000" w:themeColor="text1"/>
                <w:sz w:val="18"/>
                <w:szCs w:val="18"/>
              </w:rPr>
            </w:pPr>
          </w:p>
        </w:tc>
        <w:tc>
          <w:tcPr>
            <w:tcW w:w="1082" w:type="dxa"/>
            <w:vMerge w:val="continue"/>
            <w:vAlign w:val="center"/>
          </w:tcPr>
          <w:p>
            <w:pPr>
              <w:jc w:val="center"/>
              <w:rPr>
                <w:rFonts w:ascii="Malgun Gothic"/>
                <w:color w:val="000000" w:themeColor="text1"/>
                <w:sz w:val="18"/>
                <w:szCs w:val="18"/>
              </w:rPr>
            </w:pPr>
          </w:p>
        </w:tc>
        <w:tc>
          <w:tcPr>
            <w:tcW w:w="2203" w:type="dxa"/>
            <w:vMerge w:val="continue"/>
            <w:tcBorders>
              <w:right w:val="single" w:color="auto" w:sz="4" w:space="0"/>
            </w:tcBorders>
            <w:vAlign w:val="center"/>
          </w:tcPr>
          <w:p>
            <w:pPr>
              <w:spacing w:before="41" w:line="226" w:lineRule="auto"/>
              <w:ind w:left="115" w:right="104"/>
              <w:jc w:val="center"/>
              <w:rPr>
                <w:rFonts w:ascii="仿宋" w:hAnsi="仿宋" w:eastAsia="仿宋" w:cs="仿宋"/>
                <w:color w:val="000000" w:themeColor="text1"/>
                <w:spacing w:val="-5"/>
                <w:sz w:val="18"/>
                <w:szCs w:val="18"/>
              </w:rPr>
            </w:pPr>
          </w:p>
        </w:tc>
        <w:tc>
          <w:tcPr>
            <w:tcW w:w="1084"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2"/>
                <w:sz w:val="18"/>
                <w:szCs w:val="18"/>
              </w:rPr>
              <w:t>报告书</w:t>
            </w:r>
          </w:p>
        </w:tc>
        <w:tc>
          <w:tcPr>
            <w:tcW w:w="59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4"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restart"/>
            <w:vAlign w:val="center"/>
          </w:tcPr>
          <w:p>
            <w:pPr>
              <w:spacing w:before="42" w:line="184" w:lineRule="auto"/>
              <w:ind w:firstLine="174" w:firstLineChars="100"/>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59" w:type="dxa"/>
            <w:vMerge w:val="restart"/>
            <w:vAlign w:val="center"/>
          </w:tcPr>
          <w:p>
            <w:pPr>
              <w:spacing w:before="42" w:line="184" w:lineRule="auto"/>
              <w:ind w:firstLine="207"/>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1082" w:type="dxa"/>
            <w:vMerge w:val="restart"/>
            <w:vAlign w:val="center"/>
          </w:tcPr>
          <w:p>
            <w:pPr>
              <w:spacing w:before="42" w:line="184" w:lineRule="auto"/>
              <w:ind w:firstLine="178"/>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287" w:type="dxa"/>
            <w:gridSpan w:val="2"/>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Pr>
          <w:p>
            <w:pPr>
              <w:rPr>
                <w:rFonts w:ascii="Malgun Gothic"/>
                <w:color w:val="000000" w:themeColor="text1"/>
                <w:sz w:val="18"/>
                <w:szCs w:val="18"/>
              </w:rPr>
            </w:pPr>
          </w:p>
        </w:tc>
        <w:tc>
          <w:tcPr>
            <w:tcW w:w="1659" w:type="dxa"/>
            <w:vMerge w:val="continue"/>
          </w:tcPr>
          <w:p>
            <w:pPr>
              <w:rPr>
                <w:rFonts w:ascii="Malgun Gothic"/>
                <w:color w:val="000000" w:themeColor="text1"/>
                <w:sz w:val="18"/>
                <w:szCs w:val="18"/>
              </w:rPr>
            </w:pPr>
          </w:p>
        </w:tc>
        <w:tc>
          <w:tcPr>
            <w:tcW w:w="1082" w:type="dxa"/>
            <w:vMerge w:val="continue"/>
          </w:tcPr>
          <w:p>
            <w:pPr>
              <w:rPr>
                <w:rFonts w:ascii="Malgun Gothic"/>
                <w:color w:val="000000" w:themeColor="text1"/>
                <w:sz w:val="18"/>
                <w:szCs w:val="18"/>
              </w:rPr>
            </w:pPr>
          </w:p>
        </w:tc>
        <w:tc>
          <w:tcPr>
            <w:tcW w:w="3287" w:type="dxa"/>
            <w:gridSpan w:val="2"/>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Pr>
          <w:p>
            <w:pPr>
              <w:rPr>
                <w:rFonts w:ascii="Malgun Gothic"/>
                <w:color w:val="000000" w:themeColor="text1"/>
                <w:sz w:val="18"/>
                <w:szCs w:val="18"/>
              </w:rPr>
            </w:pPr>
          </w:p>
        </w:tc>
        <w:tc>
          <w:tcPr>
            <w:tcW w:w="1659" w:type="dxa"/>
            <w:vMerge w:val="continue"/>
          </w:tcPr>
          <w:p>
            <w:pPr>
              <w:rPr>
                <w:rFonts w:ascii="Malgun Gothic"/>
                <w:color w:val="000000" w:themeColor="text1"/>
                <w:sz w:val="18"/>
                <w:szCs w:val="18"/>
              </w:rPr>
            </w:pPr>
          </w:p>
        </w:tc>
        <w:tc>
          <w:tcPr>
            <w:tcW w:w="1082" w:type="dxa"/>
            <w:vMerge w:val="continue"/>
          </w:tcPr>
          <w:p>
            <w:pPr>
              <w:rPr>
                <w:rFonts w:ascii="Malgun Gothic"/>
                <w:color w:val="000000" w:themeColor="text1"/>
                <w:sz w:val="18"/>
                <w:szCs w:val="18"/>
              </w:rPr>
            </w:pPr>
          </w:p>
        </w:tc>
        <w:tc>
          <w:tcPr>
            <w:tcW w:w="3287" w:type="dxa"/>
            <w:gridSpan w:val="2"/>
          </w:tcPr>
          <w:p>
            <w:pPr>
              <w:spacing w:before="37"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Pr>
          <w:p>
            <w:pPr>
              <w:rPr>
                <w:rFonts w:ascii="Malgun Gothic"/>
                <w:color w:val="000000" w:themeColor="text1"/>
                <w:sz w:val="18"/>
                <w:szCs w:val="18"/>
              </w:rPr>
            </w:pPr>
          </w:p>
        </w:tc>
        <w:tc>
          <w:tcPr>
            <w:tcW w:w="1659" w:type="dxa"/>
            <w:vMerge w:val="continue"/>
          </w:tcPr>
          <w:p>
            <w:pPr>
              <w:rPr>
                <w:rFonts w:ascii="Malgun Gothic"/>
                <w:color w:val="000000" w:themeColor="text1"/>
                <w:sz w:val="18"/>
                <w:szCs w:val="18"/>
              </w:rPr>
            </w:pPr>
          </w:p>
        </w:tc>
        <w:tc>
          <w:tcPr>
            <w:tcW w:w="1082" w:type="dxa"/>
            <w:vMerge w:val="continue"/>
          </w:tcPr>
          <w:p>
            <w:pPr>
              <w:rPr>
                <w:rFonts w:ascii="Malgun Gothic"/>
                <w:color w:val="000000" w:themeColor="text1"/>
                <w:sz w:val="18"/>
                <w:szCs w:val="18"/>
              </w:rPr>
            </w:pPr>
          </w:p>
        </w:tc>
        <w:tc>
          <w:tcPr>
            <w:tcW w:w="3287" w:type="dxa"/>
            <w:gridSpan w:val="2"/>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5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108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37"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40" w:line="212" w:lineRule="auto"/>
              <w:ind w:left="122" w:right="29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659" w:type="dxa"/>
            <w:vMerge w:val="continue"/>
            <w:tcBorders>
              <w:top w:val="nil"/>
            </w:tcBorders>
            <w:vAlign w:val="center"/>
          </w:tcPr>
          <w:p>
            <w:pPr>
              <w:jc w:val="center"/>
              <w:rPr>
                <w:rFonts w:ascii="Malgun Gothic"/>
                <w:color w:val="000000" w:themeColor="text1"/>
                <w:sz w:val="18"/>
                <w:szCs w:val="18"/>
              </w:rPr>
            </w:pPr>
          </w:p>
        </w:tc>
        <w:tc>
          <w:tcPr>
            <w:tcW w:w="108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restart"/>
            <w:tcBorders>
              <w:bottom w:val="nil"/>
            </w:tcBorders>
            <w:vAlign w:val="center"/>
          </w:tcPr>
          <w:p>
            <w:pPr>
              <w:spacing w:before="52" w:line="212" w:lineRule="auto"/>
              <w:ind w:left="240" w:right="224"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659" w:type="dxa"/>
            <w:vMerge w:val="restart"/>
            <w:tcBorders>
              <w:bottom w:val="nil"/>
            </w:tcBorders>
            <w:vAlign w:val="center"/>
          </w:tcPr>
          <w:p>
            <w:pPr>
              <w:spacing w:before="52" w:line="212" w:lineRule="auto"/>
              <w:ind w:left="788" w:right="308"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52" w:line="212" w:lineRule="auto"/>
              <w:ind w:left="788" w:right="308"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1082" w:type="dxa"/>
            <w:vMerge w:val="restart"/>
            <w:tcBorders>
              <w:bottom w:val="nil"/>
            </w:tcBorders>
            <w:vAlign w:val="center"/>
          </w:tcPr>
          <w:p>
            <w:pPr>
              <w:spacing w:before="20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47"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659" w:type="dxa"/>
            <w:vMerge w:val="continue"/>
            <w:tcBorders>
              <w:top w:val="nil"/>
            </w:tcBorders>
            <w:vAlign w:val="center"/>
          </w:tcPr>
          <w:p>
            <w:pPr>
              <w:jc w:val="center"/>
              <w:rPr>
                <w:rFonts w:ascii="Malgun Gothic"/>
                <w:color w:val="000000" w:themeColor="text1"/>
                <w:sz w:val="18"/>
                <w:szCs w:val="18"/>
              </w:rPr>
            </w:pPr>
          </w:p>
        </w:tc>
        <w:tc>
          <w:tcPr>
            <w:tcW w:w="108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5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是否造成社会影响或生态破坏</w:t>
            </w:r>
          </w:p>
        </w:tc>
        <w:tc>
          <w:tcPr>
            <w:tcW w:w="108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287"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592"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2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2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2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vAlign w:val="center"/>
          </w:tcPr>
          <w:p>
            <w:pPr>
              <w:jc w:val="center"/>
              <w:rPr>
                <w:rFonts w:ascii="Malgun Gothic"/>
                <w:color w:val="000000" w:themeColor="text1"/>
                <w:sz w:val="18"/>
                <w:szCs w:val="18"/>
              </w:rPr>
            </w:pPr>
          </w:p>
        </w:tc>
        <w:tc>
          <w:tcPr>
            <w:tcW w:w="1659" w:type="dxa"/>
            <w:vMerge w:val="continue"/>
            <w:vAlign w:val="center"/>
          </w:tcPr>
          <w:p>
            <w:pPr>
              <w:jc w:val="center"/>
              <w:rPr>
                <w:rFonts w:ascii="Malgun Gothic"/>
                <w:color w:val="000000" w:themeColor="text1"/>
                <w:sz w:val="18"/>
                <w:szCs w:val="18"/>
              </w:rPr>
            </w:pPr>
          </w:p>
        </w:tc>
        <w:tc>
          <w:tcPr>
            <w:tcW w:w="1082" w:type="dxa"/>
            <w:vMerge w:val="continue"/>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2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8564"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8564"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三条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建设污染防治配套设施、自行建设的配套设施不合格，或者未委托他人对畜禽养殖废弃物进行综合利用和无害化处理的，畜禽养殖场、养殖小区不得投入生产或者使用。畜禽养殖场、养殖小区自行建设污染防治配套设施的，应当确保其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畜禽养殖场、养殖小区自行建设污染防治配套设施的，应当确保其正常运行。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pPr>
        <w:spacing w:before="73"/>
        <w:ind w:right="108"/>
        <w:rPr>
          <w:rFonts w:ascii="仿宋_GB2312" w:hAnsi="仿宋_GB2312" w:eastAsia="仿宋_GB2312" w:cs="仿宋_GB2312"/>
          <w:color w:val="000000" w:themeColor="text1"/>
          <w:szCs w:val="21"/>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jc w:val="center"/>
        <w:outlineLvl w:val="1"/>
        <w:rPr>
          <w:rFonts w:ascii="仿宋" w:hAnsi="仿宋" w:eastAsia="仿宋" w:cs="仿宋"/>
          <w:b/>
          <w:bCs/>
          <w:color w:val="000000" w:themeColor="text1"/>
          <w:sz w:val="24"/>
        </w:rPr>
      </w:pPr>
      <w:bookmarkStart w:id="412" w:name="_Toc26757"/>
      <w:bookmarkStart w:id="413" w:name="_Toc2515"/>
      <w:r>
        <w:rPr>
          <w:rFonts w:hint="eastAsia" w:ascii="仿宋" w:hAnsi="仿宋" w:eastAsia="仿宋" w:cs="仿宋"/>
          <w:b/>
          <w:bCs/>
          <w:color w:val="000000" w:themeColor="text1"/>
          <w:sz w:val="24"/>
        </w:rPr>
        <w:t>表146排放畜禽养殖废弃物不符合国家或者地方规定的污染物排放标准或者总量控制指标，或者未经无害化处理直接向环境排放畜禽养殖废弃物</w:t>
      </w:r>
      <w:bookmarkEnd w:id="412"/>
      <w:bookmarkEnd w:id="413"/>
    </w:p>
    <w:p>
      <w:pPr>
        <w:jc w:val="center"/>
        <w:outlineLvl w:val="0"/>
        <w:rPr>
          <w:rFonts w:ascii="仿宋" w:hAnsi="仿宋" w:eastAsia="仿宋" w:cs="仿宋"/>
          <w:b/>
          <w:bCs/>
          <w:color w:val="000000" w:themeColor="text1"/>
          <w:sz w:val="24"/>
        </w:rPr>
      </w:pPr>
      <w:bookmarkStart w:id="414" w:name="_Toc5292"/>
      <w:bookmarkStart w:id="415" w:name="_Toc12424"/>
      <w:r>
        <w:rPr>
          <w:rFonts w:hint="eastAsia" w:ascii="仿宋" w:hAnsi="仿宋" w:eastAsia="仿宋" w:cs="仿宋"/>
          <w:b/>
          <w:bCs/>
          <w:color w:val="000000" w:themeColor="text1"/>
          <w:sz w:val="24"/>
        </w:rPr>
        <w:t>的罚款幅度裁定</w:t>
      </w:r>
      <w:bookmarkEnd w:id="414"/>
      <w:bookmarkEnd w:id="415"/>
    </w:p>
    <w:tbl>
      <w:tblPr>
        <w:tblStyle w:val="15"/>
        <w:tblW w:w="8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584"/>
        <w:gridCol w:w="1157"/>
        <w:gridCol w:w="2308"/>
        <w:gridCol w:w="979"/>
        <w:gridCol w:w="567"/>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4161" w:type="dxa"/>
            <w:gridSpan w:val="3"/>
          </w:tcPr>
          <w:p>
            <w:pPr>
              <w:spacing w:before="175"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3" w:type="dxa"/>
            <w:gridSpan w:val="4"/>
          </w:tcPr>
          <w:p>
            <w:pPr>
              <w:spacing w:before="175"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1420" w:type="dxa"/>
          </w:tcPr>
          <w:p>
            <w:pPr>
              <w:spacing w:before="196" w:line="184" w:lineRule="auto"/>
              <w:ind w:firstLine="484"/>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584" w:type="dxa"/>
          </w:tcPr>
          <w:p>
            <w:pPr>
              <w:spacing w:before="205" w:line="185" w:lineRule="auto"/>
              <w:ind w:firstLine="599"/>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57" w:type="dxa"/>
          </w:tcPr>
          <w:p>
            <w:pPr>
              <w:spacing w:before="196" w:line="184" w:lineRule="auto"/>
              <w:ind w:firstLine="162" w:firstLineChars="10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287" w:type="dxa"/>
            <w:gridSpan w:val="2"/>
          </w:tcPr>
          <w:p>
            <w:pPr>
              <w:spacing w:before="196" w:line="184" w:lineRule="auto"/>
              <w:ind w:firstLine="1668" w:firstLineChars="103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67" w:type="dxa"/>
            <w:tcBorders>
              <w:right w:val="single" w:color="auto" w:sz="4" w:space="0"/>
            </w:tcBorders>
          </w:tcPr>
          <w:p>
            <w:pPr>
              <w:spacing w:before="205"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9" w:type="dxa"/>
            <w:tcBorders>
              <w:left w:val="single" w:color="auto" w:sz="4" w:space="0"/>
            </w:tcBorders>
          </w:tcPr>
          <w:p>
            <w:pPr>
              <w:spacing w:before="205"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420" w:type="dxa"/>
            <w:vMerge w:val="restart"/>
            <w:tcBorders>
              <w:bottom w:val="nil"/>
            </w:tcBorders>
            <w:vAlign w:val="center"/>
          </w:tcPr>
          <w:p>
            <w:pPr>
              <w:spacing w:before="79"/>
              <w:ind w:right="224"/>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w:t>
            </w:r>
          </w:p>
          <w:p>
            <w:pPr>
              <w:spacing w:before="79"/>
              <w:ind w:right="224"/>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158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115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308" w:type="dxa"/>
            <w:vMerge w:val="restart"/>
            <w:tcBorders>
              <w:right w:val="single" w:color="auto" w:sz="4" w:space="0"/>
            </w:tcBorders>
            <w:vAlign w:val="center"/>
          </w:tcPr>
          <w:p>
            <w:pPr>
              <w:spacing w:before="39" w:line="229" w:lineRule="auto"/>
              <w:ind w:left="116" w:right="104" w:hanging="1"/>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未经无害化处理直接向环境</w:t>
            </w:r>
            <w:r>
              <w:rPr>
                <w:rFonts w:ascii="仿宋" w:hAnsi="仿宋" w:eastAsia="仿宋" w:cs="仿宋"/>
                <w:color w:val="000000" w:themeColor="text1"/>
                <w:spacing w:val="-5"/>
                <w:sz w:val="18"/>
                <w:szCs w:val="18"/>
              </w:rPr>
              <w:t>排放畜禽养殖废弃物，但排放</w:t>
            </w:r>
            <w:r>
              <w:rPr>
                <w:rFonts w:ascii="仿宋" w:hAnsi="仿宋" w:eastAsia="仿宋" w:cs="仿宋"/>
                <w:color w:val="000000" w:themeColor="text1"/>
                <w:spacing w:val="-1"/>
                <w:sz w:val="18"/>
                <w:szCs w:val="18"/>
              </w:rPr>
              <w:t>畜禽养殖废弃物未超国家或者地方污染物排放标准或者</w:t>
            </w:r>
            <w:r>
              <w:rPr>
                <w:rFonts w:ascii="仿宋" w:hAnsi="仿宋" w:eastAsia="仿宋" w:cs="仿宋"/>
                <w:color w:val="000000" w:themeColor="text1"/>
                <w:spacing w:val="-2"/>
                <w:sz w:val="18"/>
                <w:szCs w:val="18"/>
              </w:rPr>
              <w:t>总量控制指标的</w:t>
            </w:r>
          </w:p>
        </w:tc>
        <w:tc>
          <w:tcPr>
            <w:tcW w:w="979"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登记表</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420" w:type="dxa"/>
            <w:vMerge w:val="continue"/>
            <w:vAlign w:val="center"/>
          </w:tcPr>
          <w:p>
            <w:pPr>
              <w:spacing w:before="79"/>
              <w:ind w:right="224"/>
              <w:jc w:val="center"/>
              <w:rPr>
                <w:rFonts w:ascii="仿宋" w:hAnsi="仿宋" w:eastAsia="仿宋" w:cs="仿宋"/>
                <w:color w:val="000000" w:themeColor="text1"/>
                <w:spacing w:val="-3"/>
                <w:sz w:val="18"/>
                <w:szCs w:val="18"/>
              </w:rPr>
            </w:pPr>
          </w:p>
        </w:tc>
        <w:tc>
          <w:tcPr>
            <w:tcW w:w="1584"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157"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308" w:type="dxa"/>
            <w:vMerge w:val="continue"/>
            <w:tcBorders>
              <w:right w:val="single" w:color="auto" w:sz="4" w:space="0"/>
            </w:tcBorders>
            <w:vAlign w:val="center"/>
          </w:tcPr>
          <w:p>
            <w:pPr>
              <w:spacing w:before="39" w:line="229" w:lineRule="auto"/>
              <w:ind w:left="116" w:right="104" w:hanging="1"/>
              <w:jc w:val="center"/>
              <w:rPr>
                <w:rFonts w:ascii="仿宋" w:hAnsi="仿宋" w:eastAsia="仿宋" w:cs="仿宋"/>
                <w:color w:val="000000" w:themeColor="text1"/>
                <w:spacing w:val="-1"/>
                <w:sz w:val="18"/>
                <w:szCs w:val="18"/>
              </w:rPr>
            </w:pPr>
          </w:p>
        </w:tc>
        <w:tc>
          <w:tcPr>
            <w:tcW w:w="979"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报告书</w:t>
            </w:r>
          </w:p>
        </w:tc>
        <w:tc>
          <w:tcPr>
            <w:tcW w:w="5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tcPr>
          <w:p>
            <w:pPr>
              <w:rPr>
                <w:rFonts w:ascii="Malgun Gothic"/>
                <w:color w:val="000000" w:themeColor="text1"/>
                <w:sz w:val="18"/>
                <w:szCs w:val="18"/>
              </w:rPr>
            </w:pPr>
          </w:p>
        </w:tc>
        <w:tc>
          <w:tcPr>
            <w:tcW w:w="2308" w:type="dxa"/>
            <w:vMerge w:val="restart"/>
            <w:tcBorders>
              <w:right w:val="single" w:color="auto" w:sz="4" w:space="0"/>
            </w:tcBorders>
            <w:vAlign w:val="center"/>
          </w:tcPr>
          <w:p>
            <w:pPr>
              <w:spacing w:before="41" w:line="226" w:lineRule="auto"/>
              <w:ind w:left="112" w:right="176" w:firstLine="5"/>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排放畜禽养殖废弃物超国家</w:t>
            </w:r>
            <w:r>
              <w:rPr>
                <w:rFonts w:ascii="仿宋" w:hAnsi="仿宋" w:eastAsia="仿宋" w:cs="仿宋"/>
                <w:color w:val="000000" w:themeColor="text1"/>
                <w:spacing w:val="-1"/>
                <w:sz w:val="18"/>
                <w:szCs w:val="18"/>
              </w:rPr>
              <w:t>或者地方污染物排放标准不</w:t>
            </w:r>
            <w:r>
              <w:rPr>
                <w:rFonts w:ascii="仿宋" w:hAnsi="仿宋" w:eastAsia="仿宋" w:cs="仿宋"/>
                <w:color w:val="000000" w:themeColor="text1"/>
                <w:spacing w:val="-3"/>
                <w:sz w:val="18"/>
                <w:szCs w:val="18"/>
              </w:rPr>
              <w:t>足5倍或者总量控制指标不</w:t>
            </w:r>
            <w:r>
              <w:rPr>
                <w:rFonts w:ascii="仿宋" w:hAnsi="仿宋" w:eastAsia="仿宋" w:cs="仿宋"/>
                <w:color w:val="000000" w:themeColor="text1"/>
                <w:spacing w:val="-9"/>
                <w:sz w:val="18"/>
                <w:szCs w:val="18"/>
              </w:rPr>
              <w:t>足2倍</w:t>
            </w:r>
          </w:p>
        </w:tc>
        <w:tc>
          <w:tcPr>
            <w:tcW w:w="979"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登记表</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tcPr>
          <w:p>
            <w:pPr>
              <w:rPr>
                <w:rFonts w:ascii="Malgun Gothic"/>
                <w:color w:val="000000" w:themeColor="text1"/>
                <w:sz w:val="18"/>
                <w:szCs w:val="18"/>
              </w:rPr>
            </w:pPr>
          </w:p>
        </w:tc>
        <w:tc>
          <w:tcPr>
            <w:tcW w:w="2308" w:type="dxa"/>
            <w:vMerge w:val="continue"/>
            <w:tcBorders>
              <w:right w:val="single" w:color="auto" w:sz="4" w:space="0"/>
            </w:tcBorders>
            <w:vAlign w:val="center"/>
          </w:tcPr>
          <w:p>
            <w:pPr>
              <w:spacing w:before="41" w:line="226" w:lineRule="auto"/>
              <w:ind w:left="112" w:right="176" w:firstLine="5"/>
              <w:jc w:val="center"/>
              <w:rPr>
                <w:rFonts w:ascii="仿宋" w:hAnsi="仿宋" w:eastAsia="仿宋" w:cs="仿宋"/>
                <w:color w:val="000000" w:themeColor="text1"/>
                <w:spacing w:val="-2"/>
                <w:sz w:val="18"/>
                <w:szCs w:val="18"/>
              </w:rPr>
            </w:pPr>
          </w:p>
        </w:tc>
        <w:tc>
          <w:tcPr>
            <w:tcW w:w="979"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报告书</w:t>
            </w:r>
          </w:p>
        </w:tc>
        <w:tc>
          <w:tcPr>
            <w:tcW w:w="5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tcPr>
          <w:p>
            <w:pPr>
              <w:rPr>
                <w:rFonts w:ascii="Malgun Gothic"/>
                <w:color w:val="000000" w:themeColor="text1"/>
                <w:sz w:val="18"/>
                <w:szCs w:val="18"/>
              </w:rPr>
            </w:pPr>
          </w:p>
        </w:tc>
        <w:tc>
          <w:tcPr>
            <w:tcW w:w="2308" w:type="dxa"/>
            <w:vMerge w:val="restart"/>
            <w:tcBorders>
              <w:right w:val="single" w:color="auto" w:sz="4" w:space="0"/>
            </w:tcBorders>
            <w:vAlign w:val="center"/>
          </w:tcPr>
          <w:p>
            <w:pPr>
              <w:spacing w:before="40" w:line="229" w:lineRule="auto"/>
              <w:ind w:left="112" w:right="296" w:firstLine="5"/>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排放畜禽养殖废弃物超国家</w:t>
            </w:r>
            <w:r>
              <w:rPr>
                <w:rFonts w:ascii="仿宋" w:hAnsi="仿宋" w:eastAsia="仿宋" w:cs="仿宋"/>
                <w:color w:val="000000" w:themeColor="text1"/>
                <w:spacing w:val="-3"/>
                <w:sz w:val="18"/>
                <w:szCs w:val="18"/>
              </w:rPr>
              <w:t>或者地方污染物排放标准5</w:t>
            </w:r>
            <w:r>
              <w:rPr>
                <w:rFonts w:ascii="仿宋" w:hAnsi="仿宋" w:eastAsia="仿宋" w:cs="仿宋"/>
                <w:color w:val="000000" w:themeColor="text1"/>
                <w:spacing w:val="-4"/>
                <w:sz w:val="18"/>
                <w:szCs w:val="18"/>
              </w:rPr>
              <w:t>倍以上不足10倍或者总量</w:t>
            </w:r>
            <w:r>
              <w:rPr>
                <w:rFonts w:ascii="仿宋" w:hAnsi="仿宋" w:eastAsia="仿宋" w:cs="仿宋"/>
                <w:color w:val="000000" w:themeColor="text1"/>
                <w:spacing w:val="-6"/>
                <w:sz w:val="18"/>
                <w:szCs w:val="18"/>
              </w:rPr>
              <w:t>控制指标2倍以上不足3</w:t>
            </w:r>
            <w:r>
              <w:rPr>
                <w:rFonts w:ascii="仿宋" w:hAnsi="仿宋" w:eastAsia="仿宋" w:cs="仿宋"/>
                <w:color w:val="000000" w:themeColor="text1"/>
                <w:sz w:val="18"/>
                <w:szCs w:val="18"/>
              </w:rPr>
              <w:t>倍</w:t>
            </w:r>
          </w:p>
        </w:tc>
        <w:tc>
          <w:tcPr>
            <w:tcW w:w="979"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登记表</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tcPr>
          <w:p>
            <w:pPr>
              <w:rPr>
                <w:rFonts w:ascii="Malgun Gothic"/>
                <w:color w:val="000000" w:themeColor="text1"/>
                <w:sz w:val="18"/>
                <w:szCs w:val="18"/>
              </w:rPr>
            </w:pPr>
          </w:p>
        </w:tc>
        <w:tc>
          <w:tcPr>
            <w:tcW w:w="2308" w:type="dxa"/>
            <w:vMerge w:val="continue"/>
            <w:tcBorders>
              <w:right w:val="single" w:color="auto" w:sz="4" w:space="0"/>
            </w:tcBorders>
            <w:vAlign w:val="center"/>
          </w:tcPr>
          <w:p>
            <w:pPr>
              <w:spacing w:before="40" w:line="229" w:lineRule="auto"/>
              <w:ind w:left="112" w:right="296" w:firstLine="5"/>
              <w:jc w:val="center"/>
              <w:rPr>
                <w:rFonts w:ascii="仿宋" w:hAnsi="仿宋" w:eastAsia="仿宋" w:cs="仿宋"/>
                <w:color w:val="000000" w:themeColor="text1"/>
                <w:spacing w:val="-2"/>
                <w:sz w:val="18"/>
                <w:szCs w:val="18"/>
              </w:rPr>
            </w:pPr>
          </w:p>
        </w:tc>
        <w:tc>
          <w:tcPr>
            <w:tcW w:w="979"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报告书</w:t>
            </w:r>
          </w:p>
        </w:tc>
        <w:tc>
          <w:tcPr>
            <w:tcW w:w="5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84" w:type="dxa"/>
            <w:vMerge w:val="continue"/>
            <w:tcBorders>
              <w:top w:val="nil"/>
            </w:tcBorders>
            <w:vAlign w:val="center"/>
          </w:tcPr>
          <w:p>
            <w:pPr>
              <w:jc w:val="center"/>
              <w:rPr>
                <w:rFonts w:ascii="Malgun Gothic"/>
                <w:color w:val="000000" w:themeColor="text1"/>
                <w:sz w:val="18"/>
                <w:szCs w:val="18"/>
              </w:rPr>
            </w:pPr>
          </w:p>
        </w:tc>
        <w:tc>
          <w:tcPr>
            <w:tcW w:w="1157" w:type="dxa"/>
            <w:vMerge w:val="continue"/>
            <w:tcBorders>
              <w:top w:val="nil"/>
            </w:tcBorders>
          </w:tcPr>
          <w:p>
            <w:pPr>
              <w:rPr>
                <w:rFonts w:ascii="Malgun Gothic"/>
                <w:color w:val="000000" w:themeColor="text1"/>
                <w:sz w:val="18"/>
                <w:szCs w:val="18"/>
              </w:rPr>
            </w:pPr>
          </w:p>
        </w:tc>
        <w:tc>
          <w:tcPr>
            <w:tcW w:w="2308" w:type="dxa"/>
            <w:vMerge w:val="restart"/>
            <w:tcBorders>
              <w:right w:val="single" w:color="auto" w:sz="4" w:space="0"/>
            </w:tcBorders>
            <w:vAlign w:val="center"/>
          </w:tcPr>
          <w:p>
            <w:pPr>
              <w:spacing w:before="42" w:line="226" w:lineRule="auto"/>
              <w:ind w:left="112" w:right="176" w:firstLine="5"/>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排放畜禽养殖废弃物超国家</w:t>
            </w:r>
            <w:r>
              <w:rPr>
                <w:rFonts w:ascii="仿宋" w:hAnsi="仿宋" w:eastAsia="仿宋" w:cs="仿宋"/>
                <w:color w:val="000000" w:themeColor="text1"/>
                <w:spacing w:val="-3"/>
                <w:sz w:val="18"/>
                <w:szCs w:val="18"/>
              </w:rPr>
              <w:t>或者地方污染物排放标准10倍以上或者总量控制指标3倍以上</w:t>
            </w:r>
          </w:p>
        </w:tc>
        <w:tc>
          <w:tcPr>
            <w:tcW w:w="979"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登记表</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420" w:type="dxa"/>
            <w:vMerge w:val="continue"/>
            <w:vAlign w:val="center"/>
          </w:tcPr>
          <w:p>
            <w:pPr>
              <w:jc w:val="center"/>
              <w:rPr>
                <w:rFonts w:ascii="Malgun Gothic"/>
                <w:color w:val="000000" w:themeColor="text1"/>
                <w:sz w:val="18"/>
                <w:szCs w:val="18"/>
              </w:rPr>
            </w:pPr>
          </w:p>
        </w:tc>
        <w:tc>
          <w:tcPr>
            <w:tcW w:w="1584" w:type="dxa"/>
            <w:vMerge w:val="continue"/>
            <w:vAlign w:val="center"/>
          </w:tcPr>
          <w:p>
            <w:pPr>
              <w:jc w:val="center"/>
              <w:rPr>
                <w:rFonts w:ascii="Malgun Gothic"/>
                <w:color w:val="000000" w:themeColor="text1"/>
                <w:sz w:val="18"/>
                <w:szCs w:val="18"/>
              </w:rPr>
            </w:pPr>
          </w:p>
        </w:tc>
        <w:tc>
          <w:tcPr>
            <w:tcW w:w="1157" w:type="dxa"/>
            <w:vMerge w:val="continue"/>
          </w:tcPr>
          <w:p>
            <w:pPr>
              <w:rPr>
                <w:rFonts w:ascii="Malgun Gothic"/>
                <w:color w:val="000000" w:themeColor="text1"/>
                <w:sz w:val="18"/>
                <w:szCs w:val="18"/>
              </w:rPr>
            </w:pPr>
          </w:p>
        </w:tc>
        <w:tc>
          <w:tcPr>
            <w:tcW w:w="2308" w:type="dxa"/>
            <w:vMerge w:val="continue"/>
            <w:tcBorders>
              <w:right w:val="single" w:color="auto" w:sz="4" w:space="0"/>
            </w:tcBorders>
            <w:vAlign w:val="center"/>
          </w:tcPr>
          <w:p>
            <w:pPr>
              <w:spacing w:before="42" w:line="226" w:lineRule="auto"/>
              <w:ind w:left="112" w:right="176" w:firstLine="5"/>
              <w:jc w:val="center"/>
              <w:rPr>
                <w:rFonts w:ascii="仿宋" w:hAnsi="仿宋" w:eastAsia="仿宋" w:cs="仿宋"/>
                <w:color w:val="000000" w:themeColor="text1"/>
                <w:spacing w:val="-2"/>
                <w:sz w:val="18"/>
                <w:szCs w:val="18"/>
              </w:rPr>
            </w:pPr>
          </w:p>
        </w:tc>
        <w:tc>
          <w:tcPr>
            <w:tcW w:w="979"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报告书</w:t>
            </w:r>
          </w:p>
        </w:tc>
        <w:tc>
          <w:tcPr>
            <w:tcW w:w="5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4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restart"/>
            <w:vAlign w:val="center"/>
          </w:tcPr>
          <w:p>
            <w:pPr>
              <w:spacing w:before="205" w:line="184" w:lineRule="auto"/>
              <w:ind w:firstLine="24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584" w:type="dxa"/>
            <w:vMerge w:val="restart"/>
            <w:vAlign w:val="center"/>
          </w:tcPr>
          <w:p>
            <w:pPr>
              <w:spacing w:before="205" w:line="184" w:lineRule="auto"/>
              <w:ind w:firstLine="207"/>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1157" w:type="dxa"/>
            <w:vMerge w:val="restart"/>
          </w:tcPr>
          <w:p>
            <w:pPr>
              <w:spacing w:before="205" w:line="184" w:lineRule="auto"/>
              <w:ind w:firstLine="178"/>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287" w:type="dxa"/>
            <w:gridSpan w:val="2"/>
          </w:tcPr>
          <w:p>
            <w:pPr>
              <w:spacing w:before="44"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Pr>
          <w:p>
            <w:pPr>
              <w:rPr>
                <w:rFonts w:ascii="Malgun Gothic"/>
                <w:color w:val="000000" w:themeColor="text1"/>
                <w:sz w:val="18"/>
                <w:szCs w:val="18"/>
              </w:rPr>
            </w:pPr>
          </w:p>
        </w:tc>
        <w:tc>
          <w:tcPr>
            <w:tcW w:w="1584" w:type="dxa"/>
            <w:vMerge w:val="continue"/>
          </w:tcPr>
          <w:p>
            <w:pPr>
              <w:rPr>
                <w:rFonts w:ascii="Malgun Gothic"/>
                <w:color w:val="000000" w:themeColor="text1"/>
                <w:sz w:val="18"/>
                <w:szCs w:val="18"/>
              </w:rPr>
            </w:pPr>
          </w:p>
        </w:tc>
        <w:tc>
          <w:tcPr>
            <w:tcW w:w="1157" w:type="dxa"/>
            <w:vMerge w:val="continue"/>
          </w:tcPr>
          <w:p>
            <w:pPr>
              <w:rPr>
                <w:rFonts w:ascii="Malgun Gothic"/>
                <w:color w:val="000000" w:themeColor="text1"/>
                <w:sz w:val="18"/>
                <w:szCs w:val="18"/>
              </w:rPr>
            </w:pPr>
          </w:p>
        </w:tc>
        <w:tc>
          <w:tcPr>
            <w:tcW w:w="3287" w:type="dxa"/>
            <w:gridSpan w:val="2"/>
          </w:tcPr>
          <w:p>
            <w:pPr>
              <w:spacing w:before="43"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Pr>
          <w:p>
            <w:pPr>
              <w:rPr>
                <w:rFonts w:ascii="Malgun Gothic"/>
                <w:color w:val="000000" w:themeColor="text1"/>
                <w:sz w:val="18"/>
                <w:szCs w:val="18"/>
              </w:rPr>
            </w:pPr>
          </w:p>
        </w:tc>
        <w:tc>
          <w:tcPr>
            <w:tcW w:w="1584" w:type="dxa"/>
            <w:vMerge w:val="continue"/>
          </w:tcPr>
          <w:p>
            <w:pPr>
              <w:rPr>
                <w:rFonts w:ascii="Malgun Gothic"/>
                <w:color w:val="000000" w:themeColor="text1"/>
                <w:sz w:val="18"/>
                <w:szCs w:val="18"/>
              </w:rPr>
            </w:pPr>
          </w:p>
        </w:tc>
        <w:tc>
          <w:tcPr>
            <w:tcW w:w="1157" w:type="dxa"/>
            <w:vMerge w:val="continue"/>
          </w:tcPr>
          <w:p>
            <w:pPr>
              <w:rPr>
                <w:rFonts w:ascii="Malgun Gothic"/>
                <w:color w:val="000000" w:themeColor="text1"/>
                <w:sz w:val="18"/>
                <w:szCs w:val="18"/>
              </w:rPr>
            </w:pPr>
          </w:p>
        </w:tc>
        <w:tc>
          <w:tcPr>
            <w:tcW w:w="3287" w:type="dxa"/>
            <w:gridSpan w:val="2"/>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Pr>
          <w:p>
            <w:pPr>
              <w:rPr>
                <w:rFonts w:ascii="Malgun Gothic"/>
                <w:color w:val="000000" w:themeColor="text1"/>
                <w:sz w:val="18"/>
                <w:szCs w:val="18"/>
              </w:rPr>
            </w:pPr>
          </w:p>
        </w:tc>
        <w:tc>
          <w:tcPr>
            <w:tcW w:w="1584" w:type="dxa"/>
            <w:vMerge w:val="continue"/>
          </w:tcPr>
          <w:p>
            <w:pPr>
              <w:rPr>
                <w:rFonts w:ascii="Malgun Gothic"/>
                <w:color w:val="000000" w:themeColor="text1"/>
                <w:sz w:val="18"/>
                <w:szCs w:val="18"/>
              </w:rPr>
            </w:pPr>
          </w:p>
        </w:tc>
        <w:tc>
          <w:tcPr>
            <w:tcW w:w="1157" w:type="dxa"/>
            <w:vMerge w:val="continue"/>
          </w:tcPr>
          <w:p>
            <w:pPr>
              <w:rPr>
                <w:rFonts w:ascii="Malgun Gothic"/>
                <w:color w:val="000000" w:themeColor="text1"/>
                <w:sz w:val="18"/>
                <w:szCs w:val="18"/>
              </w:rPr>
            </w:pPr>
          </w:p>
        </w:tc>
        <w:tc>
          <w:tcPr>
            <w:tcW w:w="3287" w:type="dxa"/>
            <w:gridSpan w:val="2"/>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584"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115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37"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37" w:line="212" w:lineRule="auto"/>
              <w:ind w:left="122" w:right="29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84" w:type="dxa"/>
            <w:vMerge w:val="continue"/>
            <w:tcBorders>
              <w:top w:val="nil"/>
            </w:tcBorders>
            <w:vAlign w:val="center"/>
          </w:tcPr>
          <w:p>
            <w:pPr>
              <w:jc w:val="center"/>
              <w:rPr>
                <w:rFonts w:ascii="Malgun Gothic"/>
                <w:color w:val="000000" w:themeColor="text1"/>
                <w:sz w:val="18"/>
                <w:szCs w:val="18"/>
              </w:rPr>
            </w:pPr>
          </w:p>
        </w:tc>
        <w:tc>
          <w:tcPr>
            <w:tcW w:w="1157"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restart"/>
            <w:tcBorders>
              <w:bottom w:val="nil"/>
            </w:tcBorders>
            <w:vAlign w:val="center"/>
          </w:tcPr>
          <w:p>
            <w:pPr>
              <w:spacing w:before="52" w:line="212" w:lineRule="auto"/>
              <w:ind w:left="240" w:right="224"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584" w:type="dxa"/>
            <w:vMerge w:val="restart"/>
            <w:tcBorders>
              <w:bottom w:val="nil"/>
            </w:tcBorders>
            <w:vAlign w:val="center"/>
          </w:tcPr>
          <w:p>
            <w:pPr>
              <w:spacing w:before="52" w:line="212" w:lineRule="auto"/>
              <w:ind w:left="788" w:right="308"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52" w:line="212" w:lineRule="auto"/>
              <w:ind w:left="788" w:right="308"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1157" w:type="dxa"/>
            <w:vMerge w:val="restart"/>
            <w:tcBorders>
              <w:bottom w:val="nil"/>
            </w:tcBorders>
            <w:vAlign w:val="center"/>
          </w:tcPr>
          <w:p>
            <w:pPr>
              <w:spacing w:before="20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48"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84" w:type="dxa"/>
            <w:vMerge w:val="continue"/>
            <w:tcBorders>
              <w:top w:val="nil"/>
            </w:tcBorders>
            <w:vAlign w:val="center"/>
          </w:tcPr>
          <w:p>
            <w:pPr>
              <w:jc w:val="center"/>
              <w:rPr>
                <w:rFonts w:ascii="Malgun Gothic"/>
                <w:color w:val="000000" w:themeColor="text1"/>
                <w:sz w:val="18"/>
                <w:szCs w:val="18"/>
              </w:rPr>
            </w:pPr>
          </w:p>
        </w:tc>
        <w:tc>
          <w:tcPr>
            <w:tcW w:w="1157"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58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是否造成社会影响或生态破坏</w:t>
            </w:r>
          </w:p>
        </w:tc>
        <w:tc>
          <w:tcPr>
            <w:tcW w:w="115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287"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56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0%</w:t>
            </w:r>
          </w:p>
        </w:tc>
        <w:tc>
          <w:tcPr>
            <w:tcW w:w="549"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49"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58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5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4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1584"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1157"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49"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420"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1584"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1157"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4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4" w:hRule="atLeast"/>
        </w:trPr>
        <w:tc>
          <w:tcPr>
            <w:tcW w:w="8564"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4" w:hRule="atLeast"/>
        </w:trPr>
        <w:tc>
          <w:tcPr>
            <w:tcW w:w="8564"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37" w:line="184" w:lineRule="auto"/>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1.《畜禽规模养殖污染防治条例》第二十条向环境排放经过处理的畜禽养殖废弃物，应当符合国家和地方规定的污染物排放标准和总量控制指标。畜禽养殖废弃物未经处理，不得直接向环境排放。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四十一条排放畜禽养殖废弃物不符合国家或者地方规定的污染物排放标准或者总量控制指标，或者未经无害化处理直接向环境排放畜禽养殖废弃物的，由县级以上地方人民政府环境保护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责令限期治理，可以处5万元以下的罚款。县级以上地方人民政府环境保护主管部门作出限期治理决定后，应当会同同级人民政府农牧等有关部门对整改措施的落实情况及时进行核查，并向社会公布核查结果。</w:t>
      </w:r>
    </w:p>
    <w:p>
      <w:pPr>
        <w:spacing w:before="73"/>
        <w:ind w:right="108"/>
        <w:rPr>
          <w:rFonts w:ascii="仿宋_GB2312" w:hAnsi="仿宋_GB2312" w:eastAsia="仿宋_GB2312" w:cs="仿宋_GB2312"/>
          <w:color w:val="000000" w:themeColor="text1"/>
          <w:szCs w:val="21"/>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jc w:val="center"/>
        <w:outlineLvl w:val="1"/>
        <w:rPr>
          <w:rFonts w:ascii="仿宋" w:hAnsi="仿宋" w:eastAsia="仿宋" w:cs="仿宋"/>
          <w:b/>
          <w:bCs/>
          <w:color w:val="000000" w:themeColor="text1"/>
          <w:sz w:val="24"/>
        </w:rPr>
      </w:pPr>
      <w:bookmarkStart w:id="416" w:name="_Toc25154"/>
      <w:bookmarkStart w:id="417" w:name="_Toc31485"/>
      <w:r>
        <w:rPr>
          <w:rFonts w:hint="eastAsia" w:ascii="仿宋" w:hAnsi="仿宋" w:eastAsia="仿宋" w:cs="仿宋"/>
          <w:b/>
          <w:bCs/>
          <w:color w:val="000000" w:themeColor="text1"/>
          <w:sz w:val="24"/>
        </w:rPr>
        <w:t>表147不实施强制性清洁生产审核或者在清洁生产审核中弄虚作假的，或者实施强制性清洁生产审核的企业不报告或者不如实报告审核结果的罚款幅度裁定</w:t>
      </w:r>
      <w:bookmarkEnd w:id="416"/>
      <w:bookmarkEnd w:id="417"/>
    </w:p>
    <w:tbl>
      <w:tblPr>
        <w:tblStyle w:val="15"/>
        <w:tblW w:w="8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719"/>
        <w:gridCol w:w="1022"/>
        <w:gridCol w:w="2398"/>
        <w:gridCol w:w="889"/>
        <w:gridCol w:w="580"/>
        <w:gridCol w:w="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61"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3" w:type="dxa"/>
            <w:gridSpan w:val="4"/>
          </w:tcPr>
          <w:p>
            <w:pPr>
              <w:spacing w:before="176"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420" w:type="dxa"/>
          </w:tcPr>
          <w:p>
            <w:pPr>
              <w:spacing w:before="197" w:line="184" w:lineRule="auto"/>
              <w:ind w:firstLine="484"/>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19" w:type="dxa"/>
          </w:tcPr>
          <w:p>
            <w:pPr>
              <w:spacing w:before="206" w:line="185" w:lineRule="auto"/>
              <w:ind w:firstLine="599"/>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22" w:type="dxa"/>
          </w:tcPr>
          <w:p>
            <w:pPr>
              <w:spacing w:before="197" w:line="184" w:lineRule="auto"/>
              <w:ind w:firstLine="162" w:firstLineChars="10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287" w:type="dxa"/>
            <w:gridSpan w:val="2"/>
          </w:tcPr>
          <w:p>
            <w:pPr>
              <w:spacing w:before="197" w:line="184" w:lineRule="auto"/>
              <w:ind w:firstLine="1506" w:firstLineChars="93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80" w:type="dxa"/>
            <w:tcBorders>
              <w:right w:val="single" w:color="auto" w:sz="4" w:space="0"/>
            </w:tcBorders>
          </w:tcPr>
          <w:p>
            <w:pPr>
              <w:spacing w:before="206"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6" w:type="dxa"/>
            <w:tcBorders>
              <w:left w:val="single" w:color="auto" w:sz="4" w:space="0"/>
            </w:tcBorders>
          </w:tcPr>
          <w:p>
            <w:pPr>
              <w:spacing w:before="206"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0" w:type="dxa"/>
            <w:vMerge w:val="restart"/>
            <w:tcBorders>
              <w:bottom w:val="nil"/>
            </w:tcBorders>
            <w:vAlign w:val="center"/>
          </w:tcPr>
          <w:p>
            <w:pPr>
              <w:spacing w:before="79"/>
              <w:ind w:right="224"/>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3"/>
                <w:sz w:val="18"/>
                <w:szCs w:val="18"/>
              </w:rPr>
              <w:t>响</w:t>
            </w:r>
            <w:r>
              <w:rPr>
                <w:rFonts w:ascii="仿宋" w:hAnsi="仿宋" w:eastAsia="仿宋" w:cs="仿宋"/>
                <w:color w:val="000000" w:themeColor="text1"/>
                <w:spacing w:val="-5"/>
                <w:sz w:val="18"/>
                <w:szCs w:val="18"/>
              </w:rPr>
              <w:t>程度</w:t>
            </w:r>
          </w:p>
        </w:tc>
        <w:tc>
          <w:tcPr>
            <w:tcW w:w="171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102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398" w:type="dxa"/>
            <w:vMerge w:val="restart"/>
            <w:tcBorders>
              <w:right w:val="single" w:color="auto" w:sz="4" w:space="0"/>
            </w:tcBorders>
            <w:vAlign w:val="center"/>
          </w:tcPr>
          <w:p>
            <w:pPr>
              <w:spacing w:before="42" w:line="221" w:lineRule="auto"/>
              <w:ind w:left="117" w:right="296" w:firstLine="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实施强制性清洁生产审核的</w:t>
            </w:r>
            <w:r>
              <w:rPr>
                <w:rFonts w:ascii="仿宋" w:hAnsi="仿宋" w:eastAsia="仿宋" w:cs="仿宋"/>
                <w:color w:val="000000" w:themeColor="text1"/>
                <w:spacing w:val="-1"/>
                <w:sz w:val="18"/>
                <w:szCs w:val="18"/>
              </w:rPr>
              <w:t>企业不向主管部门如实报告</w:t>
            </w:r>
            <w:r>
              <w:rPr>
                <w:rFonts w:ascii="仿宋" w:hAnsi="仿宋" w:eastAsia="仿宋" w:cs="仿宋"/>
                <w:color w:val="000000" w:themeColor="text1"/>
                <w:spacing w:val="-3"/>
                <w:sz w:val="18"/>
                <w:szCs w:val="18"/>
              </w:rPr>
              <w:t>审核结果的</w:t>
            </w:r>
          </w:p>
        </w:tc>
        <w:tc>
          <w:tcPr>
            <w:tcW w:w="889" w:type="dxa"/>
            <w:tcBorders>
              <w:left w:val="single" w:color="auto" w:sz="4" w:space="0"/>
              <w:bottom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报告表</w:t>
            </w:r>
          </w:p>
        </w:tc>
        <w:tc>
          <w:tcPr>
            <w:tcW w:w="580"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0" w:type="dxa"/>
            <w:vMerge w:val="continue"/>
            <w:vAlign w:val="center"/>
          </w:tcPr>
          <w:p>
            <w:pPr>
              <w:spacing w:before="79"/>
              <w:ind w:right="224"/>
              <w:jc w:val="center"/>
              <w:rPr>
                <w:rFonts w:ascii="仿宋" w:hAnsi="仿宋" w:eastAsia="仿宋" w:cs="仿宋"/>
                <w:color w:val="000000" w:themeColor="text1"/>
                <w:spacing w:val="-3"/>
                <w:sz w:val="18"/>
                <w:szCs w:val="18"/>
              </w:rPr>
            </w:pPr>
          </w:p>
        </w:tc>
        <w:tc>
          <w:tcPr>
            <w:tcW w:w="171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022"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398" w:type="dxa"/>
            <w:vMerge w:val="continue"/>
            <w:tcBorders>
              <w:right w:val="single" w:color="auto" w:sz="4" w:space="0"/>
            </w:tcBorders>
            <w:vAlign w:val="center"/>
          </w:tcPr>
          <w:p>
            <w:pPr>
              <w:spacing w:before="42" w:line="221" w:lineRule="auto"/>
              <w:ind w:left="117" w:right="296" w:firstLine="10"/>
              <w:jc w:val="center"/>
              <w:rPr>
                <w:rFonts w:ascii="仿宋" w:hAnsi="仿宋" w:eastAsia="仿宋" w:cs="仿宋"/>
                <w:color w:val="000000" w:themeColor="text1"/>
                <w:spacing w:val="-2"/>
                <w:sz w:val="18"/>
                <w:szCs w:val="18"/>
              </w:rPr>
            </w:pPr>
          </w:p>
        </w:tc>
        <w:tc>
          <w:tcPr>
            <w:tcW w:w="889" w:type="dxa"/>
            <w:tcBorders>
              <w:top w:val="single" w:color="auto" w:sz="4" w:space="0"/>
              <w:left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报告书</w:t>
            </w:r>
          </w:p>
        </w:tc>
        <w:tc>
          <w:tcPr>
            <w:tcW w:w="580"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0" w:type="dxa"/>
            <w:vMerge w:val="continue"/>
            <w:tcBorders>
              <w:top w:val="nil"/>
              <w:bottom w:val="nil"/>
            </w:tcBorders>
          </w:tcPr>
          <w:p>
            <w:pPr>
              <w:rPr>
                <w:rFonts w:ascii="Malgun Gothic"/>
                <w:color w:val="000000" w:themeColor="text1"/>
                <w:sz w:val="18"/>
                <w:szCs w:val="18"/>
              </w:rPr>
            </w:pPr>
          </w:p>
        </w:tc>
        <w:tc>
          <w:tcPr>
            <w:tcW w:w="1719" w:type="dxa"/>
            <w:vMerge w:val="continue"/>
            <w:tcBorders>
              <w:top w:val="nil"/>
              <w:bottom w:val="nil"/>
            </w:tcBorders>
          </w:tcPr>
          <w:p>
            <w:pPr>
              <w:rPr>
                <w:rFonts w:ascii="Malgun Gothic"/>
                <w:color w:val="000000" w:themeColor="text1"/>
                <w:sz w:val="18"/>
                <w:szCs w:val="18"/>
              </w:rPr>
            </w:pPr>
          </w:p>
        </w:tc>
        <w:tc>
          <w:tcPr>
            <w:tcW w:w="1022" w:type="dxa"/>
            <w:vMerge w:val="continue"/>
            <w:tcBorders>
              <w:top w:val="nil"/>
              <w:bottom w:val="nil"/>
            </w:tcBorders>
          </w:tcPr>
          <w:p>
            <w:pPr>
              <w:rPr>
                <w:rFonts w:ascii="Malgun Gothic"/>
                <w:color w:val="000000" w:themeColor="text1"/>
                <w:sz w:val="18"/>
                <w:szCs w:val="18"/>
              </w:rPr>
            </w:pPr>
          </w:p>
        </w:tc>
        <w:tc>
          <w:tcPr>
            <w:tcW w:w="2398" w:type="dxa"/>
            <w:vMerge w:val="restart"/>
            <w:tcBorders>
              <w:right w:val="single" w:color="auto" w:sz="4" w:space="0"/>
            </w:tcBorders>
            <w:vAlign w:val="center"/>
          </w:tcPr>
          <w:p>
            <w:pPr>
              <w:spacing w:before="43" w:line="221" w:lineRule="auto"/>
              <w:ind w:left="117" w:right="296" w:firstLine="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实施强制性清洁生产审核的</w:t>
            </w:r>
            <w:r>
              <w:rPr>
                <w:rFonts w:ascii="仿宋" w:hAnsi="仿宋" w:eastAsia="仿宋" w:cs="仿宋"/>
                <w:color w:val="000000" w:themeColor="text1"/>
                <w:spacing w:val="-1"/>
                <w:sz w:val="18"/>
                <w:szCs w:val="18"/>
              </w:rPr>
              <w:t>企业不向主管部门报告审核</w:t>
            </w:r>
            <w:r>
              <w:rPr>
                <w:rFonts w:ascii="仿宋" w:hAnsi="仿宋" w:eastAsia="仿宋" w:cs="仿宋"/>
                <w:color w:val="000000" w:themeColor="text1"/>
                <w:spacing w:val="-4"/>
                <w:sz w:val="18"/>
                <w:szCs w:val="18"/>
              </w:rPr>
              <w:t>结果的</w:t>
            </w:r>
          </w:p>
        </w:tc>
        <w:tc>
          <w:tcPr>
            <w:tcW w:w="889" w:type="dxa"/>
            <w:tcBorders>
              <w:left w:val="single" w:color="auto" w:sz="4" w:space="0"/>
              <w:bottom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报告表</w:t>
            </w:r>
          </w:p>
        </w:tc>
        <w:tc>
          <w:tcPr>
            <w:tcW w:w="580"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0" w:type="dxa"/>
            <w:vMerge w:val="continue"/>
            <w:tcBorders>
              <w:top w:val="nil"/>
              <w:bottom w:val="nil"/>
            </w:tcBorders>
          </w:tcPr>
          <w:p>
            <w:pPr>
              <w:rPr>
                <w:rFonts w:ascii="Malgun Gothic"/>
                <w:color w:val="000000" w:themeColor="text1"/>
                <w:sz w:val="18"/>
                <w:szCs w:val="18"/>
              </w:rPr>
            </w:pPr>
          </w:p>
        </w:tc>
        <w:tc>
          <w:tcPr>
            <w:tcW w:w="1719" w:type="dxa"/>
            <w:vMerge w:val="continue"/>
            <w:tcBorders>
              <w:top w:val="nil"/>
              <w:bottom w:val="nil"/>
            </w:tcBorders>
          </w:tcPr>
          <w:p>
            <w:pPr>
              <w:rPr>
                <w:rFonts w:ascii="Malgun Gothic"/>
                <w:color w:val="000000" w:themeColor="text1"/>
                <w:sz w:val="18"/>
                <w:szCs w:val="18"/>
              </w:rPr>
            </w:pPr>
          </w:p>
        </w:tc>
        <w:tc>
          <w:tcPr>
            <w:tcW w:w="1022" w:type="dxa"/>
            <w:vMerge w:val="continue"/>
            <w:tcBorders>
              <w:top w:val="nil"/>
              <w:bottom w:val="nil"/>
            </w:tcBorders>
          </w:tcPr>
          <w:p>
            <w:pPr>
              <w:rPr>
                <w:rFonts w:ascii="Malgun Gothic"/>
                <w:color w:val="000000" w:themeColor="text1"/>
                <w:sz w:val="18"/>
                <w:szCs w:val="18"/>
              </w:rPr>
            </w:pPr>
          </w:p>
        </w:tc>
        <w:tc>
          <w:tcPr>
            <w:tcW w:w="2398" w:type="dxa"/>
            <w:vMerge w:val="continue"/>
            <w:tcBorders>
              <w:right w:val="single" w:color="auto" w:sz="4" w:space="0"/>
            </w:tcBorders>
            <w:vAlign w:val="center"/>
          </w:tcPr>
          <w:p>
            <w:pPr>
              <w:spacing w:before="43" w:line="221" w:lineRule="auto"/>
              <w:ind w:left="117" w:right="296" w:firstLine="10"/>
              <w:jc w:val="center"/>
              <w:rPr>
                <w:rFonts w:ascii="仿宋" w:hAnsi="仿宋" w:eastAsia="仿宋" w:cs="仿宋"/>
                <w:color w:val="000000" w:themeColor="text1"/>
                <w:spacing w:val="-2"/>
                <w:sz w:val="18"/>
                <w:szCs w:val="18"/>
              </w:rPr>
            </w:pPr>
          </w:p>
        </w:tc>
        <w:tc>
          <w:tcPr>
            <w:tcW w:w="889" w:type="dxa"/>
            <w:tcBorders>
              <w:top w:val="single" w:color="auto" w:sz="4" w:space="0"/>
              <w:left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报告书</w:t>
            </w:r>
          </w:p>
        </w:tc>
        <w:tc>
          <w:tcPr>
            <w:tcW w:w="580"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0" w:type="dxa"/>
            <w:vMerge w:val="continue"/>
            <w:tcBorders>
              <w:top w:val="nil"/>
              <w:bottom w:val="nil"/>
            </w:tcBorders>
          </w:tcPr>
          <w:p>
            <w:pPr>
              <w:rPr>
                <w:rFonts w:ascii="Malgun Gothic"/>
                <w:color w:val="000000" w:themeColor="text1"/>
                <w:sz w:val="18"/>
                <w:szCs w:val="18"/>
              </w:rPr>
            </w:pPr>
          </w:p>
        </w:tc>
        <w:tc>
          <w:tcPr>
            <w:tcW w:w="1719" w:type="dxa"/>
            <w:vMerge w:val="continue"/>
            <w:tcBorders>
              <w:top w:val="nil"/>
              <w:bottom w:val="nil"/>
            </w:tcBorders>
          </w:tcPr>
          <w:p>
            <w:pPr>
              <w:rPr>
                <w:rFonts w:ascii="Malgun Gothic"/>
                <w:color w:val="000000" w:themeColor="text1"/>
                <w:sz w:val="18"/>
                <w:szCs w:val="18"/>
              </w:rPr>
            </w:pPr>
          </w:p>
        </w:tc>
        <w:tc>
          <w:tcPr>
            <w:tcW w:w="1022" w:type="dxa"/>
            <w:vMerge w:val="continue"/>
            <w:tcBorders>
              <w:top w:val="nil"/>
              <w:bottom w:val="nil"/>
            </w:tcBorders>
          </w:tcPr>
          <w:p>
            <w:pPr>
              <w:rPr>
                <w:rFonts w:ascii="Malgun Gothic"/>
                <w:color w:val="000000" w:themeColor="text1"/>
                <w:sz w:val="18"/>
                <w:szCs w:val="18"/>
              </w:rPr>
            </w:pPr>
          </w:p>
        </w:tc>
        <w:tc>
          <w:tcPr>
            <w:tcW w:w="2398" w:type="dxa"/>
            <w:vMerge w:val="restart"/>
            <w:tcBorders>
              <w:right w:val="single" w:color="auto" w:sz="4" w:space="0"/>
            </w:tcBorders>
            <w:vAlign w:val="center"/>
          </w:tcPr>
          <w:p>
            <w:pPr>
              <w:spacing w:before="43" w:line="221" w:lineRule="auto"/>
              <w:ind w:left="114" w:right="296" w:firstLine="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应当实施强制性清洁生产审</w:t>
            </w:r>
            <w:r>
              <w:rPr>
                <w:rFonts w:ascii="仿宋" w:hAnsi="仿宋" w:eastAsia="仿宋" w:cs="仿宋"/>
                <w:color w:val="000000" w:themeColor="text1"/>
                <w:spacing w:val="-1"/>
                <w:sz w:val="18"/>
                <w:szCs w:val="18"/>
              </w:rPr>
              <w:t>核的企业在清洁生产审核中</w:t>
            </w:r>
            <w:r>
              <w:rPr>
                <w:rFonts w:ascii="仿宋" w:hAnsi="仿宋" w:eastAsia="仿宋" w:cs="仿宋"/>
                <w:color w:val="000000" w:themeColor="text1"/>
                <w:spacing w:val="-2"/>
                <w:sz w:val="18"/>
                <w:szCs w:val="18"/>
              </w:rPr>
              <w:t>弄虚作假的</w:t>
            </w:r>
          </w:p>
        </w:tc>
        <w:tc>
          <w:tcPr>
            <w:tcW w:w="889" w:type="dxa"/>
            <w:tcBorders>
              <w:left w:val="single" w:color="auto" w:sz="4" w:space="0"/>
              <w:bottom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报告表</w:t>
            </w:r>
          </w:p>
        </w:tc>
        <w:tc>
          <w:tcPr>
            <w:tcW w:w="580"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0" w:type="dxa"/>
            <w:vMerge w:val="continue"/>
            <w:tcBorders>
              <w:top w:val="nil"/>
              <w:bottom w:val="nil"/>
            </w:tcBorders>
          </w:tcPr>
          <w:p>
            <w:pPr>
              <w:rPr>
                <w:rFonts w:ascii="Malgun Gothic"/>
                <w:color w:val="000000" w:themeColor="text1"/>
                <w:sz w:val="18"/>
                <w:szCs w:val="18"/>
              </w:rPr>
            </w:pPr>
          </w:p>
        </w:tc>
        <w:tc>
          <w:tcPr>
            <w:tcW w:w="1719" w:type="dxa"/>
            <w:vMerge w:val="continue"/>
            <w:tcBorders>
              <w:top w:val="nil"/>
              <w:bottom w:val="nil"/>
            </w:tcBorders>
          </w:tcPr>
          <w:p>
            <w:pPr>
              <w:rPr>
                <w:rFonts w:ascii="Malgun Gothic"/>
                <w:color w:val="000000" w:themeColor="text1"/>
                <w:sz w:val="18"/>
                <w:szCs w:val="18"/>
              </w:rPr>
            </w:pPr>
          </w:p>
        </w:tc>
        <w:tc>
          <w:tcPr>
            <w:tcW w:w="1022" w:type="dxa"/>
            <w:vMerge w:val="continue"/>
            <w:tcBorders>
              <w:top w:val="nil"/>
              <w:bottom w:val="nil"/>
            </w:tcBorders>
          </w:tcPr>
          <w:p>
            <w:pPr>
              <w:rPr>
                <w:rFonts w:ascii="Malgun Gothic"/>
                <w:color w:val="000000" w:themeColor="text1"/>
                <w:sz w:val="18"/>
                <w:szCs w:val="18"/>
              </w:rPr>
            </w:pPr>
          </w:p>
        </w:tc>
        <w:tc>
          <w:tcPr>
            <w:tcW w:w="2398" w:type="dxa"/>
            <w:vMerge w:val="continue"/>
            <w:tcBorders>
              <w:right w:val="single" w:color="auto" w:sz="4" w:space="0"/>
            </w:tcBorders>
            <w:vAlign w:val="center"/>
          </w:tcPr>
          <w:p>
            <w:pPr>
              <w:spacing w:before="43" w:line="221" w:lineRule="auto"/>
              <w:ind w:left="114" w:right="296" w:firstLine="6"/>
              <w:jc w:val="center"/>
              <w:rPr>
                <w:rFonts w:ascii="仿宋" w:hAnsi="仿宋" w:eastAsia="仿宋" w:cs="仿宋"/>
                <w:color w:val="000000" w:themeColor="text1"/>
                <w:spacing w:val="-2"/>
                <w:sz w:val="18"/>
                <w:szCs w:val="18"/>
              </w:rPr>
            </w:pPr>
          </w:p>
        </w:tc>
        <w:tc>
          <w:tcPr>
            <w:tcW w:w="889" w:type="dxa"/>
            <w:tcBorders>
              <w:top w:val="single" w:color="auto" w:sz="4" w:space="0"/>
              <w:left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报告书</w:t>
            </w:r>
          </w:p>
        </w:tc>
        <w:tc>
          <w:tcPr>
            <w:tcW w:w="580"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0" w:type="dxa"/>
            <w:vMerge w:val="continue"/>
            <w:tcBorders>
              <w:top w:val="nil"/>
            </w:tcBorders>
          </w:tcPr>
          <w:p>
            <w:pPr>
              <w:rPr>
                <w:rFonts w:ascii="Malgun Gothic"/>
                <w:color w:val="000000" w:themeColor="text1"/>
                <w:sz w:val="18"/>
                <w:szCs w:val="18"/>
              </w:rPr>
            </w:pPr>
          </w:p>
        </w:tc>
        <w:tc>
          <w:tcPr>
            <w:tcW w:w="1719" w:type="dxa"/>
            <w:vMerge w:val="continue"/>
            <w:tcBorders>
              <w:top w:val="nil"/>
            </w:tcBorders>
          </w:tcPr>
          <w:p>
            <w:pPr>
              <w:rPr>
                <w:rFonts w:ascii="Malgun Gothic"/>
                <w:color w:val="000000" w:themeColor="text1"/>
                <w:sz w:val="18"/>
                <w:szCs w:val="18"/>
              </w:rPr>
            </w:pPr>
          </w:p>
        </w:tc>
        <w:tc>
          <w:tcPr>
            <w:tcW w:w="1022" w:type="dxa"/>
            <w:vMerge w:val="continue"/>
            <w:tcBorders>
              <w:top w:val="nil"/>
            </w:tcBorders>
          </w:tcPr>
          <w:p>
            <w:pPr>
              <w:rPr>
                <w:rFonts w:ascii="Malgun Gothic"/>
                <w:color w:val="000000" w:themeColor="text1"/>
                <w:sz w:val="18"/>
                <w:szCs w:val="18"/>
              </w:rPr>
            </w:pPr>
          </w:p>
        </w:tc>
        <w:tc>
          <w:tcPr>
            <w:tcW w:w="2398" w:type="dxa"/>
            <w:vMerge w:val="restart"/>
            <w:tcBorders>
              <w:right w:val="single" w:color="auto" w:sz="4" w:space="0"/>
            </w:tcBorders>
            <w:vAlign w:val="center"/>
          </w:tcPr>
          <w:p>
            <w:pPr>
              <w:spacing w:before="42" w:line="221" w:lineRule="auto"/>
              <w:ind w:left="114" w:right="296" w:firstLine="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应当实施强制性清洁生产审</w:t>
            </w:r>
            <w:r>
              <w:rPr>
                <w:rFonts w:ascii="仿宋" w:hAnsi="仿宋" w:eastAsia="仿宋" w:cs="仿宋"/>
                <w:color w:val="000000" w:themeColor="text1"/>
                <w:spacing w:val="-1"/>
                <w:sz w:val="18"/>
                <w:szCs w:val="18"/>
              </w:rPr>
              <w:t>核的企业不实施强制性清洁</w:t>
            </w:r>
            <w:r>
              <w:rPr>
                <w:rFonts w:ascii="仿宋" w:hAnsi="仿宋" w:eastAsia="仿宋" w:cs="仿宋"/>
                <w:color w:val="000000" w:themeColor="text1"/>
                <w:spacing w:val="-2"/>
                <w:sz w:val="18"/>
                <w:szCs w:val="18"/>
              </w:rPr>
              <w:t>生产审核的</w:t>
            </w:r>
          </w:p>
        </w:tc>
        <w:tc>
          <w:tcPr>
            <w:tcW w:w="889" w:type="dxa"/>
            <w:tcBorders>
              <w:left w:val="single" w:color="auto" w:sz="4" w:space="0"/>
              <w:bottom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报告表</w:t>
            </w:r>
          </w:p>
        </w:tc>
        <w:tc>
          <w:tcPr>
            <w:tcW w:w="580"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3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1420" w:type="dxa"/>
            <w:vMerge w:val="continue"/>
          </w:tcPr>
          <w:p>
            <w:pPr>
              <w:rPr>
                <w:rFonts w:ascii="Malgun Gothic"/>
                <w:color w:val="000000" w:themeColor="text1"/>
                <w:sz w:val="18"/>
                <w:szCs w:val="18"/>
              </w:rPr>
            </w:pPr>
          </w:p>
        </w:tc>
        <w:tc>
          <w:tcPr>
            <w:tcW w:w="1719" w:type="dxa"/>
            <w:vMerge w:val="continue"/>
          </w:tcPr>
          <w:p>
            <w:pPr>
              <w:rPr>
                <w:rFonts w:ascii="Malgun Gothic"/>
                <w:color w:val="000000" w:themeColor="text1"/>
                <w:sz w:val="18"/>
                <w:szCs w:val="18"/>
              </w:rPr>
            </w:pPr>
          </w:p>
        </w:tc>
        <w:tc>
          <w:tcPr>
            <w:tcW w:w="1022" w:type="dxa"/>
            <w:vMerge w:val="continue"/>
          </w:tcPr>
          <w:p>
            <w:pPr>
              <w:rPr>
                <w:rFonts w:ascii="Malgun Gothic"/>
                <w:color w:val="000000" w:themeColor="text1"/>
                <w:sz w:val="18"/>
                <w:szCs w:val="18"/>
              </w:rPr>
            </w:pPr>
          </w:p>
        </w:tc>
        <w:tc>
          <w:tcPr>
            <w:tcW w:w="2398" w:type="dxa"/>
            <w:vMerge w:val="continue"/>
            <w:tcBorders>
              <w:right w:val="single" w:color="auto" w:sz="4" w:space="0"/>
            </w:tcBorders>
          </w:tcPr>
          <w:p>
            <w:pPr>
              <w:spacing w:before="42" w:line="221" w:lineRule="auto"/>
              <w:ind w:left="114" w:right="296" w:firstLine="6"/>
              <w:rPr>
                <w:rFonts w:ascii="仿宋" w:hAnsi="仿宋" w:eastAsia="仿宋" w:cs="仿宋"/>
                <w:color w:val="000000" w:themeColor="text1"/>
                <w:spacing w:val="-2"/>
                <w:sz w:val="18"/>
                <w:szCs w:val="18"/>
              </w:rPr>
            </w:pPr>
          </w:p>
        </w:tc>
        <w:tc>
          <w:tcPr>
            <w:tcW w:w="889" w:type="dxa"/>
            <w:tcBorders>
              <w:top w:val="single" w:color="auto" w:sz="4" w:space="0"/>
              <w:left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报告书</w:t>
            </w:r>
          </w:p>
        </w:tc>
        <w:tc>
          <w:tcPr>
            <w:tcW w:w="580"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1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102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287" w:type="dxa"/>
            <w:gridSpan w:val="2"/>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37"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37"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719" w:type="dxa"/>
            <w:vMerge w:val="continue"/>
            <w:tcBorders>
              <w:top w:val="nil"/>
            </w:tcBorders>
            <w:vAlign w:val="center"/>
          </w:tcPr>
          <w:p>
            <w:pPr>
              <w:jc w:val="center"/>
              <w:rPr>
                <w:rFonts w:ascii="Malgun Gothic"/>
                <w:color w:val="000000" w:themeColor="text1"/>
                <w:sz w:val="18"/>
                <w:szCs w:val="18"/>
              </w:rPr>
            </w:pPr>
          </w:p>
        </w:tc>
        <w:tc>
          <w:tcPr>
            <w:tcW w:w="102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1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1022"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40"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39" w:line="212" w:lineRule="auto"/>
              <w:ind w:left="122" w:right="29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719" w:type="dxa"/>
            <w:vMerge w:val="continue"/>
            <w:tcBorders>
              <w:top w:val="nil"/>
            </w:tcBorders>
            <w:vAlign w:val="center"/>
          </w:tcPr>
          <w:p>
            <w:pPr>
              <w:jc w:val="center"/>
              <w:rPr>
                <w:rFonts w:ascii="Malgun Gothic"/>
                <w:color w:val="000000" w:themeColor="text1"/>
                <w:sz w:val="18"/>
                <w:szCs w:val="18"/>
              </w:rPr>
            </w:pPr>
          </w:p>
        </w:tc>
        <w:tc>
          <w:tcPr>
            <w:tcW w:w="102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restart"/>
            <w:tcBorders>
              <w:bottom w:val="nil"/>
            </w:tcBorders>
            <w:vAlign w:val="center"/>
          </w:tcPr>
          <w:p>
            <w:pPr>
              <w:spacing w:before="54" w:line="212" w:lineRule="auto"/>
              <w:ind w:left="240" w:right="224"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719" w:type="dxa"/>
            <w:vMerge w:val="restart"/>
            <w:tcBorders>
              <w:bottom w:val="nil"/>
            </w:tcBorders>
            <w:vAlign w:val="center"/>
          </w:tcPr>
          <w:p>
            <w:pPr>
              <w:spacing w:before="54" w:line="212" w:lineRule="auto"/>
              <w:ind w:left="788" w:right="308"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54" w:line="212" w:lineRule="auto"/>
              <w:ind w:left="788" w:right="308"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1022" w:type="dxa"/>
            <w:vMerge w:val="restart"/>
            <w:tcBorders>
              <w:bottom w:val="nil"/>
            </w:tcBorders>
            <w:vAlign w:val="center"/>
          </w:tcPr>
          <w:p>
            <w:pPr>
              <w:spacing w:before="210" w:line="184" w:lineRule="auto"/>
              <w:ind w:firstLine="184"/>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47"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719" w:type="dxa"/>
            <w:vMerge w:val="continue"/>
            <w:tcBorders>
              <w:top w:val="nil"/>
            </w:tcBorders>
            <w:vAlign w:val="center"/>
          </w:tcPr>
          <w:p>
            <w:pPr>
              <w:jc w:val="center"/>
              <w:rPr>
                <w:rFonts w:ascii="Malgun Gothic"/>
                <w:color w:val="000000" w:themeColor="text1"/>
                <w:sz w:val="18"/>
                <w:szCs w:val="18"/>
              </w:rPr>
            </w:pPr>
          </w:p>
        </w:tc>
        <w:tc>
          <w:tcPr>
            <w:tcW w:w="102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是否造成社会影响或生态破坏</w:t>
            </w:r>
          </w:p>
        </w:tc>
        <w:tc>
          <w:tcPr>
            <w:tcW w:w="102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287"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58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0%</w:t>
            </w:r>
          </w:p>
        </w:tc>
        <w:tc>
          <w:tcPr>
            <w:tcW w:w="536"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58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36"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3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36"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420" w:type="dxa"/>
            <w:vMerge w:val="continue"/>
            <w:vAlign w:val="center"/>
          </w:tcPr>
          <w:p>
            <w:pPr>
              <w:jc w:val="center"/>
              <w:rPr>
                <w:rFonts w:ascii="Malgun Gothic"/>
                <w:color w:val="000000" w:themeColor="text1"/>
                <w:sz w:val="18"/>
                <w:szCs w:val="18"/>
              </w:rPr>
            </w:pPr>
          </w:p>
        </w:tc>
        <w:tc>
          <w:tcPr>
            <w:tcW w:w="1719" w:type="dxa"/>
            <w:vMerge w:val="continue"/>
            <w:vAlign w:val="center"/>
          </w:tcPr>
          <w:p>
            <w:pPr>
              <w:jc w:val="center"/>
              <w:rPr>
                <w:rFonts w:ascii="Malgun Gothic"/>
                <w:color w:val="000000" w:themeColor="text1"/>
                <w:sz w:val="18"/>
                <w:szCs w:val="18"/>
              </w:rPr>
            </w:pPr>
          </w:p>
        </w:tc>
        <w:tc>
          <w:tcPr>
            <w:tcW w:w="1022" w:type="dxa"/>
            <w:vMerge w:val="continue"/>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3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atLeast"/>
        </w:trPr>
        <w:tc>
          <w:tcPr>
            <w:tcW w:w="8564"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8564"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1.《中华人民共和国清洁生产促进法》第二十七条第二款有下列情形之一的企业，应当实施强制性清洁生产审核：</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(一)污染物排放超过国家或者地方规定的排放标准，或者虽未超过国家或者地方规定的排放标准，但超过重点污染物排放总量控制指标的；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(二)超过单位产品能源消耗限额标准构成高耗能的；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(三)使用有毒、有害原料进行生产或者在生产中排放有毒、有害物质的。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第四款实施强制性清洁生产审核的企业，应当将审核结果向所在地县级以上地方人民政府负责清洁生产综合协调的部门、环境保护部门报告，并在本地区主要媒体上公布，接受公众监督，但涉及商业秘密的除外。</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清洁生产促进法》第三十九条第一款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5万元以上50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spacing w:line="600" w:lineRule="exact"/>
        <w:jc w:val="center"/>
        <w:outlineLvl w:val="0"/>
        <w:rPr>
          <w:rFonts w:ascii="仿宋" w:hAnsi="仿宋" w:eastAsia="仿宋" w:cs="仿宋"/>
          <w:b/>
          <w:bCs/>
          <w:color w:val="000000" w:themeColor="text1"/>
          <w:kern w:val="0"/>
          <w:sz w:val="24"/>
          <w:lang w:val="zh-CN"/>
        </w:rPr>
      </w:pPr>
      <w:bookmarkStart w:id="418" w:name="_Toc25825"/>
      <w:bookmarkStart w:id="419" w:name="_Toc20396"/>
      <w:bookmarkStart w:id="420" w:name="_Toc2747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148</w:t>
      </w:r>
      <w:r>
        <w:rPr>
          <w:rFonts w:hint="eastAsia" w:ascii="仿宋" w:hAnsi="仿宋" w:eastAsia="仿宋" w:cs="仿宋"/>
          <w:b/>
          <w:bCs/>
          <w:color w:val="000000" w:themeColor="text1"/>
          <w:kern w:val="0"/>
          <w:sz w:val="24"/>
          <w:lang w:val="zh-CN"/>
        </w:rPr>
        <w:t>噪声超标的罚款幅度裁定通用表</w:t>
      </w:r>
      <w:bookmarkEnd w:id="418"/>
      <w:bookmarkEnd w:id="419"/>
      <w:bookmarkEnd w:id="420"/>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1465"/>
        <w:gridCol w:w="2250"/>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301" w:type="dxa"/>
            <w:tcBorders>
              <w:bottom w:val="single" w:color="000000" w:sz="2" w:space="0"/>
            </w:tcBorders>
            <w:vAlign w:val="center"/>
          </w:tcPr>
          <w:p>
            <w:pPr>
              <w:spacing w:before="198" w:line="184" w:lineRule="auto"/>
              <w:ind w:firstLine="42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35" w:type="dxa"/>
            <w:tcBorders>
              <w:bottom w:val="single" w:color="000000" w:sz="2" w:space="0"/>
            </w:tcBorders>
            <w:vAlign w:val="center"/>
          </w:tcPr>
          <w:p>
            <w:pPr>
              <w:spacing w:before="206" w:line="185" w:lineRule="auto"/>
              <w:ind w:firstLine="344"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81" w:type="dxa"/>
            <w:tcBorders>
              <w:bottom w:val="single" w:color="000000" w:sz="2" w:space="0"/>
            </w:tcBorders>
            <w:vAlign w:val="center"/>
          </w:tcPr>
          <w:p>
            <w:pPr>
              <w:spacing w:before="51"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spacing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15" w:type="dxa"/>
            <w:gridSpan w:val="2"/>
            <w:tcBorders>
              <w:bottom w:val="single" w:color="000000" w:sz="2" w:space="0"/>
            </w:tcBorders>
            <w:vAlign w:val="center"/>
          </w:tcPr>
          <w:p>
            <w:pPr>
              <w:spacing w:before="206" w:line="185" w:lineRule="auto"/>
              <w:ind w:firstLine="13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58" w:type="dxa"/>
            <w:tcBorders>
              <w:bottom w:val="single" w:color="000000" w:sz="2" w:space="0"/>
              <w:right w:val="single" w:color="auto" w:sz="4" w:space="0"/>
            </w:tcBorders>
            <w:vAlign w:val="center"/>
          </w:tcPr>
          <w:p>
            <w:pPr>
              <w:spacing w:before="206" w:line="185" w:lineRule="auto"/>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9" w:type="dxa"/>
            <w:tcBorders>
              <w:left w:val="single" w:color="auto" w:sz="4" w:space="0"/>
              <w:bottom w:val="single" w:color="000000" w:sz="2" w:space="0"/>
            </w:tcBorders>
            <w:vAlign w:val="center"/>
          </w:tcPr>
          <w:p>
            <w:pPr>
              <w:spacing w:before="206" w:line="185" w:lineRule="auto"/>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35"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81"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1465" w:type="dxa"/>
            <w:vMerge w:val="restart"/>
            <w:tcBorders>
              <w:top w:val="single" w:color="000000" w:sz="2" w:space="0"/>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列入环境影响登记表类项目的</w:t>
            </w:r>
          </w:p>
        </w:tc>
        <w:tc>
          <w:tcPr>
            <w:tcW w:w="2250"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超标10分贝以下</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35" w:type="dxa"/>
            <w:vMerge w:val="continue"/>
            <w:vAlign w:val="center"/>
          </w:tcPr>
          <w:p>
            <w:pPr>
              <w:spacing w:before="197"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197" w:line="184" w:lineRule="auto"/>
              <w:jc w:val="center"/>
              <w:rPr>
                <w:rFonts w:ascii="仿宋_GB2312" w:hAnsi="仿宋_GB2312" w:eastAsia="仿宋_GB2312" w:cs="仿宋_GB2312"/>
                <w:color w:val="000000" w:themeColor="text1"/>
                <w:spacing w:val="-7"/>
                <w:sz w:val="18"/>
                <w:szCs w:val="18"/>
              </w:rPr>
            </w:pPr>
          </w:p>
        </w:tc>
        <w:tc>
          <w:tcPr>
            <w:tcW w:w="1465" w:type="dxa"/>
            <w:vMerge w:val="continue"/>
            <w:tcBorders>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超标10分贝以上</w:t>
            </w:r>
          </w:p>
        </w:tc>
        <w:tc>
          <w:tcPr>
            <w:tcW w:w="658" w:type="dxa"/>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569"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2250"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超标10分贝以下</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超标10分贝以上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2250" w:type="dxa"/>
            <w:tcBorders>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超标10分贝以下</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30%</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130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超标10分贝以上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40%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top w:val="single" w:color="auto" w:sz="4" w:space="0"/>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46" w:line="212" w:lineRule="auto"/>
              <w:ind w:right="16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535" w:type="dxa"/>
            <w:vMerge w:val="restart"/>
            <w:tcBorders>
              <w:bottom w:val="nil"/>
            </w:tcBorders>
            <w:vAlign w:val="center"/>
          </w:tcPr>
          <w:p>
            <w:pPr>
              <w:spacing w:before="46"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z w:val="18"/>
                <w:szCs w:val="18"/>
              </w:rPr>
              <w:t>查</w:t>
            </w:r>
          </w:p>
        </w:tc>
        <w:tc>
          <w:tcPr>
            <w:tcW w:w="681"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2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对社会影响或生态破坏程度</w:t>
            </w:r>
          </w:p>
        </w:tc>
        <w:tc>
          <w:tcPr>
            <w:tcW w:w="1535"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68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vAlign w:val="center"/>
          </w:tcPr>
          <w:p>
            <w:pPr>
              <w:spacing w:before="201"/>
              <w:jc w:val="center"/>
              <w:rPr>
                <w:rFonts w:ascii="仿宋_GB2312" w:hAnsi="仿宋_GB2312" w:eastAsia="仿宋_GB2312" w:cs="仿宋_GB2312"/>
                <w:color w:val="000000" w:themeColor="text1"/>
                <w:spacing w:val="-5"/>
                <w:sz w:val="18"/>
                <w:szCs w:val="18"/>
              </w:rPr>
            </w:pPr>
          </w:p>
        </w:tc>
        <w:tc>
          <w:tcPr>
            <w:tcW w:w="1535"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681" w:type="dxa"/>
            <w:vMerge w:val="continue"/>
            <w:vAlign w:val="center"/>
          </w:tcPr>
          <w:p>
            <w:pPr>
              <w:spacing w:before="79" w:line="184" w:lineRule="auto"/>
              <w:jc w:val="center"/>
              <w:rPr>
                <w:rFonts w:ascii="仿宋_GB2312" w:hAnsi="仿宋_GB2312" w:eastAsia="仿宋_GB2312" w:cs="仿宋_GB2312"/>
                <w:color w:val="000000" w:themeColor="text1"/>
                <w:spacing w:val="-7"/>
                <w:sz w:val="18"/>
                <w:szCs w:val="18"/>
              </w:rPr>
            </w:pPr>
          </w:p>
        </w:tc>
        <w:tc>
          <w:tcPr>
            <w:tcW w:w="3715"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58"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58"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58"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spacing w:line="600" w:lineRule="exact"/>
        <w:jc w:val="center"/>
        <w:outlineLvl w:val="0"/>
        <w:rPr>
          <w:rFonts w:ascii="仿宋" w:hAnsi="仿宋" w:eastAsia="仿宋" w:cs="仿宋"/>
          <w:b/>
          <w:bCs/>
          <w:color w:val="000000" w:themeColor="text1"/>
          <w:kern w:val="0"/>
          <w:sz w:val="24"/>
          <w:lang w:val="zh-CN"/>
        </w:rPr>
      </w:pPr>
      <w:bookmarkStart w:id="421" w:name="_Toc4004"/>
      <w:bookmarkStart w:id="422" w:name="_Toc13885"/>
      <w:bookmarkStart w:id="423" w:name="_Toc783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149-1</w:t>
      </w:r>
      <w:r>
        <w:rPr>
          <w:rFonts w:hint="eastAsia" w:ascii="仿宋" w:hAnsi="仿宋" w:eastAsia="仿宋" w:cs="仿宋"/>
          <w:b/>
          <w:bCs/>
          <w:color w:val="000000" w:themeColor="text1"/>
          <w:kern w:val="0"/>
          <w:sz w:val="24"/>
          <w:lang w:val="zh-CN"/>
        </w:rPr>
        <w:t>噪声的罚款幅度裁定通用表</w:t>
      </w:r>
      <w:bookmarkEnd w:id="421"/>
      <w:bookmarkEnd w:id="422"/>
      <w:bookmarkEnd w:id="423"/>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1572"/>
        <w:gridCol w:w="2143"/>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301" w:type="dxa"/>
            <w:tcBorders>
              <w:bottom w:val="single" w:color="000000" w:sz="2" w:space="0"/>
            </w:tcBorders>
            <w:vAlign w:val="center"/>
          </w:tcPr>
          <w:p>
            <w:pPr>
              <w:spacing w:before="198" w:line="184" w:lineRule="auto"/>
              <w:ind w:firstLine="42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35" w:type="dxa"/>
            <w:tcBorders>
              <w:bottom w:val="single" w:color="000000" w:sz="2" w:space="0"/>
            </w:tcBorders>
            <w:vAlign w:val="center"/>
          </w:tcPr>
          <w:p>
            <w:pPr>
              <w:spacing w:before="206" w:line="185" w:lineRule="auto"/>
              <w:ind w:firstLine="344"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81" w:type="dxa"/>
            <w:tcBorders>
              <w:bottom w:val="single" w:color="000000" w:sz="2" w:space="0"/>
            </w:tcBorders>
            <w:vAlign w:val="center"/>
          </w:tcPr>
          <w:p>
            <w:pPr>
              <w:spacing w:before="51"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spacing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15" w:type="dxa"/>
            <w:gridSpan w:val="2"/>
            <w:tcBorders>
              <w:bottom w:val="single" w:color="000000" w:sz="2" w:space="0"/>
            </w:tcBorders>
            <w:vAlign w:val="center"/>
          </w:tcPr>
          <w:p>
            <w:pPr>
              <w:spacing w:before="206" w:line="185" w:lineRule="auto"/>
              <w:ind w:firstLine="13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58" w:type="dxa"/>
            <w:tcBorders>
              <w:bottom w:val="single" w:color="000000" w:sz="2" w:space="0"/>
              <w:right w:val="single" w:color="auto" w:sz="4" w:space="0"/>
            </w:tcBorders>
            <w:vAlign w:val="center"/>
          </w:tcPr>
          <w:p>
            <w:pPr>
              <w:spacing w:before="206" w:line="185" w:lineRule="auto"/>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9" w:type="dxa"/>
            <w:tcBorders>
              <w:left w:val="single" w:color="auto" w:sz="4" w:space="0"/>
              <w:bottom w:val="single" w:color="000000" w:sz="2" w:space="0"/>
            </w:tcBorders>
            <w:vAlign w:val="center"/>
          </w:tcPr>
          <w:p>
            <w:pPr>
              <w:spacing w:before="206" w:line="185" w:lineRule="auto"/>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35"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81"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1572" w:type="dxa"/>
            <w:vMerge w:val="restart"/>
            <w:tcBorders>
              <w:top w:val="single" w:color="000000" w:sz="2" w:space="0"/>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rPr>
              <w:t>列入环境影响登记表类项目的</w:t>
            </w:r>
          </w:p>
        </w:tc>
        <w:tc>
          <w:tcPr>
            <w:tcW w:w="2143"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z w:val="18"/>
                <w:szCs w:val="18"/>
                <w:lang w:val="en-US"/>
              </w:rPr>
              <w:t>夜间22点至24点之间的</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35" w:type="dxa"/>
            <w:vMerge w:val="continue"/>
            <w:vAlign w:val="center"/>
          </w:tcPr>
          <w:p>
            <w:pPr>
              <w:spacing w:before="197"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197" w:line="184" w:lineRule="auto"/>
              <w:jc w:val="center"/>
              <w:rPr>
                <w:rFonts w:ascii="仿宋_GB2312" w:hAnsi="仿宋_GB2312" w:eastAsia="仿宋_GB2312" w:cs="仿宋_GB2312"/>
                <w:color w:val="000000" w:themeColor="text1"/>
                <w:spacing w:val="-7"/>
                <w:sz w:val="18"/>
                <w:szCs w:val="18"/>
              </w:rPr>
            </w:pPr>
          </w:p>
        </w:tc>
        <w:tc>
          <w:tcPr>
            <w:tcW w:w="1572" w:type="dxa"/>
            <w:vMerge w:val="continue"/>
            <w:tcBorders>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p>
        </w:tc>
        <w:tc>
          <w:tcPr>
            <w:tcW w:w="21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夜间24点以后至6点之间的</w:t>
            </w:r>
          </w:p>
        </w:tc>
        <w:tc>
          <w:tcPr>
            <w:tcW w:w="658" w:type="dxa"/>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569"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72"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2143"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夜间22点至24点之间的</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7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夜间24点以后至6点之间的</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7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2143" w:type="dxa"/>
            <w:tcBorders>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夜间22点至24点之间的</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30%</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130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157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夜间24点以后至6点之间的</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40%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top w:val="single" w:color="auto" w:sz="4" w:space="0"/>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46" w:line="212" w:lineRule="auto"/>
              <w:ind w:right="16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535" w:type="dxa"/>
            <w:vMerge w:val="restart"/>
            <w:tcBorders>
              <w:bottom w:val="nil"/>
            </w:tcBorders>
            <w:vAlign w:val="center"/>
          </w:tcPr>
          <w:p>
            <w:pPr>
              <w:spacing w:before="46"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z w:val="18"/>
                <w:szCs w:val="18"/>
              </w:rPr>
              <w:t>查</w:t>
            </w:r>
          </w:p>
        </w:tc>
        <w:tc>
          <w:tcPr>
            <w:tcW w:w="681"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2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对社会影响或生态破坏程度</w:t>
            </w:r>
          </w:p>
        </w:tc>
        <w:tc>
          <w:tcPr>
            <w:tcW w:w="1535"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68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vAlign w:val="center"/>
          </w:tcPr>
          <w:p>
            <w:pPr>
              <w:spacing w:before="201"/>
              <w:jc w:val="center"/>
              <w:rPr>
                <w:rFonts w:ascii="仿宋_GB2312" w:hAnsi="仿宋_GB2312" w:eastAsia="仿宋_GB2312" w:cs="仿宋_GB2312"/>
                <w:color w:val="000000" w:themeColor="text1"/>
                <w:spacing w:val="-5"/>
                <w:sz w:val="18"/>
                <w:szCs w:val="18"/>
              </w:rPr>
            </w:pPr>
          </w:p>
        </w:tc>
        <w:tc>
          <w:tcPr>
            <w:tcW w:w="1535"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681" w:type="dxa"/>
            <w:vMerge w:val="continue"/>
            <w:vAlign w:val="center"/>
          </w:tcPr>
          <w:p>
            <w:pPr>
              <w:spacing w:before="79" w:line="184" w:lineRule="auto"/>
              <w:jc w:val="center"/>
              <w:rPr>
                <w:rFonts w:ascii="仿宋_GB2312" w:hAnsi="仿宋_GB2312" w:eastAsia="仿宋_GB2312" w:cs="仿宋_GB2312"/>
                <w:color w:val="000000" w:themeColor="text1"/>
                <w:spacing w:val="-7"/>
                <w:sz w:val="18"/>
                <w:szCs w:val="18"/>
              </w:rPr>
            </w:pPr>
          </w:p>
        </w:tc>
        <w:tc>
          <w:tcPr>
            <w:tcW w:w="3715"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58"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58"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58"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spacing w:line="600" w:lineRule="exact"/>
        <w:jc w:val="center"/>
        <w:outlineLvl w:val="0"/>
        <w:rPr>
          <w:rFonts w:ascii="仿宋" w:hAnsi="仿宋" w:eastAsia="仿宋" w:cs="仿宋"/>
          <w:b/>
          <w:bCs/>
          <w:color w:val="000000" w:themeColor="text1"/>
          <w:kern w:val="0"/>
          <w:sz w:val="24"/>
          <w:lang w:val="zh-CN"/>
        </w:rPr>
      </w:pPr>
      <w:bookmarkStart w:id="424" w:name="_Toc18661"/>
      <w:bookmarkStart w:id="425" w:name="_Toc18347"/>
      <w:bookmarkStart w:id="426" w:name="_Toc3124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149-2</w:t>
      </w:r>
      <w:r>
        <w:rPr>
          <w:rFonts w:hint="eastAsia" w:ascii="仿宋" w:hAnsi="仿宋" w:eastAsia="仿宋" w:cs="仿宋"/>
          <w:b/>
          <w:bCs/>
          <w:color w:val="000000" w:themeColor="text1"/>
          <w:kern w:val="0"/>
          <w:sz w:val="24"/>
          <w:lang w:val="zh-CN"/>
        </w:rPr>
        <w:t>噪声的罚款幅度裁定通用表</w:t>
      </w:r>
      <w:bookmarkEnd w:id="424"/>
      <w:bookmarkEnd w:id="425"/>
      <w:bookmarkEnd w:id="426"/>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2247"/>
        <w:gridCol w:w="1468"/>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301" w:type="dxa"/>
            <w:tcBorders>
              <w:bottom w:val="single" w:color="000000" w:sz="2" w:space="0"/>
            </w:tcBorders>
            <w:vAlign w:val="center"/>
          </w:tcPr>
          <w:p>
            <w:pPr>
              <w:spacing w:before="198" w:line="184" w:lineRule="auto"/>
              <w:ind w:firstLine="42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35" w:type="dxa"/>
            <w:tcBorders>
              <w:bottom w:val="single" w:color="000000" w:sz="2" w:space="0"/>
            </w:tcBorders>
            <w:vAlign w:val="center"/>
          </w:tcPr>
          <w:p>
            <w:pPr>
              <w:spacing w:before="206" w:line="185" w:lineRule="auto"/>
              <w:ind w:firstLine="344"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81" w:type="dxa"/>
            <w:tcBorders>
              <w:bottom w:val="single" w:color="000000" w:sz="2" w:space="0"/>
            </w:tcBorders>
            <w:vAlign w:val="center"/>
          </w:tcPr>
          <w:p>
            <w:pPr>
              <w:spacing w:before="51"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spacing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15" w:type="dxa"/>
            <w:gridSpan w:val="2"/>
            <w:tcBorders>
              <w:bottom w:val="single" w:color="000000" w:sz="2" w:space="0"/>
            </w:tcBorders>
            <w:vAlign w:val="center"/>
          </w:tcPr>
          <w:p>
            <w:pPr>
              <w:spacing w:before="206" w:line="185" w:lineRule="auto"/>
              <w:ind w:firstLine="13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58" w:type="dxa"/>
            <w:tcBorders>
              <w:bottom w:val="single" w:color="000000" w:sz="2" w:space="0"/>
              <w:right w:val="single" w:color="auto" w:sz="4" w:space="0"/>
            </w:tcBorders>
            <w:vAlign w:val="center"/>
          </w:tcPr>
          <w:p>
            <w:pPr>
              <w:spacing w:before="206" w:line="185" w:lineRule="auto"/>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9" w:type="dxa"/>
            <w:tcBorders>
              <w:left w:val="single" w:color="auto" w:sz="4" w:space="0"/>
              <w:bottom w:val="single" w:color="000000" w:sz="2" w:space="0"/>
            </w:tcBorders>
            <w:vAlign w:val="center"/>
          </w:tcPr>
          <w:p>
            <w:pPr>
              <w:spacing w:before="206" w:line="185" w:lineRule="auto"/>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35"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81"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2247" w:type="dxa"/>
            <w:vMerge w:val="restart"/>
            <w:tcBorders>
              <w:top w:val="single" w:color="000000" w:sz="2" w:space="0"/>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rPr>
              <w:t>列入环境影响登记表类项目</w:t>
            </w:r>
            <w:r>
              <w:rPr>
                <w:rFonts w:hint="eastAsia" w:ascii="仿宋_GB2312" w:hAnsi="仿宋_GB2312" w:eastAsia="仿宋_GB2312" w:cs="仿宋_GB2312"/>
                <w:color w:val="000000" w:themeColor="text1"/>
                <w:spacing w:val="-1"/>
                <w:sz w:val="18"/>
                <w:szCs w:val="18"/>
                <w:lang w:val="en-US"/>
              </w:rPr>
              <w:t>或无需编制环评文件的</w:t>
            </w:r>
          </w:p>
        </w:tc>
        <w:tc>
          <w:tcPr>
            <w:tcW w:w="1468"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z w:val="18"/>
                <w:szCs w:val="18"/>
                <w:lang w:val="en-US"/>
              </w:rPr>
              <w:t>3类声环境功能区</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35" w:type="dxa"/>
            <w:vMerge w:val="continue"/>
            <w:vAlign w:val="center"/>
          </w:tcPr>
          <w:p>
            <w:pPr>
              <w:spacing w:before="197"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197" w:line="184" w:lineRule="auto"/>
              <w:jc w:val="center"/>
              <w:rPr>
                <w:rFonts w:ascii="仿宋_GB2312" w:hAnsi="仿宋_GB2312" w:eastAsia="仿宋_GB2312" w:cs="仿宋_GB2312"/>
                <w:color w:val="000000" w:themeColor="text1"/>
                <w:spacing w:val="-7"/>
                <w:sz w:val="18"/>
                <w:szCs w:val="18"/>
              </w:rPr>
            </w:pPr>
          </w:p>
        </w:tc>
        <w:tc>
          <w:tcPr>
            <w:tcW w:w="2247" w:type="dxa"/>
            <w:vMerge w:val="continue"/>
            <w:tcBorders>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p>
        </w:tc>
        <w:tc>
          <w:tcPr>
            <w:tcW w:w="146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1类、2类声环境功能区</w:t>
            </w:r>
          </w:p>
        </w:tc>
        <w:tc>
          <w:tcPr>
            <w:tcW w:w="658" w:type="dxa"/>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569"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2247"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1468"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3类声环境功能区</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224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46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1类、2类声环境功能区</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24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1468" w:type="dxa"/>
            <w:tcBorders>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3类声环境功能区</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30%</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130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224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46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1类、2类声环境功能区</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40%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top w:val="single" w:color="auto" w:sz="4" w:space="0"/>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46" w:line="212" w:lineRule="auto"/>
              <w:ind w:right="16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535" w:type="dxa"/>
            <w:vMerge w:val="restart"/>
            <w:tcBorders>
              <w:bottom w:val="nil"/>
            </w:tcBorders>
            <w:vAlign w:val="center"/>
          </w:tcPr>
          <w:p>
            <w:pPr>
              <w:spacing w:before="46"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z w:val="18"/>
                <w:szCs w:val="18"/>
              </w:rPr>
              <w:t>查</w:t>
            </w:r>
          </w:p>
        </w:tc>
        <w:tc>
          <w:tcPr>
            <w:tcW w:w="681"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restart"/>
            <w:tcBorders>
              <w:bottom w:val="nil"/>
            </w:tcBorders>
            <w:vAlign w:val="center"/>
          </w:tcPr>
          <w:p>
            <w:pPr>
              <w:spacing w:before="2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对社会影响或生态破坏程度</w:t>
            </w:r>
          </w:p>
        </w:tc>
        <w:tc>
          <w:tcPr>
            <w:tcW w:w="1535"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68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vAlign w:val="center"/>
          </w:tcPr>
          <w:p>
            <w:pPr>
              <w:spacing w:before="201"/>
              <w:jc w:val="center"/>
              <w:rPr>
                <w:rFonts w:ascii="仿宋_GB2312" w:hAnsi="仿宋_GB2312" w:eastAsia="仿宋_GB2312" w:cs="仿宋_GB2312"/>
                <w:color w:val="000000" w:themeColor="text1"/>
                <w:spacing w:val="-5"/>
                <w:sz w:val="18"/>
                <w:szCs w:val="18"/>
              </w:rPr>
            </w:pPr>
          </w:p>
        </w:tc>
        <w:tc>
          <w:tcPr>
            <w:tcW w:w="1535"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681" w:type="dxa"/>
            <w:vMerge w:val="continue"/>
            <w:vAlign w:val="center"/>
          </w:tcPr>
          <w:p>
            <w:pPr>
              <w:spacing w:before="79" w:line="184" w:lineRule="auto"/>
              <w:jc w:val="center"/>
              <w:rPr>
                <w:rFonts w:ascii="仿宋_GB2312" w:hAnsi="仿宋_GB2312" w:eastAsia="仿宋_GB2312" w:cs="仿宋_GB2312"/>
                <w:color w:val="000000" w:themeColor="text1"/>
                <w:spacing w:val="-7"/>
                <w:sz w:val="18"/>
                <w:szCs w:val="18"/>
              </w:rPr>
            </w:pPr>
          </w:p>
        </w:tc>
        <w:tc>
          <w:tcPr>
            <w:tcW w:w="3715"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58"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58"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58"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rPr>
          <w:rFonts w:ascii="仿宋_GB2312" w:hAnsi="仿宋_GB2312" w:eastAsia="仿宋_GB2312" w:cs="仿宋_GB2312"/>
          <w:color w:val="000000" w:themeColor="text1"/>
          <w:szCs w:val="21"/>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Malgun Gothic">
    <w:altName w:val="方正书宋_GBK"/>
    <w:panose1 w:val="020B0503020000020004"/>
    <w:charset w:val="81"/>
    <w:family w:val="swiss"/>
    <w:pitch w:val="default"/>
    <w:sig w:usb0="00000000" w:usb1="00000000" w:usb2="00000012" w:usb3="00000000" w:csb0="0008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077"/>
      <w:rPr>
        <w:rFonts w:ascii="Calibri" w:hAnsi="Calibri" w:eastAsia="Calibri" w:cs="Calibri"/>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ind w:firstLine="4098"/>
      <w:rPr>
        <w:rFonts w:ascii="Calibri" w:hAnsi="Calibri" w:eastAsia="宋体" w:cs="Calibri"/>
      </w:rPr>
    </w:pPr>
    <w:r>
      <w:pict>
        <v:shape id="_x0000_s1030" o:spid="_x0000_s1030"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95</w:t>
                </w:r>
                <w:r>
                  <w:fldChar w:fldCharType="end"/>
                </w:r>
              </w:p>
            </w:txbxContent>
          </v:textbox>
        </v:shape>
      </w:pict>
    </w:r>
  </w:p>
  <w:p>
    <w:pPr>
      <w:spacing w:line="135" w:lineRule="exact"/>
      <w:rPr>
        <w:rFonts w:ascii="Calibri" w:hAnsi="Calibri" w:eastAsia="宋体" w:cs="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rPr>
        <w:rFonts w:ascii="Calibri" w:hAnsi="Calibri" w:eastAsia="宋体" w:cs="Calibri"/>
      </w:rPr>
    </w:pPr>
    <w:r>
      <w:pict>
        <v:shape id="_x0000_s1029" o:spid="_x0000_s102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121</w:t>
                </w:r>
                <w:r>
                  <w:fldChar w:fldCharType="end"/>
                </w:r>
              </w:p>
            </w:txbxContent>
          </v:textbox>
        </v:shape>
      </w:pict>
    </w:r>
  </w:p>
  <w:p>
    <w:pPr>
      <w:spacing w:line="135" w:lineRule="exact"/>
      <w:rPr>
        <w:rFonts w:ascii="Calibri" w:hAnsi="Calibri" w:eastAsia="宋体" w:cs="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6" w:lineRule="exact"/>
      <w:ind w:firstLine="4098"/>
      <w:rPr>
        <w:rFonts w:ascii="Calibri" w:hAnsi="Calibri" w:eastAsia="Calibri" w:cs="Calibri"/>
      </w:rPr>
    </w:pPr>
    <w:r>
      <w:pict>
        <v:shape id="_x0000_s1028" o:spid="_x0000_s102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135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B967D"/>
    <w:multiLevelType w:val="singleLevel"/>
    <w:tmpl w:val="638B96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2MzU2MjI4YWRmM2JjMjAzN2JiZjQ0ZGZhMzQ3NDQifQ=="/>
  </w:docVars>
  <w:rsids>
    <w:rsidRoot w:val="41286AEB"/>
    <w:rsid w:val="003357D8"/>
    <w:rsid w:val="00381AB9"/>
    <w:rsid w:val="004036E2"/>
    <w:rsid w:val="00415F79"/>
    <w:rsid w:val="00422F76"/>
    <w:rsid w:val="00B70D2D"/>
    <w:rsid w:val="00BE6505"/>
    <w:rsid w:val="00DD2806"/>
    <w:rsid w:val="00E56BBE"/>
    <w:rsid w:val="00ED039D"/>
    <w:rsid w:val="00F57D1F"/>
    <w:rsid w:val="010813C3"/>
    <w:rsid w:val="012A3712"/>
    <w:rsid w:val="017C2989"/>
    <w:rsid w:val="01BA3D12"/>
    <w:rsid w:val="022B18B7"/>
    <w:rsid w:val="025F5510"/>
    <w:rsid w:val="0274484E"/>
    <w:rsid w:val="02D51B8F"/>
    <w:rsid w:val="02DF01CB"/>
    <w:rsid w:val="02E16CA8"/>
    <w:rsid w:val="02E21FE4"/>
    <w:rsid w:val="02EE59E6"/>
    <w:rsid w:val="03251FE4"/>
    <w:rsid w:val="03D916D3"/>
    <w:rsid w:val="043A228E"/>
    <w:rsid w:val="045B2BCC"/>
    <w:rsid w:val="0485246C"/>
    <w:rsid w:val="05575E4E"/>
    <w:rsid w:val="05C05BA0"/>
    <w:rsid w:val="05DB5904"/>
    <w:rsid w:val="067508F8"/>
    <w:rsid w:val="06771F57"/>
    <w:rsid w:val="068E78C8"/>
    <w:rsid w:val="072361C0"/>
    <w:rsid w:val="075F3EF3"/>
    <w:rsid w:val="078D4DDA"/>
    <w:rsid w:val="07C115F6"/>
    <w:rsid w:val="07CC018A"/>
    <w:rsid w:val="07FC575D"/>
    <w:rsid w:val="07FC66E6"/>
    <w:rsid w:val="080F4DF0"/>
    <w:rsid w:val="08273E74"/>
    <w:rsid w:val="08B32A56"/>
    <w:rsid w:val="08E02442"/>
    <w:rsid w:val="08F60C53"/>
    <w:rsid w:val="08FD0A05"/>
    <w:rsid w:val="09756A0F"/>
    <w:rsid w:val="0992358F"/>
    <w:rsid w:val="099A527A"/>
    <w:rsid w:val="09D4277D"/>
    <w:rsid w:val="09FE2D33"/>
    <w:rsid w:val="0A595E3B"/>
    <w:rsid w:val="0AA879D3"/>
    <w:rsid w:val="0AD61E68"/>
    <w:rsid w:val="0B0805EE"/>
    <w:rsid w:val="0B216178"/>
    <w:rsid w:val="0BF712EF"/>
    <w:rsid w:val="0C876A9F"/>
    <w:rsid w:val="0C9920F0"/>
    <w:rsid w:val="0CB51D42"/>
    <w:rsid w:val="0CD21743"/>
    <w:rsid w:val="0D0F75D2"/>
    <w:rsid w:val="0D1B53C2"/>
    <w:rsid w:val="0D3940D3"/>
    <w:rsid w:val="0D5A63DD"/>
    <w:rsid w:val="0DAC122D"/>
    <w:rsid w:val="0DBC6E0C"/>
    <w:rsid w:val="0E2B6DD6"/>
    <w:rsid w:val="0E640216"/>
    <w:rsid w:val="0E74742E"/>
    <w:rsid w:val="0EC83EF2"/>
    <w:rsid w:val="0F3243F6"/>
    <w:rsid w:val="0F423341"/>
    <w:rsid w:val="0F5446EB"/>
    <w:rsid w:val="0F5C420E"/>
    <w:rsid w:val="0F8B118C"/>
    <w:rsid w:val="0FB71F81"/>
    <w:rsid w:val="0FE16FFE"/>
    <w:rsid w:val="101168BD"/>
    <w:rsid w:val="102E5ACA"/>
    <w:rsid w:val="10CD757B"/>
    <w:rsid w:val="11DA4F25"/>
    <w:rsid w:val="11DA5AB3"/>
    <w:rsid w:val="12011292"/>
    <w:rsid w:val="1236432C"/>
    <w:rsid w:val="123E5A03"/>
    <w:rsid w:val="129053A1"/>
    <w:rsid w:val="12E81B6E"/>
    <w:rsid w:val="13124A7C"/>
    <w:rsid w:val="13392385"/>
    <w:rsid w:val="139A4A7C"/>
    <w:rsid w:val="13E40530"/>
    <w:rsid w:val="14436DE5"/>
    <w:rsid w:val="145E254C"/>
    <w:rsid w:val="14647A01"/>
    <w:rsid w:val="14A84368"/>
    <w:rsid w:val="14EF54E0"/>
    <w:rsid w:val="15145780"/>
    <w:rsid w:val="154A6E5D"/>
    <w:rsid w:val="1571651E"/>
    <w:rsid w:val="15CF4783"/>
    <w:rsid w:val="15F233E4"/>
    <w:rsid w:val="162C1E4B"/>
    <w:rsid w:val="16610AFA"/>
    <w:rsid w:val="16656284"/>
    <w:rsid w:val="16A21CB9"/>
    <w:rsid w:val="16C50F7C"/>
    <w:rsid w:val="16EB2510"/>
    <w:rsid w:val="17185534"/>
    <w:rsid w:val="17187C32"/>
    <w:rsid w:val="17641D15"/>
    <w:rsid w:val="17872239"/>
    <w:rsid w:val="17AD0644"/>
    <w:rsid w:val="17C97DA8"/>
    <w:rsid w:val="18E045D0"/>
    <w:rsid w:val="194849D3"/>
    <w:rsid w:val="195A6195"/>
    <w:rsid w:val="196071E6"/>
    <w:rsid w:val="196A14BB"/>
    <w:rsid w:val="197560AC"/>
    <w:rsid w:val="19977261"/>
    <w:rsid w:val="1A203593"/>
    <w:rsid w:val="1A4971DD"/>
    <w:rsid w:val="1A4F6222"/>
    <w:rsid w:val="1A5A3C35"/>
    <w:rsid w:val="1AA978E0"/>
    <w:rsid w:val="1AD25EC1"/>
    <w:rsid w:val="1B2210BB"/>
    <w:rsid w:val="1B2F53D6"/>
    <w:rsid w:val="1B726EB7"/>
    <w:rsid w:val="1BAF2969"/>
    <w:rsid w:val="1C1825D2"/>
    <w:rsid w:val="1C232942"/>
    <w:rsid w:val="1C30368E"/>
    <w:rsid w:val="1C915E02"/>
    <w:rsid w:val="1CAF0249"/>
    <w:rsid w:val="1D132959"/>
    <w:rsid w:val="1D213EBD"/>
    <w:rsid w:val="1D520EC6"/>
    <w:rsid w:val="1D774D3D"/>
    <w:rsid w:val="1D892188"/>
    <w:rsid w:val="1DC70F14"/>
    <w:rsid w:val="1E341FAB"/>
    <w:rsid w:val="1E4B48C5"/>
    <w:rsid w:val="1EB252BA"/>
    <w:rsid w:val="1EEC7E38"/>
    <w:rsid w:val="1EF71432"/>
    <w:rsid w:val="1F0707EF"/>
    <w:rsid w:val="1F3F018E"/>
    <w:rsid w:val="1F564138"/>
    <w:rsid w:val="1FB86032"/>
    <w:rsid w:val="1FDE258C"/>
    <w:rsid w:val="200C0B9F"/>
    <w:rsid w:val="202E1D50"/>
    <w:rsid w:val="2058272B"/>
    <w:rsid w:val="206F381A"/>
    <w:rsid w:val="20833201"/>
    <w:rsid w:val="20BF7F0D"/>
    <w:rsid w:val="20E5300E"/>
    <w:rsid w:val="21093CBF"/>
    <w:rsid w:val="211630F3"/>
    <w:rsid w:val="21362317"/>
    <w:rsid w:val="2161326A"/>
    <w:rsid w:val="220B4127"/>
    <w:rsid w:val="223C27AB"/>
    <w:rsid w:val="224413E2"/>
    <w:rsid w:val="225219CE"/>
    <w:rsid w:val="22896053"/>
    <w:rsid w:val="22DE45B3"/>
    <w:rsid w:val="22F34C27"/>
    <w:rsid w:val="22F8223D"/>
    <w:rsid w:val="22F866E1"/>
    <w:rsid w:val="233C6AA3"/>
    <w:rsid w:val="2350120F"/>
    <w:rsid w:val="2389603F"/>
    <w:rsid w:val="24027986"/>
    <w:rsid w:val="24184D37"/>
    <w:rsid w:val="244439A2"/>
    <w:rsid w:val="24553D77"/>
    <w:rsid w:val="26021667"/>
    <w:rsid w:val="265E7BA5"/>
    <w:rsid w:val="27541040"/>
    <w:rsid w:val="275D04E0"/>
    <w:rsid w:val="27D43F35"/>
    <w:rsid w:val="28180D37"/>
    <w:rsid w:val="28184BB8"/>
    <w:rsid w:val="284D3AF9"/>
    <w:rsid w:val="285E7974"/>
    <w:rsid w:val="28D24073"/>
    <w:rsid w:val="290B0840"/>
    <w:rsid w:val="291C2D5E"/>
    <w:rsid w:val="297A0632"/>
    <w:rsid w:val="29933EAB"/>
    <w:rsid w:val="29E30396"/>
    <w:rsid w:val="2A795883"/>
    <w:rsid w:val="2AB90BD6"/>
    <w:rsid w:val="2B0A6FB1"/>
    <w:rsid w:val="2B1E7EE0"/>
    <w:rsid w:val="2B585F6F"/>
    <w:rsid w:val="2BAB79AF"/>
    <w:rsid w:val="2BAE2633"/>
    <w:rsid w:val="2C023897"/>
    <w:rsid w:val="2C084B4B"/>
    <w:rsid w:val="2C1F3B89"/>
    <w:rsid w:val="2D0B7011"/>
    <w:rsid w:val="2D297497"/>
    <w:rsid w:val="2D5029C5"/>
    <w:rsid w:val="2E103C6D"/>
    <w:rsid w:val="2E4E5407"/>
    <w:rsid w:val="2E84707B"/>
    <w:rsid w:val="2EA43162"/>
    <w:rsid w:val="2ED973C6"/>
    <w:rsid w:val="2EDD69C9"/>
    <w:rsid w:val="2EE32F55"/>
    <w:rsid w:val="2F1B3B60"/>
    <w:rsid w:val="2F40586F"/>
    <w:rsid w:val="2FCC437B"/>
    <w:rsid w:val="30254F1E"/>
    <w:rsid w:val="30500B16"/>
    <w:rsid w:val="30905E24"/>
    <w:rsid w:val="309537C1"/>
    <w:rsid w:val="30D04228"/>
    <w:rsid w:val="311F74EF"/>
    <w:rsid w:val="316F2339"/>
    <w:rsid w:val="31A636DB"/>
    <w:rsid w:val="32330083"/>
    <w:rsid w:val="32801990"/>
    <w:rsid w:val="328D7AD1"/>
    <w:rsid w:val="32B90276"/>
    <w:rsid w:val="32CA457B"/>
    <w:rsid w:val="331C1F78"/>
    <w:rsid w:val="335C42EF"/>
    <w:rsid w:val="339742D3"/>
    <w:rsid w:val="33E36E5D"/>
    <w:rsid w:val="33F144DC"/>
    <w:rsid w:val="34443ABF"/>
    <w:rsid w:val="34451908"/>
    <w:rsid w:val="348035CF"/>
    <w:rsid w:val="3483314F"/>
    <w:rsid w:val="34940CBC"/>
    <w:rsid w:val="34C93A39"/>
    <w:rsid w:val="34EA69B4"/>
    <w:rsid w:val="35215A1E"/>
    <w:rsid w:val="353E31BA"/>
    <w:rsid w:val="35424C9F"/>
    <w:rsid w:val="3575771D"/>
    <w:rsid w:val="35963D7F"/>
    <w:rsid w:val="35B07151"/>
    <w:rsid w:val="35B976F4"/>
    <w:rsid w:val="35EC5DE7"/>
    <w:rsid w:val="362F083D"/>
    <w:rsid w:val="367148C1"/>
    <w:rsid w:val="36A4193D"/>
    <w:rsid w:val="371656B8"/>
    <w:rsid w:val="37A44A0D"/>
    <w:rsid w:val="38090DB7"/>
    <w:rsid w:val="384001AE"/>
    <w:rsid w:val="386F2B4A"/>
    <w:rsid w:val="387150D1"/>
    <w:rsid w:val="38760260"/>
    <w:rsid w:val="38781FC3"/>
    <w:rsid w:val="38BE4E82"/>
    <w:rsid w:val="390B792F"/>
    <w:rsid w:val="39526AB8"/>
    <w:rsid w:val="39C158EF"/>
    <w:rsid w:val="39E47BB1"/>
    <w:rsid w:val="39FE4B2B"/>
    <w:rsid w:val="3AA82343"/>
    <w:rsid w:val="3AC868D9"/>
    <w:rsid w:val="3B042F25"/>
    <w:rsid w:val="3B451EB3"/>
    <w:rsid w:val="3B856EE2"/>
    <w:rsid w:val="3BE2277D"/>
    <w:rsid w:val="3C1E16CD"/>
    <w:rsid w:val="3C29300F"/>
    <w:rsid w:val="3C392F59"/>
    <w:rsid w:val="3C3F75C0"/>
    <w:rsid w:val="3C715559"/>
    <w:rsid w:val="3C7D2916"/>
    <w:rsid w:val="3CA228E3"/>
    <w:rsid w:val="3CA80CC7"/>
    <w:rsid w:val="3CB12DE7"/>
    <w:rsid w:val="3CC17E21"/>
    <w:rsid w:val="3CCF7722"/>
    <w:rsid w:val="3CF4720D"/>
    <w:rsid w:val="3CF50F49"/>
    <w:rsid w:val="3CFD7A2D"/>
    <w:rsid w:val="3D1A76B2"/>
    <w:rsid w:val="3D1E559E"/>
    <w:rsid w:val="3D296701"/>
    <w:rsid w:val="3D4E5423"/>
    <w:rsid w:val="3D5C6FC8"/>
    <w:rsid w:val="3E9A6132"/>
    <w:rsid w:val="3EC15781"/>
    <w:rsid w:val="3EF73899"/>
    <w:rsid w:val="3EF83447"/>
    <w:rsid w:val="3F034E6B"/>
    <w:rsid w:val="3FEA1A28"/>
    <w:rsid w:val="3FFC510F"/>
    <w:rsid w:val="4028409E"/>
    <w:rsid w:val="406C1ED0"/>
    <w:rsid w:val="407B4E1C"/>
    <w:rsid w:val="4082163F"/>
    <w:rsid w:val="410C3EF3"/>
    <w:rsid w:val="41286AEB"/>
    <w:rsid w:val="417B60BB"/>
    <w:rsid w:val="41981B38"/>
    <w:rsid w:val="41BA491F"/>
    <w:rsid w:val="42493C4E"/>
    <w:rsid w:val="42987407"/>
    <w:rsid w:val="42B23F30"/>
    <w:rsid w:val="42CA554C"/>
    <w:rsid w:val="42E82163"/>
    <w:rsid w:val="42EE5362"/>
    <w:rsid w:val="430E5A01"/>
    <w:rsid w:val="4323683F"/>
    <w:rsid w:val="436362EE"/>
    <w:rsid w:val="43727992"/>
    <w:rsid w:val="43771AAC"/>
    <w:rsid w:val="43B01D75"/>
    <w:rsid w:val="43E1189D"/>
    <w:rsid w:val="44021BE8"/>
    <w:rsid w:val="44070D4A"/>
    <w:rsid w:val="44444E8A"/>
    <w:rsid w:val="444D2334"/>
    <w:rsid w:val="45027D9F"/>
    <w:rsid w:val="45670A75"/>
    <w:rsid w:val="456C5EC1"/>
    <w:rsid w:val="46067B28"/>
    <w:rsid w:val="46087271"/>
    <w:rsid w:val="465F7940"/>
    <w:rsid w:val="467F3E12"/>
    <w:rsid w:val="46806976"/>
    <w:rsid w:val="46993687"/>
    <w:rsid w:val="46997C90"/>
    <w:rsid w:val="46DB0223"/>
    <w:rsid w:val="4724536F"/>
    <w:rsid w:val="47283EBB"/>
    <w:rsid w:val="472B5F13"/>
    <w:rsid w:val="475630E3"/>
    <w:rsid w:val="47655843"/>
    <w:rsid w:val="47C21AC5"/>
    <w:rsid w:val="48207910"/>
    <w:rsid w:val="483838E2"/>
    <w:rsid w:val="48584BE3"/>
    <w:rsid w:val="487433D2"/>
    <w:rsid w:val="48754B6A"/>
    <w:rsid w:val="48E93727"/>
    <w:rsid w:val="48EF005C"/>
    <w:rsid w:val="491B0651"/>
    <w:rsid w:val="499433DE"/>
    <w:rsid w:val="49975D67"/>
    <w:rsid w:val="49EF0419"/>
    <w:rsid w:val="4A10672A"/>
    <w:rsid w:val="4A2B3CE2"/>
    <w:rsid w:val="4A514331"/>
    <w:rsid w:val="4AC51809"/>
    <w:rsid w:val="4B104B26"/>
    <w:rsid w:val="4BA40EBB"/>
    <w:rsid w:val="4BEB6533"/>
    <w:rsid w:val="4C245A99"/>
    <w:rsid w:val="4C2C3581"/>
    <w:rsid w:val="4C365A00"/>
    <w:rsid w:val="4C4174A1"/>
    <w:rsid w:val="4C6C23CC"/>
    <w:rsid w:val="4CAC01DB"/>
    <w:rsid w:val="4CD6689C"/>
    <w:rsid w:val="4CEA6EA0"/>
    <w:rsid w:val="4D406E7C"/>
    <w:rsid w:val="4D4C5128"/>
    <w:rsid w:val="4D9724CF"/>
    <w:rsid w:val="4DA4585D"/>
    <w:rsid w:val="4DB77F9E"/>
    <w:rsid w:val="4DBA7F6B"/>
    <w:rsid w:val="4DF93C57"/>
    <w:rsid w:val="4E446ECB"/>
    <w:rsid w:val="4E8A2F64"/>
    <w:rsid w:val="4EA41318"/>
    <w:rsid w:val="4EC522F9"/>
    <w:rsid w:val="4F043B94"/>
    <w:rsid w:val="4F251B9C"/>
    <w:rsid w:val="4F2A08C3"/>
    <w:rsid w:val="4F9F2878"/>
    <w:rsid w:val="504F0E3B"/>
    <w:rsid w:val="5051105B"/>
    <w:rsid w:val="50926F7D"/>
    <w:rsid w:val="509A19C9"/>
    <w:rsid w:val="50AD2BCF"/>
    <w:rsid w:val="50B929EB"/>
    <w:rsid w:val="50F96FFC"/>
    <w:rsid w:val="510E472C"/>
    <w:rsid w:val="514C35D0"/>
    <w:rsid w:val="514F39DB"/>
    <w:rsid w:val="517B4E23"/>
    <w:rsid w:val="51B12745"/>
    <w:rsid w:val="51BC6150"/>
    <w:rsid w:val="51D830B6"/>
    <w:rsid w:val="52392BB8"/>
    <w:rsid w:val="52C427F1"/>
    <w:rsid w:val="5314019D"/>
    <w:rsid w:val="531A4E8B"/>
    <w:rsid w:val="53242E06"/>
    <w:rsid w:val="53677B05"/>
    <w:rsid w:val="537B0E37"/>
    <w:rsid w:val="538B1DBE"/>
    <w:rsid w:val="538E1E04"/>
    <w:rsid w:val="53A5346C"/>
    <w:rsid w:val="53C45833"/>
    <w:rsid w:val="53F006E8"/>
    <w:rsid w:val="54A45718"/>
    <w:rsid w:val="54B51E36"/>
    <w:rsid w:val="55177A07"/>
    <w:rsid w:val="55556B89"/>
    <w:rsid w:val="55C26090"/>
    <w:rsid w:val="55E03658"/>
    <w:rsid w:val="560826E9"/>
    <w:rsid w:val="5630526E"/>
    <w:rsid w:val="56352885"/>
    <w:rsid w:val="563738D4"/>
    <w:rsid w:val="564417BC"/>
    <w:rsid w:val="564C5765"/>
    <w:rsid w:val="565A6483"/>
    <w:rsid w:val="568B3962"/>
    <w:rsid w:val="56AE6E31"/>
    <w:rsid w:val="56FF4CE8"/>
    <w:rsid w:val="571526B6"/>
    <w:rsid w:val="572F30D9"/>
    <w:rsid w:val="576F55D8"/>
    <w:rsid w:val="57850D7B"/>
    <w:rsid w:val="57AB782F"/>
    <w:rsid w:val="57BF4C6C"/>
    <w:rsid w:val="58265A4E"/>
    <w:rsid w:val="58523BC2"/>
    <w:rsid w:val="58642E56"/>
    <w:rsid w:val="58B54EB4"/>
    <w:rsid w:val="58C71B14"/>
    <w:rsid w:val="58E33CEB"/>
    <w:rsid w:val="5A101373"/>
    <w:rsid w:val="5A41264D"/>
    <w:rsid w:val="5A472178"/>
    <w:rsid w:val="5AB43F3C"/>
    <w:rsid w:val="5B26461E"/>
    <w:rsid w:val="5B2935DD"/>
    <w:rsid w:val="5B927112"/>
    <w:rsid w:val="5B9324A0"/>
    <w:rsid w:val="5BCC692A"/>
    <w:rsid w:val="5C7D73CD"/>
    <w:rsid w:val="5CDB271F"/>
    <w:rsid w:val="5D013284"/>
    <w:rsid w:val="5D56233C"/>
    <w:rsid w:val="5D8F48B8"/>
    <w:rsid w:val="5DC07D70"/>
    <w:rsid w:val="5DC17DFF"/>
    <w:rsid w:val="5E02164E"/>
    <w:rsid w:val="5E111D2C"/>
    <w:rsid w:val="5E2D162C"/>
    <w:rsid w:val="5E3A2E3F"/>
    <w:rsid w:val="5E4E0751"/>
    <w:rsid w:val="5E5E4943"/>
    <w:rsid w:val="5E737602"/>
    <w:rsid w:val="5EEA06A0"/>
    <w:rsid w:val="5F146F1E"/>
    <w:rsid w:val="5F593FDC"/>
    <w:rsid w:val="5F674857"/>
    <w:rsid w:val="5F862981"/>
    <w:rsid w:val="5FCA6734"/>
    <w:rsid w:val="5FCF3D4A"/>
    <w:rsid w:val="60B33F1D"/>
    <w:rsid w:val="60DC26AF"/>
    <w:rsid w:val="60F73D3F"/>
    <w:rsid w:val="61477461"/>
    <w:rsid w:val="61826B9A"/>
    <w:rsid w:val="61E04960"/>
    <w:rsid w:val="62061579"/>
    <w:rsid w:val="62430779"/>
    <w:rsid w:val="624D3A32"/>
    <w:rsid w:val="631B69F2"/>
    <w:rsid w:val="639E15B9"/>
    <w:rsid w:val="63C92C54"/>
    <w:rsid w:val="640B24A8"/>
    <w:rsid w:val="644A0CE8"/>
    <w:rsid w:val="645B2050"/>
    <w:rsid w:val="64650BFF"/>
    <w:rsid w:val="64C16862"/>
    <w:rsid w:val="654D5E54"/>
    <w:rsid w:val="659B234B"/>
    <w:rsid w:val="65A426A5"/>
    <w:rsid w:val="65CF36C3"/>
    <w:rsid w:val="660E09B2"/>
    <w:rsid w:val="661D6801"/>
    <w:rsid w:val="663F6DC4"/>
    <w:rsid w:val="66430FEE"/>
    <w:rsid w:val="664E7FF1"/>
    <w:rsid w:val="66530A0F"/>
    <w:rsid w:val="669962FC"/>
    <w:rsid w:val="66A02C7C"/>
    <w:rsid w:val="66A4342B"/>
    <w:rsid w:val="66A77964"/>
    <w:rsid w:val="66BC5D21"/>
    <w:rsid w:val="67292158"/>
    <w:rsid w:val="67544B35"/>
    <w:rsid w:val="676A6106"/>
    <w:rsid w:val="67FE5621"/>
    <w:rsid w:val="682C260C"/>
    <w:rsid w:val="688F42C9"/>
    <w:rsid w:val="68A16CAB"/>
    <w:rsid w:val="690B3981"/>
    <w:rsid w:val="693C5C0C"/>
    <w:rsid w:val="6954706E"/>
    <w:rsid w:val="69E91EE4"/>
    <w:rsid w:val="69EF3CC4"/>
    <w:rsid w:val="69FD608C"/>
    <w:rsid w:val="6AAB53B4"/>
    <w:rsid w:val="6AB03B50"/>
    <w:rsid w:val="6AE84854"/>
    <w:rsid w:val="6B4F2748"/>
    <w:rsid w:val="6B5430FC"/>
    <w:rsid w:val="6B6408B3"/>
    <w:rsid w:val="6B6F562C"/>
    <w:rsid w:val="6B7E4C2D"/>
    <w:rsid w:val="6B923E7E"/>
    <w:rsid w:val="6B9D6AAA"/>
    <w:rsid w:val="6BA66953"/>
    <w:rsid w:val="6BBE19C0"/>
    <w:rsid w:val="6BE13E65"/>
    <w:rsid w:val="6BE91C61"/>
    <w:rsid w:val="6C031CBB"/>
    <w:rsid w:val="6C225946"/>
    <w:rsid w:val="6C5531CA"/>
    <w:rsid w:val="6C5C48FC"/>
    <w:rsid w:val="6C6B79A8"/>
    <w:rsid w:val="6C9500C9"/>
    <w:rsid w:val="6CCB4222"/>
    <w:rsid w:val="6D4A0EB4"/>
    <w:rsid w:val="6E28748B"/>
    <w:rsid w:val="6E307CE9"/>
    <w:rsid w:val="6E6360B9"/>
    <w:rsid w:val="6EA160EB"/>
    <w:rsid w:val="6EA22B12"/>
    <w:rsid w:val="6EC179F9"/>
    <w:rsid w:val="6ECD388F"/>
    <w:rsid w:val="6EE9386F"/>
    <w:rsid w:val="6F3239AE"/>
    <w:rsid w:val="6F457B85"/>
    <w:rsid w:val="6F653BDE"/>
    <w:rsid w:val="6F8E1F3C"/>
    <w:rsid w:val="6FB82D28"/>
    <w:rsid w:val="6FEA1AE4"/>
    <w:rsid w:val="70271299"/>
    <w:rsid w:val="70A00262"/>
    <w:rsid w:val="70EB5A09"/>
    <w:rsid w:val="712C73CD"/>
    <w:rsid w:val="71616A29"/>
    <w:rsid w:val="71C23AFD"/>
    <w:rsid w:val="71EF202A"/>
    <w:rsid w:val="724279F9"/>
    <w:rsid w:val="724C14C1"/>
    <w:rsid w:val="72512963"/>
    <w:rsid w:val="728E2D77"/>
    <w:rsid w:val="72B74B73"/>
    <w:rsid w:val="72C97D10"/>
    <w:rsid w:val="733E5017"/>
    <w:rsid w:val="734B41E3"/>
    <w:rsid w:val="738E1606"/>
    <w:rsid w:val="739E5AB6"/>
    <w:rsid w:val="75474ECE"/>
    <w:rsid w:val="75836227"/>
    <w:rsid w:val="75B952FF"/>
    <w:rsid w:val="76032A67"/>
    <w:rsid w:val="76BF5F6B"/>
    <w:rsid w:val="773977A4"/>
    <w:rsid w:val="7745667D"/>
    <w:rsid w:val="77852D15"/>
    <w:rsid w:val="779735FB"/>
    <w:rsid w:val="77C54382"/>
    <w:rsid w:val="77E30EEA"/>
    <w:rsid w:val="781B305C"/>
    <w:rsid w:val="78380ADD"/>
    <w:rsid w:val="78C074D3"/>
    <w:rsid w:val="7900298C"/>
    <w:rsid w:val="790863AB"/>
    <w:rsid w:val="791074F8"/>
    <w:rsid w:val="791D747D"/>
    <w:rsid w:val="7921178D"/>
    <w:rsid w:val="79CC0134"/>
    <w:rsid w:val="79F07C8D"/>
    <w:rsid w:val="79FB67F4"/>
    <w:rsid w:val="7A110B51"/>
    <w:rsid w:val="7AC83291"/>
    <w:rsid w:val="7B62619A"/>
    <w:rsid w:val="7B6B2898"/>
    <w:rsid w:val="7B7E713C"/>
    <w:rsid w:val="7BA45C33"/>
    <w:rsid w:val="7BD36518"/>
    <w:rsid w:val="7BE339A3"/>
    <w:rsid w:val="7BF90632"/>
    <w:rsid w:val="7C0C6FD5"/>
    <w:rsid w:val="7C1F52BA"/>
    <w:rsid w:val="7C224DAA"/>
    <w:rsid w:val="7C2B55B7"/>
    <w:rsid w:val="7C3A6597"/>
    <w:rsid w:val="7C3D0F5F"/>
    <w:rsid w:val="7C4A00E8"/>
    <w:rsid w:val="7C7310AD"/>
    <w:rsid w:val="7CA839C1"/>
    <w:rsid w:val="7CB80145"/>
    <w:rsid w:val="7CBA15FF"/>
    <w:rsid w:val="7CDC4FC8"/>
    <w:rsid w:val="7CDF7C7E"/>
    <w:rsid w:val="7CE0713F"/>
    <w:rsid w:val="7CE359F9"/>
    <w:rsid w:val="7DB71E82"/>
    <w:rsid w:val="7E1465E8"/>
    <w:rsid w:val="7E40607C"/>
    <w:rsid w:val="7E46721B"/>
    <w:rsid w:val="7ED503DF"/>
    <w:rsid w:val="7F4C286A"/>
    <w:rsid w:val="7F7D6EC7"/>
    <w:rsid w:val="7F854F9A"/>
    <w:rsid w:val="7FD97F52"/>
    <w:rsid w:val="7FF81B5F"/>
    <w:rsid w:val="FF9E1F03"/>
    <w:rsid w:val="FFF7C8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4"/>
    <w:basedOn w:val="1"/>
    <w:next w:val="1"/>
    <w:qFormat/>
    <w:uiPriority w:val="1"/>
    <w:pPr>
      <w:spacing w:before="37"/>
      <w:ind w:left="1220"/>
      <w:outlineLvl w:val="3"/>
    </w:pPr>
    <w:rPr>
      <w:rFonts w:ascii="仿宋" w:hAnsi="仿宋" w:eastAsia="仿宋" w:cs="仿宋"/>
      <w:b/>
      <w:bCs/>
      <w:sz w:val="28"/>
      <w:szCs w:val="28"/>
      <w:lang w:val="zh-CN" w:bidi="zh-CN"/>
    </w:rPr>
  </w:style>
  <w:style w:type="paragraph" w:styleId="5">
    <w:name w:val="heading 5"/>
    <w:basedOn w:val="1"/>
    <w:next w:val="1"/>
    <w:qFormat/>
    <w:uiPriority w:val="1"/>
    <w:pPr>
      <w:spacing w:before="20"/>
      <w:ind w:left="1203"/>
      <w:outlineLvl w:val="4"/>
    </w:pPr>
    <w:rPr>
      <w:rFonts w:ascii="仿宋" w:hAnsi="仿宋" w:eastAsia="仿宋" w:cs="仿宋"/>
      <w:b/>
      <w:bCs/>
      <w:szCs w:val="21"/>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仿宋" w:hAnsi="仿宋" w:eastAsia="仿宋" w:cs="仿宋"/>
      <w:szCs w:val="21"/>
      <w:lang w:val="zh-CN" w:bidi="zh-CN"/>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able Normal"/>
    <w:qFormat/>
    <w:uiPriority w:val="0"/>
    <w:tblPr>
      <w:tblCellMar>
        <w:top w:w="0" w:type="dxa"/>
        <w:left w:w="0" w:type="dxa"/>
        <w:bottom w:w="0" w:type="dxa"/>
        <w:right w:w="0" w:type="dxa"/>
      </w:tblCellMar>
    </w:tblPr>
  </w:style>
  <w:style w:type="paragraph" w:customStyle="1" w:styleId="16">
    <w:name w:val="Table Paragraph"/>
    <w:basedOn w:val="1"/>
    <w:qFormat/>
    <w:uiPriority w:val="1"/>
    <w:rPr>
      <w:rFonts w:ascii="仿宋" w:hAnsi="仿宋" w:eastAsia="仿宋" w:cs="仿宋"/>
      <w:lang w:val="zh-CN" w:bidi="zh-CN"/>
    </w:rPr>
  </w:style>
  <w:style w:type="character" w:customStyle="1" w:styleId="17">
    <w:name w:val="font11"/>
    <w:basedOn w:val="14"/>
    <w:qFormat/>
    <w:uiPriority w:val="0"/>
    <w:rPr>
      <w:rFonts w:ascii="仿宋_GB2312" w:eastAsia="仿宋_GB2312" w:cs="仿宋_GB2312"/>
      <w:color w:val="000000"/>
      <w:sz w:val="18"/>
      <w:szCs w:val="18"/>
      <w:u w:val="none"/>
    </w:rPr>
  </w:style>
  <w:style w:type="character" w:customStyle="1" w:styleId="18">
    <w:name w:val="font41"/>
    <w:basedOn w:val="14"/>
    <w:qFormat/>
    <w:uiPriority w:val="0"/>
    <w:rPr>
      <w:rFonts w:ascii="仿宋_GB2312" w:eastAsia="仿宋_GB2312" w:cs="仿宋_GB2312"/>
      <w:color w:val="000000"/>
      <w:sz w:val="18"/>
      <w:szCs w:val="18"/>
      <w:u w:val="none"/>
    </w:rPr>
  </w:style>
  <w:style w:type="character" w:customStyle="1" w:styleId="19">
    <w:name w:val="font31"/>
    <w:basedOn w:val="14"/>
    <w:qFormat/>
    <w:uiPriority w:val="0"/>
    <w:rPr>
      <w:rFonts w:hint="default" w:ascii="Times New Roman" w:hAnsi="Times New Roman" w:cs="Times New Roman"/>
      <w:color w:val="000000"/>
      <w:sz w:val="18"/>
      <w:szCs w:val="18"/>
      <w:u w:val="none"/>
    </w:rPr>
  </w:style>
  <w:style w:type="character" w:customStyle="1" w:styleId="20">
    <w:name w:val="font21"/>
    <w:basedOn w:val="14"/>
    <w:qFormat/>
    <w:uiPriority w:val="0"/>
    <w:rPr>
      <w:rFonts w:hint="eastAsia" w:ascii="仿宋_GB2312" w:eastAsia="仿宋_GB2312" w:cs="仿宋_GB2312"/>
      <w:color w:val="000000"/>
      <w:sz w:val="18"/>
      <w:szCs w:val="18"/>
      <w:u w:val="none"/>
    </w:rPr>
  </w:style>
  <w:style w:type="character" w:customStyle="1" w:styleId="21">
    <w:name w:val="font61"/>
    <w:basedOn w:val="14"/>
    <w:qFormat/>
    <w:uiPriority w:val="0"/>
    <w:rPr>
      <w:rFonts w:hint="eastAsia" w:ascii="仿宋_GB2312" w:eastAsia="仿宋_GB2312" w:cs="仿宋_GB2312"/>
      <w:color w:val="000000"/>
      <w:sz w:val="18"/>
      <w:szCs w:val="18"/>
      <w:u w:val="none"/>
    </w:rPr>
  </w:style>
  <w:style w:type="character" w:customStyle="1" w:styleId="22">
    <w:name w:val="font51"/>
    <w:basedOn w:val="14"/>
    <w:qFormat/>
    <w:uiPriority w:val="0"/>
    <w:rPr>
      <w:rFonts w:hint="default" w:ascii="Times New Roman" w:hAnsi="Times New Roman" w:cs="Times New Roman"/>
      <w:color w:val="000000"/>
      <w:sz w:val="18"/>
      <w:szCs w:val="18"/>
      <w:u w:val="none"/>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5">
    <w:name w:val="批注框文本 Char"/>
    <w:basedOn w:val="14"/>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鑫合惠联</Company>
  <Pages>317</Pages>
  <Words>28998</Words>
  <Characters>165293</Characters>
  <Lines>1377</Lines>
  <Paragraphs>387</Paragraphs>
  <TotalTime>7</TotalTime>
  <ScaleCrop>false</ScaleCrop>
  <LinksUpToDate>false</LinksUpToDate>
  <CharactersWithSpaces>193904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2023-11-29T17:35:00Z</dcterms:created>
  <dc:creator>mikk</dc:creator>
  <cp:lastModifiedBy>user</cp:lastModifiedBy>
  <cp:lastPrinted>2023-07-21T18:13:00Z</cp:lastPrinted>
  <dcterms:modified xsi:type="dcterms:W3CDTF">2023-11-29T14:34:42Z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4EFFD1E639144BA7AE83F54188908129_13</vt:lpwstr>
  </property>
</Properties>
</file>