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olors1.xml" ContentType="application/vnd.ms-office.chartcolorstyle+xml"/>
  <Override PartName="/word/charts/colors2.xml" ContentType="application/vnd.ms-office.chartcolorstyle+xml"/>
  <Override PartName="/word/charts/style1.xml" ContentType="application/vnd.ms-office.chartstyle+xml"/>
  <Override PartName="/word/charts/style2.xml" ContentType="application/vnd.ms-office.chartstyle+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eastAsia" w:ascii="方正小标宋简体" w:hAnsi="方正小标宋简体" w:eastAsia="方正小标宋简体" w:cs="方正小标宋简体"/>
          <w:sz w:val="44"/>
          <w:szCs w:val="44"/>
          <w:highlight w:val="none"/>
        </w:rPr>
      </w:pPr>
      <w:r>
        <w:rPr>
          <w:rFonts w:hint="eastAsia" w:ascii="方正小标宋简体" w:hAnsi="方正小标宋简体" w:eastAsia="方正小标宋简体" w:cs="方正小标宋简体"/>
          <w:sz w:val="44"/>
          <w:szCs w:val="44"/>
          <w:highlight w:val="none"/>
          <w:lang w:val="en-US" w:eastAsia="zh-CN"/>
        </w:rPr>
        <w:t>本溪</w:t>
      </w:r>
      <w:r>
        <w:rPr>
          <w:rFonts w:hint="eastAsia" w:ascii="方正小标宋简体" w:hAnsi="方正小标宋简体" w:eastAsia="方正小标宋简体" w:cs="方正小标宋简体"/>
          <w:sz w:val="44"/>
          <w:szCs w:val="44"/>
          <w:highlight w:val="none"/>
        </w:rPr>
        <w:t>市固体废物污染环境防治信息公告（202</w:t>
      </w:r>
      <w:r>
        <w:rPr>
          <w:rFonts w:hint="eastAsia" w:ascii="方正小标宋简体" w:hAnsi="方正小标宋简体" w:eastAsia="方正小标宋简体" w:cs="方正小标宋简体"/>
          <w:sz w:val="44"/>
          <w:szCs w:val="44"/>
          <w:highlight w:val="none"/>
          <w:lang w:val="en-US" w:eastAsia="zh-CN"/>
        </w:rPr>
        <w:t>5</w:t>
      </w:r>
      <w:r>
        <w:rPr>
          <w:rFonts w:hint="eastAsia" w:ascii="方正小标宋简体" w:hAnsi="方正小标宋简体" w:eastAsia="方正小标宋简体" w:cs="方正小标宋简体"/>
          <w:sz w:val="44"/>
          <w:szCs w:val="44"/>
          <w:highlight w:val="none"/>
        </w:rPr>
        <w:t>年度）</w:t>
      </w:r>
    </w:p>
    <w:p>
      <w:pPr>
        <w:keepNext w:val="0"/>
        <w:keepLines w:val="0"/>
        <w:pageBreakBefore w:val="0"/>
        <w:widowControl w:val="0"/>
        <w:kinsoku/>
        <w:wordWrap/>
        <w:overflowPunct/>
        <w:topLinePunct w:val="0"/>
        <w:autoSpaceDE/>
        <w:autoSpaceDN/>
        <w:bidi w:val="0"/>
        <w:adjustRightInd/>
        <w:snapToGrid/>
        <w:spacing w:line="560" w:lineRule="exact"/>
        <w:ind w:firstLine="880" w:firstLineChars="200"/>
        <w:textAlignment w:val="auto"/>
        <w:rPr>
          <w:rFonts w:hint="eastAsia" w:ascii="方正小标宋简体" w:hAnsi="方正小标宋简体" w:eastAsia="方正小标宋简体" w:cs="方正小标宋简体"/>
          <w:sz w:val="44"/>
          <w:szCs w:val="44"/>
          <w:highlight w:val="none"/>
        </w:rPr>
      </w:pP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_GB2312" w:hAnsi="仿宋_GB2312" w:eastAsia="仿宋_GB2312" w:cs="仿宋_GB2312"/>
          <w:sz w:val="32"/>
          <w:szCs w:val="32"/>
          <w:highlight w:val="none"/>
          <w:lang w:eastAsia="zh-CN"/>
        </w:rPr>
      </w:pPr>
      <w:r>
        <w:rPr>
          <w:rFonts w:hint="eastAsia" w:ascii="仿宋_GB2312" w:hAnsi="仿宋_GB2312" w:eastAsia="仿宋_GB2312" w:cs="仿宋_GB2312"/>
          <w:sz w:val="32"/>
          <w:szCs w:val="32"/>
          <w:highlight w:val="none"/>
        </w:rPr>
        <w:t>202</w:t>
      </w:r>
      <w:r>
        <w:rPr>
          <w:rFonts w:hint="eastAsia" w:ascii="仿宋_GB2312" w:hAnsi="仿宋_GB2312" w:eastAsia="仿宋_GB2312" w:cs="仿宋_GB2312"/>
          <w:sz w:val="32"/>
          <w:szCs w:val="32"/>
          <w:highlight w:val="none"/>
          <w:lang w:val="en-US" w:eastAsia="zh-CN"/>
        </w:rPr>
        <w:t>5</w:t>
      </w:r>
      <w:r>
        <w:rPr>
          <w:rFonts w:hint="eastAsia" w:ascii="仿宋_GB2312" w:hAnsi="仿宋_GB2312" w:eastAsia="仿宋_GB2312" w:cs="仿宋_GB2312"/>
          <w:sz w:val="32"/>
          <w:szCs w:val="32"/>
          <w:highlight w:val="none"/>
        </w:rPr>
        <w:t>年</w:t>
      </w:r>
      <w:r>
        <w:rPr>
          <w:rFonts w:hint="eastAsia" w:ascii="仿宋_GB2312" w:hAnsi="仿宋_GB2312" w:eastAsia="仿宋_GB2312" w:cs="仿宋_GB2312"/>
          <w:sz w:val="32"/>
          <w:szCs w:val="32"/>
          <w:highlight w:val="none"/>
          <w:lang w:eastAsia="zh-CN"/>
        </w:rPr>
        <w:t>，全</w:t>
      </w:r>
      <w:r>
        <w:rPr>
          <w:rFonts w:hint="eastAsia" w:ascii="仿宋_GB2312" w:hAnsi="仿宋_GB2312" w:eastAsia="仿宋_GB2312" w:cs="仿宋_GB2312"/>
          <w:sz w:val="32"/>
          <w:szCs w:val="32"/>
          <w:highlight w:val="none"/>
        </w:rPr>
        <w:t>市一般工业固体废物产生量为</w:t>
      </w:r>
      <w:r>
        <w:rPr>
          <w:rFonts w:hint="eastAsia" w:ascii="仿宋_GB2312" w:hAnsi="仿宋_GB2312" w:eastAsia="仿宋_GB2312" w:cs="仿宋_GB2312"/>
          <w:sz w:val="32"/>
          <w:szCs w:val="32"/>
          <w:highlight w:val="none"/>
          <w:lang w:val="en-US" w:eastAsia="zh-CN"/>
        </w:rPr>
        <w:t>3983.48</w:t>
      </w:r>
      <w:r>
        <w:rPr>
          <w:rFonts w:hint="eastAsia" w:ascii="仿宋_GB2312" w:hAnsi="仿宋_GB2312" w:eastAsia="仿宋_GB2312" w:cs="仿宋_GB2312"/>
          <w:sz w:val="32"/>
          <w:szCs w:val="32"/>
          <w:highlight w:val="none"/>
        </w:rPr>
        <w:t>万吨，危险废物</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lang w:val="en-US" w:eastAsia="zh-CN"/>
        </w:rPr>
        <w:t>不</w:t>
      </w:r>
      <w:r>
        <w:rPr>
          <w:rFonts w:hint="eastAsia" w:ascii="仿宋_GB2312" w:hAnsi="仿宋_GB2312" w:eastAsia="仿宋_GB2312" w:cs="仿宋_GB2312"/>
          <w:sz w:val="32"/>
          <w:szCs w:val="32"/>
          <w:highlight w:val="none"/>
          <w:lang w:eastAsia="zh-CN"/>
        </w:rPr>
        <w:t>含医疗废物）</w:t>
      </w:r>
      <w:r>
        <w:rPr>
          <w:rFonts w:hint="eastAsia" w:ascii="仿宋_GB2312" w:hAnsi="仿宋_GB2312" w:eastAsia="仿宋_GB2312" w:cs="仿宋_GB2312"/>
          <w:sz w:val="32"/>
          <w:szCs w:val="32"/>
          <w:highlight w:val="none"/>
        </w:rPr>
        <w:t>产生量为</w:t>
      </w:r>
      <w:r>
        <w:rPr>
          <w:rFonts w:hint="eastAsia" w:ascii="仿宋_GB2312" w:hAnsi="仿宋_GB2312" w:eastAsia="仿宋_GB2312" w:cs="仿宋_GB2312"/>
          <w:color w:val="auto"/>
          <w:sz w:val="32"/>
          <w:szCs w:val="32"/>
          <w:highlight w:val="none"/>
          <w:lang w:val="en-US" w:eastAsia="zh-CN"/>
        </w:rPr>
        <w:t>19.89</w:t>
      </w:r>
      <w:r>
        <w:rPr>
          <w:rFonts w:hint="eastAsia" w:ascii="仿宋_GB2312" w:hAnsi="仿宋_GB2312" w:eastAsia="仿宋_GB2312" w:cs="仿宋_GB2312"/>
          <w:sz w:val="32"/>
          <w:szCs w:val="32"/>
          <w:highlight w:val="none"/>
          <w:lang w:eastAsia="zh-CN"/>
        </w:rPr>
        <w:t>万</w:t>
      </w:r>
      <w:r>
        <w:rPr>
          <w:rFonts w:hint="eastAsia" w:ascii="仿宋_GB2312" w:hAnsi="仿宋_GB2312" w:eastAsia="仿宋_GB2312" w:cs="仿宋_GB2312"/>
          <w:sz w:val="32"/>
          <w:szCs w:val="32"/>
          <w:highlight w:val="none"/>
        </w:rPr>
        <w:t>吨，</w:t>
      </w:r>
      <w:r>
        <w:rPr>
          <w:rFonts w:hint="eastAsia" w:ascii="仿宋_GB2312" w:hAnsi="仿宋_GB2312" w:eastAsia="仿宋_GB2312" w:cs="仿宋_GB2312"/>
          <w:sz w:val="32"/>
          <w:szCs w:val="32"/>
          <w:highlight w:val="none"/>
          <w:lang w:eastAsia="zh-CN"/>
        </w:rPr>
        <w:t>城乡</w:t>
      </w:r>
      <w:r>
        <w:rPr>
          <w:rFonts w:hint="eastAsia" w:ascii="仿宋_GB2312" w:hAnsi="仿宋_GB2312" w:eastAsia="仿宋_GB2312" w:cs="仿宋_GB2312"/>
          <w:color w:val="auto"/>
          <w:sz w:val="32"/>
          <w:szCs w:val="32"/>
          <w:highlight w:val="none"/>
        </w:rPr>
        <w:t>生活垃圾产生量</w:t>
      </w:r>
      <w:r>
        <w:rPr>
          <w:rFonts w:hint="eastAsia" w:ascii="仿宋_GB2312" w:hAnsi="仿宋_GB2312" w:eastAsia="仿宋_GB2312" w:cs="仿宋_GB2312"/>
          <w:color w:val="auto"/>
          <w:sz w:val="32"/>
          <w:szCs w:val="32"/>
          <w:highlight w:val="none"/>
          <w:lang w:val="en-US" w:eastAsia="zh-CN"/>
        </w:rPr>
        <w:t>为37.505</w:t>
      </w:r>
      <w:r>
        <w:rPr>
          <w:rFonts w:hint="eastAsia" w:ascii="仿宋_GB2312" w:hAnsi="仿宋_GB2312" w:eastAsia="仿宋_GB2312" w:cs="仿宋_GB2312"/>
          <w:color w:val="auto"/>
          <w:sz w:val="32"/>
          <w:szCs w:val="32"/>
          <w:highlight w:val="none"/>
        </w:rPr>
        <w:t>万吨，</w:t>
      </w:r>
      <w:r>
        <w:rPr>
          <w:rFonts w:hint="eastAsia" w:ascii="仿宋_GB2312" w:hAnsi="仿宋_GB2312" w:eastAsia="仿宋_GB2312" w:cs="仿宋_GB2312"/>
          <w:strike w:val="0"/>
          <w:dstrike w:val="0"/>
          <w:color w:val="auto"/>
          <w:sz w:val="32"/>
          <w:szCs w:val="32"/>
          <w:highlight w:val="none"/>
        </w:rPr>
        <w:t>建筑垃圾产生量为</w:t>
      </w:r>
      <w:r>
        <w:rPr>
          <w:rFonts w:ascii="仿宋_GB2312" w:eastAsia="仿宋_GB2312"/>
          <w:sz w:val="32"/>
          <w:szCs w:val="32"/>
          <w:highlight w:val="none"/>
        </w:rPr>
        <w:t>206.58万吨</w:t>
      </w:r>
      <w:r>
        <w:rPr>
          <w:rFonts w:hint="eastAsia" w:ascii="仿宋_GB2312" w:hAnsi="仿宋_GB2312" w:eastAsia="仿宋_GB2312" w:cs="仿宋_GB2312"/>
          <w:strike w:val="0"/>
          <w:dstrike w:val="0"/>
          <w:color w:val="auto"/>
          <w:sz w:val="32"/>
          <w:szCs w:val="32"/>
          <w:highlight w:val="none"/>
        </w:rPr>
        <w:t>，</w:t>
      </w:r>
      <w:r>
        <w:rPr>
          <w:rFonts w:hint="eastAsia" w:ascii="仿宋_GB2312" w:hAnsi="仿宋_GB2312" w:eastAsia="仿宋_GB2312" w:cs="仿宋_GB2312"/>
          <w:strike w:val="0"/>
          <w:dstrike w:val="0"/>
          <w:color w:val="auto"/>
          <w:sz w:val="32"/>
          <w:szCs w:val="32"/>
          <w:highlight w:val="none"/>
          <w:lang w:eastAsia="zh-CN"/>
        </w:rPr>
        <w:t>城镇污水</w:t>
      </w:r>
      <w:r>
        <w:rPr>
          <w:rFonts w:hint="eastAsia" w:ascii="仿宋_GB2312" w:hAnsi="仿宋_GB2312" w:eastAsia="仿宋_GB2312" w:cs="仿宋_GB2312"/>
          <w:sz w:val="32"/>
          <w:szCs w:val="32"/>
          <w:highlight w:val="none"/>
        </w:rPr>
        <w:t>污泥产生量为</w:t>
      </w:r>
      <w:r>
        <w:rPr>
          <w:rFonts w:hint="eastAsia" w:ascii="仿宋_GB2312" w:hAnsi="仿宋_GB2312" w:eastAsia="仿宋_GB2312" w:cs="仿宋_GB2312"/>
          <w:sz w:val="32"/>
          <w:szCs w:val="32"/>
          <w:highlight w:val="none"/>
          <w:lang w:val="en-US" w:eastAsia="zh-CN"/>
        </w:rPr>
        <w:t>5.14万</w:t>
      </w:r>
      <w:r>
        <w:rPr>
          <w:rFonts w:hint="eastAsia" w:ascii="仿宋_GB2312" w:eastAsia="仿宋_GB2312"/>
          <w:sz w:val="32"/>
          <w:szCs w:val="32"/>
          <w:highlight w:val="none"/>
        </w:rPr>
        <w:t>吨</w:t>
      </w:r>
      <w:r>
        <w:rPr>
          <w:rFonts w:hint="eastAsia" w:ascii="仿宋_GB2312" w:hAnsi="仿宋_GB2312" w:eastAsia="仿宋_GB2312" w:cs="仿宋_GB2312"/>
          <w:sz w:val="32"/>
          <w:szCs w:val="32"/>
          <w:highlight w:val="none"/>
        </w:rPr>
        <w:t>。</w:t>
      </w:r>
      <w:r>
        <w:rPr>
          <w:rFonts w:hint="eastAsia" w:ascii="仿宋_GB2312" w:hAnsi="仿宋_GB2312" w:eastAsia="仿宋_GB2312" w:cs="仿宋_GB2312"/>
          <w:sz w:val="32"/>
          <w:szCs w:val="32"/>
          <w:highlight w:val="none"/>
          <w:lang w:eastAsia="zh-CN"/>
        </w:rPr>
        <w:t>全</w:t>
      </w:r>
      <w:r>
        <w:rPr>
          <w:rFonts w:hint="eastAsia" w:ascii="仿宋_GB2312" w:hAnsi="仿宋_GB2312" w:eastAsia="仿宋_GB2312" w:cs="仿宋_GB2312"/>
          <w:sz w:val="32"/>
          <w:szCs w:val="32"/>
          <w:highlight w:val="none"/>
        </w:rPr>
        <w:t>市固体废物污染环境防治信息详细情况如下。</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_GB2312" w:hAnsi="仿宋_GB2312" w:eastAsia="仿宋_GB2312" w:cs="仿宋_GB2312"/>
          <w:sz w:val="32"/>
          <w:szCs w:val="32"/>
          <w:highlight w:val="none"/>
        </w:rPr>
      </w:pPr>
      <w:r>
        <w:rPr>
          <w:rFonts w:hint="eastAsia" w:ascii="黑体" w:hAnsi="黑体" w:eastAsia="黑体" w:cs="黑体"/>
          <w:sz w:val="32"/>
          <w:szCs w:val="32"/>
          <w:highlight w:val="none"/>
        </w:rPr>
        <w:t>一、一般工业固体废物</w:t>
      </w:r>
    </w:p>
    <w:p>
      <w:pPr>
        <w:keepNext w:val="0"/>
        <w:keepLines w:val="0"/>
        <w:pageBreakBefore w:val="0"/>
        <w:widowControl w:val="0"/>
        <w:kinsoku/>
        <w:wordWrap/>
        <w:overflowPunct/>
        <w:topLinePunct w:val="0"/>
        <w:autoSpaceDE/>
        <w:autoSpaceDN/>
        <w:bidi w:val="0"/>
        <w:adjustRightInd/>
        <w:snapToGrid/>
        <w:spacing w:line="578" w:lineRule="exact"/>
        <w:ind w:firstLine="643" w:firstLineChars="200"/>
        <w:textAlignment w:val="auto"/>
        <w:rPr>
          <w:rFonts w:hint="eastAsia" w:ascii="仿宋_GB2312" w:hAnsi="仿宋_GB2312" w:eastAsia="仿宋_GB2312" w:cs="仿宋_GB2312"/>
          <w:b/>
          <w:bCs/>
          <w:sz w:val="32"/>
          <w:szCs w:val="32"/>
          <w:highlight w:val="none"/>
        </w:rPr>
      </w:pPr>
      <w:r>
        <w:rPr>
          <w:rFonts w:hint="eastAsia" w:ascii="仿宋_GB2312" w:hAnsi="仿宋_GB2312" w:eastAsia="仿宋_GB2312" w:cs="仿宋_GB2312"/>
          <w:b/>
          <w:bCs/>
          <w:sz w:val="32"/>
          <w:szCs w:val="32"/>
          <w:highlight w:val="none"/>
          <w:lang w:val="en-US" w:eastAsia="zh-CN"/>
        </w:rPr>
        <w:t>1.</w:t>
      </w:r>
      <w:r>
        <w:rPr>
          <w:rFonts w:hint="eastAsia" w:ascii="仿宋_GB2312" w:hAnsi="仿宋_GB2312" w:eastAsia="仿宋_GB2312" w:cs="仿宋_GB2312"/>
          <w:b/>
          <w:bCs/>
          <w:sz w:val="32"/>
          <w:szCs w:val="32"/>
          <w:highlight w:val="none"/>
        </w:rPr>
        <w:t>产生、利用及处置情况</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rPr>
        <w:t>202</w:t>
      </w:r>
      <w:r>
        <w:rPr>
          <w:rFonts w:hint="eastAsia" w:ascii="仿宋_GB2312" w:hAnsi="仿宋_GB2312" w:eastAsia="仿宋_GB2312" w:cs="仿宋_GB2312"/>
          <w:sz w:val="32"/>
          <w:szCs w:val="32"/>
          <w:highlight w:val="none"/>
          <w:lang w:val="en-US" w:eastAsia="zh-CN"/>
        </w:rPr>
        <w:t>5</w:t>
      </w:r>
      <w:r>
        <w:rPr>
          <w:rFonts w:hint="eastAsia" w:ascii="仿宋_GB2312" w:hAnsi="仿宋_GB2312" w:eastAsia="仿宋_GB2312" w:cs="仿宋_GB2312"/>
          <w:sz w:val="32"/>
          <w:szCs w:val="32"/>
          <w:highlight w:val="none"/>
        </w:rPr>
        <w:t>年，本市一般工业固体废物产生量</w:t>
      </w:r>
      <w:r>
        <w:rPr>
          <w:rFonts w:hint="eastAsia" w:ascii="仿宋_GB2312" w:hAnsi="仿宋_GB2312" w:eastAsia="仿宋_GB2312" w:cs="仿宋_GB2312"/>
          <w:sz w:val="32"/>
          <w:szCs w:val="32"/>
          <w:highlight w:val="none"/>
          <w:lang w:val="en-US" w:eastAsia="zh-CN"/>
        </w:rPr>
        <w:t>3983.48</w:t>
      </w:r>
      <w:r>
        <w:rPr>
          <w:rFonts w:hint="eastAsia" w:ascii="仿宋_GB2312" w:hAnsi="仿宋_GB2312" w:eastAsia="仿宋_GB2312" w:cs="仿宋_GB2312"/>
          <w:sz w:val="32"/>
          <w:szCs w:val="32"/>
          <w:highlight w:val="none"/>
        </w:rPr>
        <w:t>万吨，综合利用量为</w:t>
      </w:r>
      <w:r>
        <w:rPr>
          <w:rFonts w:hint="eastAsia" w:ascii="仿宋_GB2312" w:hAnsi="仿宋_GB2312" w:eastAsia="仿宋_GB2312" w:cs="仿宋_GB2312"/>
          <w:sz w:val="32"/>
          <w:szCs w:val="32"/>
          <w:highlight w:val="none"/>
          <w:lang w:val="en-US" w:eastAsia="zh-CN"/>
        </w:rPr>
        <w:t>1472.37</w:t>
      </w:r>
      <w:r>
        <w:rPr>
          <w:rFonts w:hint="eastAsia" w:ascii="仿宋_GB2312" w:hAnsi="仿宋_GB2312" w:eastAsia="仿宋_GB2312" w:cs="仿宋_GB2312"/>
          <w:sz w:val="32"/>
          <w:szCs w:val="32"/>
          <w:highlight w:val="none"/>
        </w:rPr>
        <w:t>万吨（含综合利用往年贮存量</w:t>
      </w:r>
      <w:r>
        <w:rPr>
          <w:rFonts w:hint="eastAsia" w:ascii="仿宋_GB2312" w:hAnsi="仿宋_GB2312" w:eastAsia="仿宋_GB2312" w:cs="仿宋_GB2312"/>
          <w:sz w:val="32"/>
          <w:szCs w:val="32"/>
          <w:highlight w:val="none"/>
          <w:lang w:val="en-US" w:eastAsia="zh-CN"/>
        </w:rPr>
        <w:t>116.44</w:t>
      </w:r>
      <w:r>
        <w:rPr>
          <w:rFonts w:hint="eastAsia" w:ascii="仿宋_GB2312" w:hAnsi="仿宋_GB2312" w:eastAsia="仿宋_GB2312" w:cs="仿宋_GB2312"/>
          <w:sz w:val="32"/>
          <w:szCs w:val="32"/>
          <w:highlight w:val="none"/>
        </w:rPr>
        <w:t>万吨），综合利用率为</w:t>
      </w:r>
      <w:r>
        <w:rPr>
          <w:rFonts w:hint="eastAsia" w:ascii="仿宋_GB2312" w:hAnsi="仿宋_GB2312" w:eastAsia="仿宋_GB2312" w:cs="仿宋_GB2312"/>
          <w:sz w:val="32"/>
          <w:szCs w:val="32"/>
          <w:highlight w:val="none"/>
          <w:lang w:val="en-US" w:eastAsia="zh-CN"/>
        </w:rPr>
        <w:t>35.91</w:t>
      </w:r>
      <w:r>
        <w:rPr>
          <w:rFonts w:hint="eastAsia" w:ascii="仿宋_GB2312" w:hAnsi="仿宋_GB2312" w:eastAsia="仿宋_GB2312" w:cs="仿宋_GB2312"/>
          <w:sz w:val="32"/>
          <w:szCs w:val="32"/>
          <w:highlight w:val="none"/>
        </w:rPr>
        <w:t>%，主要利用方式为生产建筑材料和铺路等；处置量为</w:t>
      </w:r>
      <w:r>
        <w:rPr>
          <w:rFonts w:hint="eastAsia" w:ascii="仿宋_GB2312" w:hAnsi="仿宋_GB2312" w:eastAsia="仿宋_GB2312" w:cs="仿宋_GB2312"/>
          <w:sz w:val="32"/>
          <w:szCs w:val="32"/>
          <w:highlight w:val="none"/>
          <w:lang w:val="en-US" w:eastAsia="zh-CN"/>
        </w:rPr>
        <w:t>85.17</w:t>
      </w:r>
      <w:r>
        <w:rPr>
          <w:rFonts w:hint="eastAsia" w:ascii="仿宋_GB2312" w:hAnsi="仿宋_GB2312" w:eastAsia="仿宋_GB2312" w:cs="仿宋_GB2312"/>
          <w:sz w:val="32"/>
          <w:szCs w:val="32"/>
          <w:highlight w:val="none"/>
        </w:rPr>
        <w:t>万吨（含处置往年贮存量2</w:t>
      </w:r>
      <w:r>
        <w:rPr>
          <w:rFonts w:hint="eastAsia" w:ascii="仿宋_GB2312" w:hAnsi="仿宋_GB2312" w:eastAsia="仿宋_GB2312" w:cs="仿宋_GB2312"/>
          <w:sz w:val="32"/>
          <w:szCs w:val="32"/>
          <w:highlight w:val="none"/>
          <w:lang w:val="en-US" w:eastAsia="zh-CN"/>
        </w:rPr>
        <w:t>.46</w:t>
      </w:r>
      <w:r>
        <w:rPr>
          <w:rFonts w:hint="eastAsia" w:ascii="仿宋_GB2312" w:hAnsi="仿宋_GB2312" w:eastAsia="仿宋_GB2312" w:cs="仿宋_GB2312"/>
          <w:sz w:val="32"/>
          <w:szCs w:val="32"/>
          <w:highlight w:val="none"/>
          <w:lang w:eastAsia="zh-CN"/>
        </w:rPr>
        <w:t>万</w:t>
      </w:r>
      <w:r>
        <w:rPr>
          <w:rFonts w:hint="eastAsia" w:ascii="仿宋_GB2312" w:hAnsi="仿宋_GB2312" w:eastAsia="仿宋_GB2312" w:cs="仿宋_GB2312"/>
          <w:sz w:val="32"/>
          <w:szCs w:val="32"/>
          <w:highlight w:val="none"/>
        </w:rPr>
        <w:t>吨），处置率为</w:t>
      </w:r>
      <w:r>
        <w:rPr>
          <w:rFonts w:hint="eastAsia" w:ascii="仿宋_GB2312" w:hAnsi="仿宋_GB2312" w:eastAsia="仿宋_GB2312" w:cs="仿宋_GB2312"/>
          <w:sz w:val="32"/>
          <w:szCs w:val="32"/>
          <w:highlight w:val="none"/>
          <w:lang w:val="en-US" w:eastAsia="zh-CN"/>
        </w:rPr>
        <w:t>2.14</w:t>
      </w:r>
      <w:r>
        <w:rPr>
          <w:rFonts w:hint="eastAsia" w:ascii="仿宋_GB2312" w:hAnsi="仿宋_GB2312" w:eastAsia="仿宋_GB2312" w:cs="仿宋_GB2312"/>
          <w:sz w:val="32"/>
          <w:szCs w:val="32"/>
          <w:highlight w:val="none"/>
        </w:rPr>
        <w:t>%。</w:t>
      </w:r>
    </w:p>
    <w:p>
      <w:pPr>
        <w:keepNext w:val="0"/>
        <w:keepLines w:val="0"/>
        <w:pageBreakBefore w:val="0"/>
        <w:widowControl w:val="0"/>
        <w:kinsoku/>
        <w:wordWrap/>
        <w:overflowPunct/>
        <w:topLinePunct w:val="0"/>
        <w:autoSpaceDE/>
        <w:autoSpaceDN/>
        <w:bidi w:val="0"/>
        <w:adjustRightInd/>
        <w:snapToGrid/>
        <w:spacing w:line="578" w:lineRule="exact"/>
        <w:ind w:firstLine="643" w:firstLineChars="200"/>
        <w:textAlignment w:val="auto"/>
        <w:rPr>
          <w:rFonts w:hint="eastAsia" w:ascii="仿宋_GB2312" w:hAnsi="仿宋_GB2312" w:eastAsia="仿宋_GB2312" w:cs="仿宋_GB2312"/>
          <w:b/>
          <w:bCs/>
          <w:sz w:val="32"/>
          <w:szCs w:val="32"/>
          <w:highlight w:val="none"/>
          <w:lang w:eastAsia="zh-CN"/>
        </w:rPr>
      </w:pPr>
      <w:r>
        <w:rPr>
          <w:rFonts w:hint="eastAsia" w:ascii="仿宋_GB2312" w:hAnsi="仿宋_GB2312" w:eastAsia="仿宋_GB2312" w:cs="仿宋_GB2312"/>
          <w:b/>
          <w:bCs/>
          <w:sz w:val="32"/>
          <w:szCs w:val="32"/>
          <w:highlight w:val="none"/>
          <w:lang w:val="en-US" w:eastAsia="zh-CN"/>
        </w:rPr>
        <w:t>2.</w:t>
      </w:r>
      <w:r>
        <w:rPr>
          <w:rFonts w:hint="eastAsia" w:ascii="仿宋_GB2312" w:hAnsi="仿宋_GB2312" w:eastAsia="仿宋_GB2312" w:cs="仿宋_GB2312"/>
          <w:b/>
          <w:bCs/>
          <w:sz w:val="32"/>
          <w:szCs w:val="32"/>
          <w:highlight w:val="none"/>
          <w:lang w:eastAsia="zh-CN"/>
        </w:rPr>
        <w:t>行业产生情况</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_GB2312" w:hAnsi="仿宋_GB2312" w:eastAsia="仿宋_GB2312" w:cs="仿宋_GB2312"/>
          <w:sz w:val="32"/>
          <w:szCs w:val="32"/>
          <w:highlight w:val="none"/>
          <w:lang w:eastAsia="zh-CN"/>
        </w:rPr>
      </w:pPr>
      <w:r>
        <w:rPr>
          <w:rFonts w:hint="eastAsia" w:ascii="仿宋_GB2312" w:hAnsi="仿宋_GB2312" w:eastAsia="仿宋_GB2312" w:cs="仿宋_GB2312"/>
          <w:sz w:val="32"/>
          <w:szCs w:val="32"/>
          <w:highlight w:val="none"/>
        </w:rPr>
        <w:t>202</w:t>
      </w:r>
      <w:r>
        <w:rPr>
          <w:rFonts w:hint="eastAsia" w:ascii="仿宋_GB2312" w:hAnsi="仿宋_GB2312" w:eastAsia="仿宋_GB2312" w:cs="仿宋_GB2312"/>
          <w:sz w:val="32"/>
          <w:szCs w:val="32"/>
          <w:highlight w:val="none"/>
          <w:lang w:val="en-US" w:eastAsia="zh-CN"/>
        </w:rPr>
        <w:t>5</w:t>
      </w:r>
      <w:r>
        <w:rPr>
          <w:rFonts w:hint="eastAsia" w:ascii="仿宋_GB2312" w:hAnsi="仿宋_GB2312" w:eastAsia="仿宋_GB2312" w:cs="仿宋_GB2312"/>
          <w:sz w:val="32"/>
          <w:szCs w:val="32"/>
          <w:highlight w:val="none"/>
        </w:rPr>
        <w:t>年，本溪市一般工业固体废物</w:t>
      </w:r>
      <w:r>
        <w:rPr>
          <w:rFonts w:hint="eastAsia" w:ascii="仿宋_GB2312" w:hAnsi="仿宋_GB2312" w:eastAsia="仿宋_GB2312" w:cs="仿宋_GB2312"/>
          <w:sz w:val="32"/>
          <w:szCs w:val="32"/>
          <w:highlight w:val="none"/>
          <w:lang w:val="en-US" w:eastAsia="zh-CN"/>
        </w:rPr>
        <w:t>排名前5的行业分别是</w:t>
      </w:r>
      <w:r>
        <w:rPr>
          <w:rFonts w:hint="eastAsia" w:ascii="仿宋_GB2312" w:hAnsi="仿宋_GB2312" w:eastAsia="仿宋_GB2312" w:cs="仿宋_GB2312"/>
          <w:sz w:val="32"/>
          <w:szCs w:val="32"/>
          <w:highlight w:val="none"/>
        </w:rPr>
        <w:t>采矿业</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制造业</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电力、热力、燃气及水生产和供应业</w:t>
      </w:r>
      <w:r>
        <w:rPr>
          <w:rFonts w:hint="eastAsia" w:ascii="仿宋_GB2312" w:hAnsi="仿宋_GB2312" w:eastAsia="仿宋_GB2312" w:cs="仿宋_GB2312"/>
          <w:sz w:val="32"/>
          <w:szCs w:val="32"/>
          <w:highlight w:val="none"/>
          <w:lang w:eastAsia="zh-CN"/>
        </w:rPr>
        <w:t>，农、林、牧、渔业，</w:t>
      </w:r>
      <w:r>
        <w:rPr>
          <w:rFonts w:hint="eastAsia" w:ascii="仿宋_GB2312" w:hAnsi="仿宋_GB2312" w:eastAsia="仿宋_GB2312" w:cs="仿宋_GB2312"/>
          <w:sz w:val="32"/>
          <w:szCs w:val="32"/>
          <w:highlight w:val="none"/>
        </w:rPr>
        <w:t>水利、环境和公共设施管理业</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分别占一般工业固体废物产生总量的</w:t>
      </w:r>
      <w:r>
        <w:rPr>
          <w:rFonts w:hint="eastAsia" w:ascii="仿宋_GB2312" w:hAnsi="仿宋_GB2312" w:eastAsia="仿宋_GB2312" w:cs="仿宋_GB2312"/>
          <w:sz w:val="32"/>
          <w:szCs w:val="32"/>
          <w:highlight w:val="none"/>
          <w:lang w:val="en-US" w:eastAsia="zh-CN"/>
        </w:rPr>
        <w:t>68.02</w:t>
      </w:r>
      <w:r>
        <w:rPr>
          <w:rFonts w:hint="eastAsia" w:ascii="仿宋_GB2312" w:hAnsi="仿宋_GB2312" w:eastAsia="仿宋_GB2312" w:cs="仿宋_GB2312"/>
          <w:sz w:val="32"/>
          <w:szCs w:val="32"/>
          <w:highlight w:val="none"/>
        </w:rPr>
        <w:t>%、</w:t>
      </w:r>
      <w:r>
        <w:rPr>
          <w:rFonts w:hint="eastAsia" w:ascii="仿宋_GB2312" w:hAnsi="仿宋_GB2312" w:eastAsia="仿宋_GB2312" w:cs="仿宋_GB2312"/>
          <w:sz w:val="32"/>
          <w:szCs w:val="32"/>
          <w:highlight w:val="none"/>
          <w:lang w:val="en-US" w:eastAsia="zh-CN"/>
        </w:rPr>
        <w:t>29.34</w:t>
      </w:r>
      <w:r>
        <w:rPr>
          <w:rFonts w:hint="eastAsia" w:ascii="仿宋_GB2312" w:hAnsi="仿宋_GB2312" w:eastAsia="仿宋_GB2312" w:cs="仿宋_GB2312"/>
          <w:sz w:val="32"/>
          <w:szCs w:val="32"/>
          <w:highlight w:val="none"/>
        </w:rPr>
        <w:t>%、2.</w:t>
      </w:r>
      <w:r>
        <w:rPr>
          <w:rFonts w:hint="eastAsia" w:ascii="仿宋_GB2312" w:hAnsi="仿宋_GB2312" w:eastAsia="仿宋_GB2312" w:cs="仿宋_GB2312"/>
          <w:sz w:val="32"/>
          <w:szCs w:val="32"/>
          <w:highlight w:val="none"/>
          <w:lang w:val="en-US" w:eastAsia="zh-CN"/>
        </w:rPr>
        <w:t>61</w:t>
      </w:r>
      <w:r>
        <w:rPr>
          <w:rFonts w:hint="eastAsia" w:ascii="仿宋_GB2312" w:hAnsi="仿宋_GB2312" w:eastAsia="仿宋_GB2312" w:cs="仿宋_GB2312"/>
          <w:sz w:val="32"/>
          <w:szCs w:val="32"/>
          <w:highlight w:val="none"/>
        </w:rPr>
        <w:t>%</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lang w:val="en-US" w:eastAsia="zh-CN"/>
        </w:rPr>
        <w:t>0.014%、0.011%，</w:t>
      </w:r>
      <w:r>
        <w:rPr>
          <w:rFonts w:hint="eastAsia" w:ascii="仿宋_GB2312" w:hAnsi="仿宋_GB2312" w:eastAsia="仿宋_GB2312" w:cs="仿宋_GB2312"/>
          <w:sz w:val="32"/>
          <w:szCs w:val="32"/>
          <w:highlight w:val="none"/>
        </w:rPr>
        <w:t>其中采矿业门类中，一般工业固体废物产生量最多的行业是黑色金属矿采选业，占采矿业产生总量的</w:t>
      </w:r>
      <w:r>
        <w:rPr>
          <w:rFonts w:hint="eastAsia" w:ascii="仿宋_GB2312" w:hAnsi="仿宋_GB2312" w:eastAsia="仿宋_GB2312" w:cs="仿宋_GB2312"/>
          <w:sz w:val="32"/>
          <w:szCs w:val="32"/>
          <w:highlight w:val="none"/>
          <w:lang w:val="en-US" w:eastAsia="zh-CN"/>
        </w:rPr>
        <w:t>98.30</w:t>
      </w:r>
      <w:r>
        <w:rPr>
          <w:rFonts w:hint="eastAsia" w:ascii="仿宋_GB2312" w:hAnsi="仿宋_GB2312" w:eastAsia="仿宋_GB2312" w:cs="仿宋_GB2312"/>
          <w:sz w:val="32"/>
          <w:szCs w:val="32"/>
          <w:highlight w:val="none"/>
        </w:rPr>
        <w:t>%，其次是非金属矿采选业占</w:t>
      </w:r>
      <w:r>
        <w:rPr>
          <w:rFonts w:hint="eastAsia" w:ascii="仿宋_GB2312" w:hAnsi="仿宋_GB2312" w:eastAsia="仿宋_GB2312" w:cs="仿宋_GB2312"/>
          <w:sz w:val="32"/>
          <w:szCs w:val="32"/>
          <w:highlight w:val="none"/>
          <w:lang w:val="en-US" w:eastAsia="zh-CN"/>
        </w:rPr>
        <w:t>1.62</w:t>
      </w:r>
      <w:r>
        <w:rPr>
          <w:rFonts w:hint="eastAsia" w:ascii="仿宋_GB2312" w:hAnsi="仿宋_GB2312" w:eastAsia="仿宋_GB2312" w:cs="仿宋_GB2312"/>
          <w:sz w:val="32"/>
          <w:szCs w:val="32"/>
          <w:highlight w:val="none"/>
        </w:rPr>
        <w:t>%，</w:t>
      </w:r>
      <w:r>
        <w:rPr>
          <w:rFonts w:hint="eastAsia" w:ascii="仿宋_GB2312" w:hAnsi="仿宋_GB2312" w:eastAsia="仿宋_GB2312" w:cs="仿宋_GB2312"/>
          <w:sz w:val="32"/>
          <w:szCs w:val="32"/>
          <w:highlight w:val="none"/>
          <w:lang w:val="en-US" w:eastAsia="zh-CN"/>
        </w:rPr>
        <w:t>有色金属采矿业占0.08%。</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宋体" w:hAnsi="宋体" w:eastAsia="宋体" w:cs="宋体"/>
          <w:b/>
          <w:bCs/>
          <w:sz w:val="24"/>
          <w:szCs w:val="24"/>
          <w:highlight w:val="none"/>
          <w:lang w:val="en-US" w:eastAsia="zh-CN"/>
        </w:rPr>
      </w:pPr>
      <w:r>
        <w:rPr>
          <w:rFonts w:hint="eastAsia" w:ascii="宋体" w:hAnsi="宋体" w:eastAsia="宋体" w:cs="宋体"/>
          <w:b/>
          <w:bCs/>
          <w:sz w:val="24"/>
          <w:szCs w:val="24"/>
          <w:highlight w:val="none"/>
          <w:lang w:eastAsia="zh-CN"/>
        </w:rPr>
        <w:t>表</w:t>
      </w:r>
      <w:r>
        <w:rPr>
          <w:rFonts w:hint="eastAsia" w:ascii="宋体" w:hAnsi="宋体" w:eastAsia="宋体" w:cs="宋体"/>
          <w:b/>
          <w:bCs/>
          <w:sz w:val="24"/>
          <w:szCs w:val="24"/>
          <w:highlight w:val="none"/>
          <w:lang w:val="en-US" w:eastAsia="zh-CN"/>
        </w:rPr>
        <w:t>1 一般工业固体废物行业分布表</w:t>
      </w:r>
    </w:p>
    <w:tbl>
      <w:tblPr>
        <w:tblStyle w:val="4"/>
        <w:tblW w:w="8857" w:type="dxa"/>
        <w:jc w:val="center"/>
        <w:shd w:val="clear" w:color="auto" w:fill="auto"/>
        <w:tblLayout w:type="fixed"/>
        <w:tblCellMar>
          <w:top w:w="0" w:type="dxa"/>
          <w:left w:w="0" w:type="dxa"/>
          <w:bottom w:w="0" w:type="dxa"/>
          <w:right w:w="0" w:type="dxa"/>
        </w:tblCellMar>
      </w:tblPr>
      <w:tblGrid>
        <w:gridCol w:w="1540"/>
        <w:gridCol w:w="1619"/>
        <w:gridCol w:w="1882"/>
        <w:gridCol w:w="1871"/>
        <w:gridCol w:w="1945"/>
      </w:tblGrid>
      <w:tr>
        <w:tblPrEx>
          <w:shd w:val="clear" w:color="auto" w:fill="auto"/>
          <w:tblCellMar>
            <w:top w:w="0" w:type="dxa"/>
            <w:left w:w="0" w:type="dxa"/>
            <w:bottom w:w="0" w:type="dxa"/>
            <w:right w:w="0" w:type="dxa"/>
          </w:tblCellMar>
        </w:tblPrEx>
        <w:trPr>
          <w:trHeight w:val="528" w:hRule="atLeast"/>
          <w:jc w:val="center"/>
        </w:trPr>
        <w:tc>
          <w:tcPr>
            <w:tcW w:w="1540" w:type="dxa"/>
            <w:vMerge w:val="restart"/>
            <w:tcBorders>
              <w:top w:val="single" w:color="000000" w:sz="4" w:space="0"/>
              <w:left w:val="single" w:color="000000" w:sz="4" w:space="0"/>
              <w:bottom w:val="single" w:color="000000" w:sz="4" w:space="0"/>
              <w:right w:val="single" w:color="000000" w:sz="4" w:space="0"/>
            </w:tcBorders>
            <w:shd w:val="clear" w:color="FFFFFF" w:fill="306FA8"/>
            <w:tcMar>
              <w:top w:w="12" w:type="dxa"/>
              <w:left w:w="12" w:type="dxa"/>
              <w:right w:w="12" w:type="dxa"/>
            </w:tcMar>
            <w:vAlign w:val="center"/>
          </w:tcPr>
          <w:p>
            <w:pPr>
              <w:keepNext w:val="0"/>
              <w:keepLines w:val="0"/>
              <w:widowControl/>
              <w:suppressLineNumbers w:val="0"/>
              <w:jc w:val="center"/>
              <w:textAlignment w:val="center"/>
              <w:rPr>
                <w:rFonts w:ascii="微软雅黑" w:hAnsi="微软雅黑" w:eastAsia="微软雅黑" w:cs="微软雅黑"/>
                <w:i w:val="0"/>
                <w:color w:val="FFFFFF"/>
                <w:sz w:val="18"/>
                <w:szCs w:val="18"/>
                <w:highlight w:val="none"/>
                <w:u w:val="none"/>
              </w:rPr>
            </w:pPr>
            <w:r>
              <w:rPr>
                <w:rFonts w:hint="eastAsia" w:ascii="微软雅黑" w:hAnsi="微软雅黑" w:eastAsia="微软雅黑" w:cs="微软雅黑"/>
                <w:i w:val="0"/>
                <w:color w:val="FFFFFF"/>
                <w:kern w:val="0"/>
                <w:sz w:val="18"/>
                <w:szCs w:val="18"/>
                <w:highlight w:val="none"/>
                <w:u w:val="none"/>
                <w:lang w:val="en-US" w:eastAsia="zh-CN" w:bidi="ar"/>
              </w:rPr>
              <w:t>行业分类</w:t>
            </w:r>
          </w:p>
        </w:tc>
        <w:tc>
          <w:tcPr>
            <w:tcW w:w="1619" w:type="dxa"/>
            <w:vMerge w:val="restart"/>
            <w:tcBorders>
              <w:top w:val="single" w:color="000000" w:sz="4" w:space="0"/>
              <w:left w:val="single" w:color="000000" w:sz="4" w:space="0"/>
              <w:bottom w:val="single" w:color="000000" w:sz="4" w:space="0"/>
              <w:right w:val="single" w:color="000000" w:sz="4" w:space="0"/>
            </w:tcBorders>
            <w:shd w:val="clear" w:color="FFFFFF" w:fill="306FA8"/>
            <w:tcMar>
              <w:top w:w="12" w:type="dxa"/>
              <w:left w:w="12" w:type="dxa"/>
              <w:right w:w="12"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FFFFFF"/>
                <w:sz w:val="18"/>
                <w:szCs w:val="18"/>
                <w:highlight w:val="none"/>
                <w:u w:val="none"/>
              </w:rPr>
            </w:pPr>
            <w:r>
              <w:rPr>
                <w:rFonts w:hint="eastAsia" w:ascii="微软雅黑" w:hAnsi="微软雅黑" w:eastAsia="微软雅黑" w:cs="微软雅黑"/>
                <w:i w:val="0"/>
                <w:color w:val="FFFFFF"/>
                <w:kern w:val="0"/>
                <w:sz w:val="18"/>
                <w:szCs w:val="18"/>
                <w:highlight w:val="none"/>
                <w:u w:val="none"/>
                <w:lang w:val="en-US" w:eastAsia="zh-CN" w:bidi="ar"/>
              </w:rPr>
              <w:t>产生量（万吨）</w:t>
            </w:r>
          </w:p>
        </w:tc>
        <w:tc>
          <w:tcPr>
            <w:tcW w:w="1882" w:type="dxa"/>
            <w:vMerge w:val="restart"/>
            <w:tcBorders>
              <w:top w:val="single" w:color="000000" w:sz="4" w:space="0"/>
              <w:left w:val="single" w:color="000000" w:sz="4" w:space="0"/>
              <w:bottom w:val="single" w:color="000000" w:sz="4" w:space="0"/>
              <w:right w:val="single" w:color="000000" w:sz="4" w:space="0"/>
            </w:tcBorders>
            <w:shd w:val="clear" w:color="FFFFFF" w:fill="306FA8"/>
            <w:tcMar>
              <w:top w:w="12" w:type="dxa"/>
              <w:left w:w="12" w:type="dxa"/>
              <w:right w:w="12"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FFFFFF"/>
                <w:sz w:val="18"/>
                <w:szCs w:val="18"/>
                <w:highlight w:val="none"/>
                <w:u w:val="none"/>
              </w:rPr>
            </w:pPr>
            <w:r>
              <w:rPr>
                <w:rFonts w:hint="eastAsia" w:ascii="微软雅黑" w:hAnsi="微软雅黑" w:eastAsia="微软雅黑" w:cs="微软雅黑"/>
                <w:i w:val="0"/>
                <w:color w:val="FFFFFF"/>
                <w:kern w:val="0"/>
                <w:sz w:val="18"/>
                <w:szCs w:val="18"/>
                <w:highlight w:val="none"/>
                <w:u w:val="none"/>
                <w:lang w:val="en-US" w:eastAsia="zh-CN" w:bidi="ar"/>
              </w:rPr>
              <w:t>综合利用情况（万吨）</w:t>
            </w:r>
          </w:p>
        </w:tc>
        <w:tc>
          <w:tcPr>
            <w:tcW w:w="1871" w:type="dxa"/>
            <w:vMerge w:val="restart"/>
            <w:tcBorders>
              <w:top w:val="single" w:color="000000" w:sz="4" w:space="0"/>
              <w:left w:val="single" w:color="000000" w:sz="4" w:space="0"/>
              <w:bottom w:val="single" w:color="000000" w:sz="4" w:space="0"/>
              <w:right w:val="single" w:color="000000" w:sz="4" w:space="0"/>
            </w:tcBorders>
            <w:shd w:val="clear" w:color="FFFFFF" w:fill="306FA8"/>
            <w:tcMar>
              <w:top w:w="12" w:type="dxa"/>
              <w:left w:w="12" w:type="dxa"/>
              <w:right w:w="12"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FFFFFF"/>
                <w:sz w:val="18"/>
                <w:szCs w:val="18"/>
                <w:highlight w:val="none"/>
                <w:u w:val="none"/>
              </w:rPr>
            </w:pPr>
            <w:r>
              <w:rPr>
                <w:rFonts w:hint="eastAsia" w:ascii="微软雅黑" w:hAnsi="微软雅黑" w:eastAsia="微软雅黑" w:cs="微软雅黑"/>
                <w:i w:val="0"/>
                <w:color w:val="FFFFFF"/>
                <w:kern w:val="0"/>
                <w:sz w:val="18"/>
                <w:szCs w:val="18"/>
                <w:highlight w:val="none"/>
                <w:u w:val="none"/>
                <w:lang w:val="en-US" w:eastAsia="zh-CN" w:bidi="ar"/>
              </w:rPr>
              <w:t>处置情况（万吨）</w:t>
            </w:r>
          </w:p>
        </w:tc>
        <w:tc>
          <w:tcPr>
            <w:tcW w:w="1945" w:type="dxa"/>
            <w:vMerge w:val="restart"/>
            <w:tcBorders>
              <w:top w:val="single" w:color="000000" w:sz="4" w:space="0"/>
              <w:left w:val="single" w:color="000000" w:sz="4" w:space="0"/>
              <w:bottom w:val="single" w:color="000000" w:sz="4" w:space="0"/>
              <w:right w:val="single" w:color="000000" w:sz="4" w:space="0"/>
            </w:tcBorders>
            <w:shd w:val="clear" w:color="FFFFFF" w:fill="306FA8"/>
            <w:tcMar>
              <w:top w:w="12" w:type="dxa"/>
              <w:left w:w="12" w:type="dxa"/>
              <w:right w:w="12"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FFFFFF"/>
                <w:sz w:val="18"/>
                <w:szCs w:val="18"/>
                <w:highlight w:val="none"/>
                <w:u w:val="none"/>
              </w:rPr>
            </w:pPr>
            <w:r>
              <w:rPr>
                <w:rFonts w:hint="eastAsia" w:ascii="微软雅黑" w:hAnsi="微软雅黑" w:eastAsia="微软雅黑" w:cs="微软雅黑"/>
                <w:i w:val="0"/>
                <w:color w:val="FFFFFF"/>
                <w:kern w:val="0"/>
                <w:sz w:val="18"/>
                <w:szCs w:val="18"/>
                <w:highlight w:val="none"/>
                <w:u w:val="none"/>
                <w:lang w:val="en-US" w:eastAsia="zh-CN" w:bidi="ar"/>
              </w:rPr>
              <w:t>贮存情况（万吨）</w:t>
            </w:r>
          </w:p>
        </w:tc>
      </w:tr>
      <w:tr>
        <w:tblPrEx>
          <w:tblCellMar>
            <w:top w:w="0" w:type="dxa"/>
            <w:left w:w="0" w:type="dxa"/>
            <w:bottom w:w="0" w:type="dxa"/>
            <w:right w:w="0" w:type="dxa"/>
          </w:tblCellMar>
        </w:tblPrEx>
        <w:trPr>
          <w:trHeight w:val="288" w:hRule="atLeast"/>
          <w:jc w:val="center"/>
        </w:trPr>
        <w:tc>
          <w:tcPr>
            <w:tcW w:w="1540" w:type="dxa"/>
            <w:vMerge w:val="continue"/>
            <w:tcBorders>
              <w:top w:val="single" w:color="000000" w:sz="4" w:space="0"/>
              <w:left w:val="single" w:color="000000" w:sz="4" w:space="0"/>
              <w:bottom w:val="single" w:color="000000" w:sz="4" w:space="0"/>
              <w:right w:val="single" w:color="000000" w:sz="4" w:space="0"/>
            </w:tcBorders>
            <w:shd w:val="clear" w:color="FFFFFF" w:fill="306FA8"/>
            <w:tcMar>
              <w:top w:w="12" w:type="dxa"/>
              <w:left w:w="12" w:type="dxa"/>
              <w:right w:w="12" w:type="dxa"/>
            </w:tcMar>
            <w:vAlign w:val="center"/>
          </w:tcPr>
          <w:p>
            <w:pPr>
              <w:jc w:val="center"/>
              <w:rPr>
                <w:rFonts w:hint="eastAsia" w:ascii="微软雅黑" w:hAnsi="微软雅黑" w:eastAsia="微软雅黑" w:cs="微软雅黑"/>
                <w:i w:val="0"/>
                <w:color w:val="FFFFFF"/>
                <w:sz w:val="18"/>
                <w:szCs w:val="18"/>
                <w:highlight w:val="none"/>
                <w:u w:val="none"/>
              </w:rPr>
            </w:pPr>
          </w:p>
        </w:tc>
        <w:tc>
          <w:tcPr>
            <w:tcW w:w="1619" w:type="dxa"/>
            <w:vMerge w:val="continue"/>
            <w:tcBorders>
              <w:top w:val="single" w:color="000000" w:sz="4" w:space="0"/>
              <w:left w:val="single" w:color="000000" w:sz="4" w:space="0"/>
              <w:bottom w:val="single" w:color="000000" w:sz="4" w:space="0"/>
              <w:right w:val="single" w:color="000000" w:sz="4" w:space="0"/>
            </w:tcBorders>
            <w:shd w:val="clear" w:color="FFFFFF" w:fill="306FA8"/>
            <w:tcMar>
              <w:top w:w="12" w:type="dxa"/>
              <w:left w:w="12" w:type="dxa"/>
              <w:right w:w="12" w:type="dxa"/>
            </w:tcMar>
            <w:vAlign w:val="center"/>
          </w:tcPr>
          <w:p>
            <w:pPr>
              <w:jc w:val="center"/>
              <w:rPr>
                <w:rFonts w:hint="eastAsia" w:ascii="微软雅黑" w:hAnsi="微软雅黑" w:eastAsia="微软雅黑" w:cs="微软雅黑"/>
                <w:i w:val="0"/>
                <w:color w:val="FFFFFF"/>
                <w:sz w:val="18"/>
                <w:szCs w:val="18"/>
                <w:highlight w:val="none"/>
                <w:u w:val="none"/>
              </w:rPr>
            </w:pPr>
          </w:p>
        </w:tc>
        <w:tc>
          <w:tcPr>
            <w:tcW w:w="1882" w:type="dxa"/>
            <w:vMerge w:val="continue"/>
            <w:tcBorders>
              <w:top w:val="single" w:color="000000" w:sz="4" w:space="0"/>
              <w:left w:val="single" w:color="000000" w:sz="4" w:space="0"/>
              <w:bottom w:val="single" w:color="000000" w:sz="4" w:space="0"/>
              <w:right w:val="single" w:color="000000" w:sz="4" w:space="0"/>
            </w:tcBorders>
            <w:shd w:val="clear" w:color="FFFFFF" w:fill="306FA8"/>
            <w:tcMar>
              <w:top w:w="12" w:type="dxa"/>
              <w:left w:w="12" w:type="dxa"/>
              <w:right w:w="12" w:type="dxa"/>
            </w:tcMar>
            <w:vAlign w:val="center"/>
          </w:tcPr>
          <w:p>
            <w:pPr>
              <w:jc w:val="center"/>
              <w:rPr>
                <w:rFonts w:hint="eastAsia" w:ascii="微软雅黑" w:hAnsi="微软雅黑" w:eastAsia="微软雅黑" w:cs="微软雅黑"/>
                <w:i w:val="0"/>
                <w:color w:val="FFFFFF"/>
                <w:sz w:val="18"/>
                <w:szCs w:val="18"/>
                <w:highlight w:val="none"/>
                <w:u w:val="none"/>
              </w:rPr>
            </w:pPr>
          </w:p>
        </w:tc>
        <w:tc>
          <w:tcPr>
            <w:tcW w:w="1871" w:type="dxa"/>
            <w:vMerge w:val="continue"/>
            <w:tcBorders>
              <w:top w:val="single" w:color="000000" w:sz="4" w:space="0"/>
              <w:left w:val="single" w:color="000000" w:sz="4" w:space="0"/>
              <w:bottom w:val="single" w:color="000000" w:sz="4" w:space="0"/>
              <w:right w:val="single" w:color="000000" w:sz="4" w:space="0"/>
            </w:tcBorders>
            <w:shd w:val="clear" w:color="FFFFFF" w:fill="306FA8"/>
            <w:tcMar>
              <w:top w:w="12" w:type="dxa"/>
              <w:left w:w="12" w:type="dxa"/>
              <w:right w:w="12" w:type="dxa"/>
            </w:tcMar>
            <w:vAlign w:val="center"/>
          </w:tcPr>
          <w:p>
            <w:pPr>
              <w:jc w:val="center"/>
              <w:rPr>
                <w:rFonts w:hint="eastAsia" w:ascii="微软雅黑" w:hAnsi="微软雅黑" w:eastAsia="微软雅黑" w:cs="微软雅黑"/>
                <w:i w:val="0"/>
                <w:color w:val="FFFFFF"/>
                <w:sz w:val="18"/>
                <w:szCs w:val="18"/>
                <w:highlight w:val="none"/>
                <w:u w:val="none"/>
              </w:rPr>
            </w:pPr>
          </w:p>
        </w:tc>
        <w:tc>
          <w:tcPr>
            <w:tcW w:w="1945" w:type="dxa"/>
            <w:vMerge w:val="continue"/>
            <w:tcBorders>
              <w:top w:val="single" w:color="000000" w:sz="4" w:space="0"/>
              <w:left w:val="single" w:color="000000" w:sz="4" w:space="0"/>
              <w:bottom w:val="single" w:color="000000" w:sz="4" w:space="0"/>
              <w:right w:val="single" w:color="000000" w:sz="4" w:space="0"/>
            </w:tcBorders>
            <w:shd w:val="clear" w:color="FFFFFF" w:fill="306FA8"/>
            <w:tcMar>
              <w:top w:w="12" w:type="dxa"/>
              <w:left w:w="12" w:type="dxa"/>
              <w:right w:w="12" w:type="dxa"/>
            </w:tcMar>
            <w:vAlign w:val="center"/>
          </w:tcPr>
          <w:p>
            <w:pPr>
              <w:jc w:val="center"/>
              <w:rPr>
                <w:rFonts w:hint="eastAsia" w:ascii="微软雅黑" w:hAnsi="微软雅黑" w:eastAsia="微软雅黑" w:cs="微软雅黑"/>
                <w:i w:val="0"/>
                <w:color w:val="FFFFFF"/>
                <w:sz w:val="18"/>
                <w:szCs w:val="18"/>
                <w:highlight w:val="none"/>
                <w:u w:val="none"/>
              </w:rPr>
            </w:pPr>
          </w:p>
        </w:tc>
      </w:tr>
      <w:tr>
        <w:tblPrEx>
          <w:tblCellMar>
            <w:top w:w="0" w:type="dxa"/>
            <w:left w:w="0" w:type="dxa"/>
            <w:bottom w:w="0" w:type="dxa"/>
            <w:right w:w="0" w:type="dxa"/>
          </w:tblCellMar>
        </w:tblPrEx>
        <w:trPr>
          <w:trHeight w:val="575" w:hRule="atLeast"/>
          <w:jc w:val="center"/>
        </w:trPr>
        <w:tc>
          <w:tcPr>
            <w:tcW w:w="1540" w:type="dxa"/>
            <w:tcBorders>
              <w:top w:val="single" w:color="000000" w:sz="4" w:space="0"/>
              <w:left w:val="single" w:color="000000" w:sz="4" w:space="0"/>
              <w:bottom w:val="single" w:color="000000" w:sz="4" w:space="0"/>
              <w:right w:val="single" w:color="000000" w:sz="4" w:space="0"/>
            </w:tcBorders>
            <w:shd w:val="clear" w:color="000000"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微软雅黑" w:hAnsi="微软雅黑" w:eastAsia="微软雅黑" w:cs="微软雅黑"/>
                <w:i w:val="0"/>
                <w:color w:val="000000"/>
                <w:sz w:val="18"/>
                <w:szCs w:val="18"/>
                <w:highlight w:val="none"/>
                <w:u w:val="none"/>
              </w:rPr>
            </w:pPr>
            <w:r>
              <w:rPr>
                <w:rFonts w:hint="eastAsia" w:ascii="微软雅黑" w:hAnsi="微软雅黑" w:eastAsia="微软雅黑" w:cs="微软雅黑"/>
                <w:i w:val="0"/>
                <w:color w:val="000000"/>
                <w:kern w:val="0"/>
                <w:sz w:val="18"/>
                <w:szCs w:val="18"/>
                <w:highlight w:val="none"/>
                <w:u w:val="none"/>
                <w:lang w:val="en-US" w:eastAsia="zh-CN" w:bidi="ar"/>
              </w:rPr>
              <w:t>采矿业</w:t>
            </w:r>
          </w:p>
        </w:tc>
        <w:tc>
          <w:tcPr>
            <w:tcW w:w="1619" w:type="dxa"/>
            <w:tcBorders>
              <w:top w:val="single" w:color="000000" w:sz="4" w:space="0"/>
              <w:left w:val="single" w:color="000000" w:sz="4" w:space="0"/>
              <w:bottom w:val="single" w:color="000000" w:sz="4" w:space="0"/>
              <w:right w:val="single" w:color="000000" w:sz="4" w:space="0"/>
            </w:tcBorders>
            <w:shd w:val="clear" w:color="000000" w:fill="auto"/>
            <w:tcMar>
              <w:top w:w="12" w:type="dxa"/>
              <w:left w:w="12" w:type="dxa"/>
              <w:right w:w="12" w:type="dxa"/>
            </w:tcMar>
            <w:vAlign w:val="center"/>
          </w:tcPr>
          <w:p>
            <w:pPr>
              <w:keepNext w:val="0"/>
              <w:keepLines w:val="0"/>
              <w:widowControl/>
              <w:suppressLineNumbers w:val="0"/>
              <w:jc w:val="center"/>
              <w:textAlignment w:val="center"/>
              <w:rPr>
                <w:rFonts w:hint="default" w:ascii="宋体" w:hAnsi="宋体" w:eastAsia="宋体" w:cs="宋体"/>
                <w:i w:val="0"/>
                <w:color w:val="000000"/>
                <w:sz w:val="22"/>
                <w:szCs w:val="22"/>
                <w:highlight w:val="none"/>
                <w:u w:val="none"/>
                <w:lang w:val="en-US" w:eastAsia="zh-CN"/>
              </w:rPr>
            </w:pPr>
            <w:r>
              <w:rPr>
                <w:rFonts w:hint="eastAsia" w:ascii="宋体" w:hAnsi="宋体" w:eastAsia="宋体" w:cs="宋体"/>
                <w:i w:val="0"/>
                <w:color w:val="000000"/>
                <w:sz w:val="22"/>
                <w:szCs w:val="22"/>
                <w:highlight w:val="none"/>
                <w:u w:val="none"/>
                <w:lang w:val="en-US" w:eastAsia="zh-CN"/>
              </w:rPr>
              <w:t>2709.52</w:t>
            </w:r>
          </w:p>
        </w:tc>
        <w:tc>
          <w:tcPr>
            <w:tcW w:w="1882"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宋体" w:hAnsi="宋体" w:eastAsia="宋体" w:cs="宋体"/>
                <w:i w:val="0"/>
                <w:color w:val="000000"/>
                <w:sz w:val="22"/>
                <w:szCs w:val="22"/>
                <w:highlight w:val="none"/>
                <w:u w:val="none"/>
                <w:lang w:val="en-US" w:eastAsia="zh-CN"/>
              </w:rPr>
            </w:pPr>
            <w:r>
              <w:rPr>
                <w:rFonts w:hint="eastAsia" w:ascii="宋体" w:hAnsi="宋体" w:eastAsia="宋体" w:cs="宋体"/>
                <w:i w:val="0"/>
                <w:color w:val="000000"/>
                <w:sz w:val="22"/>
                <w:szCs w:val="22"/>
                <w:highlight w:val="none"/>
                <w:u w:val="none"/>
                <w:lang w:val="en-US" w:eastAsia="zh-CN"/>
              </w:rPr>
              <w:t>204.49</w:t>
            </w:r>
          </w:p>
        </w:tc>
        <w:tc>
          <w:tcPr>
            <w:tcW w:w="1871"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宋体" w:hAnsi="宋体" w:eastAsia="宋体" w:cs="宋体"/>
                <w:i w:val="0"/>
                <w:color w:val="000000"/>
                <w:sz w:val="22"/>
                <w:szCs w:val="22"/>
                <w:highlight w:val="none"/>
                <w:u w:val="none"/>
                <w:lang w:val="en-US" w:eastAsia="zh-CN"/>
              </w:rPr>
            </w:pPr>
            <w:r>
              <w:rPr>
                <w:rFonts w:hint="eastAsia" w:ascii="宋体" w:hAnsi="宋体" w:eastAsia="宋体" w:cs="宋体"/>
                <w:i w:val="0"/>
                <w:color w:val="000000"/>
                <w:sz w:val="22"/>
                <w:szCs w:val="22"/>
                <w:highlight w:val="none"/>
                <w:u w:val="none"/>
                <w:lang w:val="en-US" w:eastAsia="zh-CN"/>
              </w:rPr>
              <w:t>59.8</w:t>
            </w:r>
          </w:p>
        </w:tc>
        <w:tc>
          <w:tcPr>
            <w:tcW w:w="1945"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宋体" w:hAnsi="宋体" w:eastAsia="宋体" w:cs="宋体"/>
                <w:i w:val="0"/>
                <w:color w:val="000000"/>
                <w:sz w:val="22"/>
                <w:szCs w:val="22"/>
                <w:highlight w:val="none"/>
                <w:u w:val="none"/>
                <w:lang w:val="en-US" w:eastAsia="zh-CN"/>
              </w:rPr>
            </w:pPr>
            <w:r>
              <w:rPr>
                <w:rFonts w:hint="eastAsia" w:ascii="宋体" w:hAnsi="宋体" w:eastAsia="宋体" w:cs="宋体"/>
                <w:i w:val="0"/>
                <w:color w:val="000000"/>
                <w:sz w:val="22"/>
                <w:szCs w:val="22"/>
                <w:highlight w:val="none"/>
                <w:u w:val="none"/>
                <w:lang w:val="en-US" w:eastAsia="zh-CN"/>
              </w:rPr>
              <w:t>23193.48</w:t>
            </w:r>
          </w:p>
        </w:tc>
      </w:tr>
      <w:tr>
        <w:tblPrEx>
          <w:tblCellMar>
            <w:top w:w="0" w:type="dxa"/>
            <w:left w:w="0" w:type="dxa"/>
            <w:bottom w:w="0" w:type="dxa"/>
            <w:right w:w="0" w:type="dxa"/>
          </w:tblCellMar>
        </w:tblPrEx>
        <w:trPr>
          <w:trHeight w:val="583" w:hRule="atLeast"/>
          <w:jc w:val="center"/>
        </w:trPr>
        <w:tc>
          <w:tcPr>
            <w:tcW w:w="1540" w:type="dxa"/>
            <w:tcBorders>
              <w:top w:val="single" w:color="000000" w:sz="4" w:space="0"/>
              <w:left w:val="single" w:color="000000" w:sz="4" w:space="0"/>
              <w:bottom w:val="single" w:color="000000" w:sz="4" w:space="0"/>
              <w:right w:val="single" w:color="000000" w:sz="4" w:space="0"/>
            </w:tcBorders>
            <w:shd w:val="clear" w:color="000000"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微软雅黑" w:hAnsi="微软雅黑" w:eastAsia="微软雅黑" w:cs="微软雅黑"/>
                <w:i w:val="0"/>
                <w:color w:val="000000"/>
                <w:sz w:val="18"/>
                <w:szCs w:val="18"/>
                <w:highlight w:val="none"/>
                <w:u w:val="none"/>
              </w:rPr>
            </w:pPr>
            <w:r>
              <w:rPr>
                <w:rFonts w:hint="eastAsia" w:ascii="微软雅黑" w:hAnsi="微软雅黑" w:eastAsia="微软雅黑" w:cs="微软雅黑"/>
                <w:i w:val="0"/>
                <w:color w:val="000000"/>
                <w:kern w:val="0"/>
                <w:sz w:val="18"/>
                <w:szCs w:val="18"/>
                <w:highlight w:val="none"/>
                <w:u w:val="none"/>
                <w:lang w:val="en-US" w:eastAsia="zh-CN" w:bidi="ar"/>
              </w:rPr>
              <w:t>制造业</w:t>
            </w:r>
          </w:p>
        </w:tc>
        <w:tc>
          <w:tcPr>
            <w:tcW w:w="1619" w:type="dxa"/>
            <w:tcBorders>
              <w:top w:val="single" w:color="000000" w:sz="4" w:space="0"/>
              <w:left w:val="single" w:color="000000" w:sz="4" w:space="0"/>
              <w:bottom w:val="single" w:color="000000" w:sz="4" w:space="0"/>
              <w:right w:val="single" w:color="000000" w:sz="4" w:space="0"/>
            </w:tcBorders>
            <w:shd w:val="clear" w:color="000000" w:fill="auto"/>
            <w:tcMar>
              <w:top w:w="12" w:type="dxa"/>
              <w:left w:w="12" w:type="dxa"/>
              <w:right w:w="12" w:type="dxa"/>
            </w:tcMar>
            <w:vAlign w:val="center"/>
          </w:tcPr>
          <w:p>
            <w:pPr>
              <w:keepNext w:val="0"/>
              <w:keepLines w:val="0"/>
              <w:widowControl/>
              <w:suppressLineNumbers w:val="0"/>
              <w:jc w:val="center"/>
              <w:textAlignment w:val="center"/>
              <w:rPr>
                <w:rFonts w:hint="default" w:ascii="宋体" w:hAnsi="宋体" w:eastAsia="宋体" w:cs="宋体"/>
                <w:i w:val="0"/>
                <w:color w:val="000000"/>
                <w:sz w:val="22"/>
                <w:szCs w:val="22"/>
                <w:highlight w:val="none"/>
                <w:u w:val="none"/>
                <w:lang w:val="en-US" w:eastAsia="zh-CN"/>
              </w:rPr>
            </w:pPr>
            <w:r>
              <w:rPr>
                <w:rFonts w:hint="eastAsia" w:ascii="宋体" w:hAnsi="宋体" w:eastAsia="宋体" w:cs="宋体"/>
                <w:i w:val="0"/>
                <w:color w:val="000000"/>
                <w:sz w:val="22"/>
                <w:szCs w:val="22"/>
                <w:highlight w:val="none"/>
                <w:u w:val="none"/>
                <w:lang w:val="en-US" w:eastAsia="zh-CN"/>
              </w:rPr>
              <w:t>1168.83</w:t>
            </w:r>
          </w:p>
        </w:tc>
        <w:tc>
          <w:tcPr>
            <w:tcW w:w="1882"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宋体" w:hAnsi="宋体" w:eastAsia="宋体" w:cs="宋体"/>
                <w:i w:val="0"/>
                <w:color w:val="000000"/>
                <w:sz w:val="22"/>
                <w:szCs w:val="22"/>
                <w:highlight w:val="none"/>
                <w:u w:val="none"/>
                <w:lang w:val="en-US" w:eastAsia="zh-CN"/>
              </w:rPr>
            </w:pPr>
            <w:r>
              <w:rPr>
                <w:rFonts w:hint="eastAsia" w:ascii="宋体" w:hAnsi="宋体" w:eastAsia="宋体" w:cs="宋体"/>
                <w:i w:val="0"/>
                <w:color w:val="000000"/>
                <w:sz w:val="22"/>
                <w:szCs w:val="22"/>
                <w:highlight w:val="none"/>
                <w:u w:val="none"/>
                <w:lang w:val="en-US" w:eastAsia="zh-CN"/>
              </w:rPr>
              <w:t>1182.05</w:t>
            </w:r>
          </w:p>
        </w:tc>
        <w:tc>
          <w:tcPr>
            <w:tcW w:w="1871"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宋体" w:hAnsi="宋体" w:eastAsia="宋体" w:cs="宋体"/>
                <w:i w:val="0"/>
                <w:color w:val="000000"/>
                <w:sz w:val="22"/>
                <w:szCs w:val="22"/>
                <w:highlight w:val="none"/>
                <w:u w:val="none"/>
                <w:lang w:val="en-US" w:eastAsia="zh-CN"/>
              </w:rPr>
            </w:pPr>
            <w:r>
              <w:rPr>
                <w:rFonts w:hint="eastAsia" w:ascii="宋体" w:hAnsi="宋体" w:eastAsia="宋体" w:cs="宋体"/>
                <w:i w:val="0"/>
                <w:color w:val="000000"/>
                <w:sz w:val="22"/>
                <w:szCs w:val="22"/>
                <w:highlight w:val="none"/>
                <w:u w:val="none"/>
                <w:lang w:val="en-US" w:eastAsia="zh-CN"/>
              </w:rPr>
              <w:t>15.81</w:t>
            </w:r>
          </w:p>
        </w:tc>
        <w:tc>
          <w:tcPr>
            <w:tcW w:w="1945"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宋体" w:hAnsi="宋体" w:eastAsia="宋体" w:cs="宋体"/>
                <w:i w:val="0"/>
                <w:color w:val="000000"/>
                <w:sz w:val="22"/>
                <w:szCs w:val="22"/>
                <w:highlight w:val="none"/>
                <w:u w:val="none"/>
                <w:lang w:val="en-US" w:eastAsia="zh-CN"/>
              </w:rPr>
            </w:pPr>
            <w:r>
              <w:rPr>
                <w:rFonts w:hint="eastAsia" w:ascii="宋体" w:hAnsi="宋体" w:eastAsia="宋体" w:cs="宋体"/>
                <w:i w:val="0"/>
                <w:color w:val="000000"/>
                <w:sz w:val="22"/>
                <w:szCs w:val="22"/>
                <w:highlight w:val="none"/>
                <w:u w:val="none"/>
                <w:lang w:val="en-US" w:eastAsia="zh-CN"/>
              </w:rPr>
              <w:t>43.03</w:t>
            </w:r>
          </w:p>
        </w:tc>
      </w:tr>
      <w:tr>
        <w:tblPrEx>
          <w:tblCellMar>
            <w:top w:w="0" w:type="dxa"/>
            <w:left w:w="0" w:type="dxa"/>
            <w:bottom w:w="0" w:type="dxa"/>
            <w:right w:w="0" w:type="dxa"/>
          </w:tblCellMar>
        </w:tblPrEx>
        <w:trPr>
          <w:trHeight w:val="672" w:hRule="atLeast"/>
          <w:jc w:val="center"/>
        </w:trPr>
        <w:tc>
          <w:tcPr>
            <w:tcW w:w="1540" w:type="dxa"/>
            <w:tcBorders>
              <w:top w:val="single" w:color="000000" w:sz="4" w:space="0"/>
              <w:left w:val="single" w:color="000000" w:sz="4" w:space="0"/>
              <w:bottom w:val="single" w:color="000000" w:sz="4" w:space="0"/>
              <w:right w:val="single" w:color="000000" w:sz="4" w:space="0"/>
            </w:tcBorders>
            <w:shd w:val="clear" w:color="000000"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微软雅黑" w:hAnsi="微软雅黑" w:eastAsia="微软雅黑" w:cs="微软雅黑"/>
                <w:i w:val="0"/>
                <w:color w:val="000000"/>
                <w:sz w:val="18"/>
                <w:szCs w:val="18"/>
                <w:highlight w:val="none"/>
                <w:u w:val="none"/>
              </w:rPr>
            </w:pPr>
            <w:r>
              <w:rPr>
                <w:rFonts w:hint="eastAsia" w:ascii="微软雅黑" w:hAnsi="微软雅黑" w:eastAsia="微软雅黑" w:cs="微软雅黑"/>
                <w:i w:val="0"/>
                <w:color w:val="000000"/>
                <w:kern w:val="0"/>
                <w:sz w:val="18"/>
                <w:szCs w:val="18"/>
                <w:highlight w:val="none"/>
                <w:u w:val="none"/>
                <w:lang w:val="en-US" w:eastAsia="zh-CN" w:bidi="ar"/>
              </w:rPr>
              <w:t>电力、热力、燃气及水生产和供应业</w:t>
            </w:r>
          </w:p>
        </w:tc>
        <w:tc>
          <w:tcPr>
            <w:tcW w:w="1619" w:type="dxa"/>
            <w:tcBorders>
              <w:top w:val="single" w:color="000000" w:sz="4" w:space="0"/>
              <w:left w:val="single" w:color="000000" w:sz="4" w:space="0"/>
              <w:bottom w:val="single" w:color="000000" w:sz="4" w:space="0"/>
              <w:right w:val="single" w:color="000000" w:sz="4" w:space="0"/>
            </w:tcBorders>
            <w:shd w:val="clear" w:color="000000" w:fill="auto"/>
            <w:tcMar>
              <w:top w:w="12" w:type="dxa"/>
              <w:left w:w="12" w:type="dxa"/>
              <w:right w:w="12" w:type="dxa"/>
            </w:tcMar>
            <w:vAlign w:val="center"/>
          </w:tcPr>
          <w:p>
            <w:pPr>
              <w:keepNext w:val="0"/>
              <w:keepLines w:val="0"/>
              <w:widowControl/>
              <w:suppressLineNumbers w:val="0"/>
              <w:jc w:val="center"/>
              <w:textAlignment w:val="center"/>
              <w:rPr>
                <w:rFonts w:hint="default" w:ascii="宋体" w:hAnsi="宋体" w:eastAsia="宋体" w:cs="宋体"/>
                <w:i w:val="0"/>
                <w:color w:val="000000"/>
                <w:sz w:val="22"/>
                <w:szCs w:val="22"/>
                <w:highlight w:val="none"/>
                <w:u w:val="none"/>
                <w:lang w:val="en-US" w:eastAsia="zh-CN"/>
              </w:rPr>
            </w:pPr>
            <w:r>
              <w:rPr>
                <w:rFonts w:hint="eastAsia" w:ascii="宋体" w:hAnsi="宋体" w:eastAsia="宋体" w:cs="宋体"/>
                <w:i w:val="0"/>
                <w:color w:val="000000"/>
                <w:sz w:val="22"/>
                <w:szCs w:val="22"/>
                <w:highlight w:val="none"/>
                <w:u w:val="none"/>
                <w:lang w:val="en-US" w:eastAsia="zh-CN"/>
              </w:rPr>
              <w:t>104.11</w:t>
            </w:r>
          </w:p>
        </w:tc>
        <w:tc>
          <w:tcPr>
            <w:tcW w:w="1882"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宋体" w:hAnsi="宋体" w:eastAsia="宋体" w:cs="宋体"/>
                <w:i w:val="0"/>
                <w:color w:val="000000"/>
                <w:sz w:val="22"/>
                <w:szCs w:val="22"/>
                <w:highlight w:val="none"/>
                <w:u w:val="none"/>
                <w:lang w:val="en-US" w:eastAsia="zh-CN"/>
              </w:rPr>
            </w:pPr>
            <w:r>
              <w:rPr>
                <w:rFonts w:hint="eastAsia" w:ascii="宋体" w:hAnsi="宋体" w:eastAsia="宋体" w:cs="宋体"/>
                <w:i w:val="0"/>
                <w:color w:val="000000"/>
                <w:sz w:val="22"/>
                <w:szCs w:val="22"/>
                <w:highlight w:val="none"/>
                <w:u w:val="none"/>
                <w:lang w:val="en-US" w:eastAsia="zh-CN"/>
              </w:rPr>
              <w:t>85.64</w:t>
            </w:r>
          </w:p>
        </w:tc>
        <w:tc>
          <w:tcPr>
            <w:tcW w:w="1871"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宋体" w:hAnsi="宋体" w:eastAsia="宋体" w:cs="宋体"/>
                <w:i w:val="0"/>
                <w:color w:val="000000"/>
                <w:sz w:val="22"/>
                <w:szCs w:val="22"/>
                <w:highlight w:val="none"/>
                <w:u w:val="none"/>
                <w:lang w:val="en-US" w:eastAsia="zh-CN"/>
              </w:rPr>
            </w:pPr>
            <w:r>
              <w:rPr>
                <w:rFonts w:hint="eastAsia" w:ascii="宋体" w:hAnsi="宋体" w:eastAsia="宋体" w:cs="宋体"/>
                <w:i w:val="0"/>
                <w:color w:val="000000"/>
                <w:sz w:val="22"/>
                <w:szCs w:val="22"/>
                <w:highlight w:val="none"/>
                <w:u w:val="none"/>
                <w:lang w:val="en-US" w:eastAsia="zh-CN"/>
              </w:rPr>
              <w:t>9.11</w:t>
            </w:r>
          </w:p>
        </w:tc>
        <w:tc>
          <w:tcPr>
            <w:tcW w:w="1945"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宋体" w:hAnsi="宋体" w:eastAsia="宋体" w:cs="宋体"/>
                <w:i w:val="0"/>
                <w:color w:val="000000"/>
                <w:sz w:val="22"/>
                <w:szCs w:val="22"/>
                <w:highlight w:val="none"/>
                <w:u w:val="none"/>
                <w:lang w:val="en-US" w:eastAsia="zh-CN"/>
              </w:rPr>
            </w:pPr>
            <w:r>
              <w:rPr>
                <w:rFonts w:hint="eastAsia" w:ascii="宋体" w:hAnsi="宋体" w:eastAsia="宋体" w:cs="宋体"/>
                <w:i w:val="0"/>
                <w:color w:val="000000"/>
                <w:sz w:val="22"/>
                <w:szCs w:val="22"/>
                <w:highlight w:val="none"/>
                <w:u w:val="none"/>
                <w:lang w:val="en-US" w:eastAsia="zh-CN"/>
              </w:rPr>
              <w:t>10.50</w:t>
            </w:r>
          </w:p>
        </w:tc>
      </w:tr>
      <w:tr>
        <w:tblPrEx>
          <w:tblCellMar>
            <w:top w:w="0" w:type="dxa"/>
            <w:left w:w="0" w:type="dxa"/>
            <w:bottom w:w="0" w:type="dxa"/>
            <w:right w:w="0" w:type="dxa"/>
          </w:tblCellMar>
        </w:tblPrEx>
        <w:trPr>
          <w:trHeight w:val="635" w:hRule="atLeast"/>
          <w:jc w:val="center"/>
        </w:trPr>
        <w:tc>
          <w:tcPr>
            <w:tcW w:w="1540" w:type="dxa"/>
            <w:tcBorders>
              <w:top w:val="single" w:color="000000" w:sz="4" w:space="0"/>
              <w:left w:val="single" w:color="000000" w:sz="4" w:space="0"/>
              <w:bottom w:val="single" w:color="000000" w:sz="4" w:space="0"/>
              <w:right w:val="single" w:color="000000" w:sz="4" w:space="0"/>
            </w:tcBorders>
            <w:shd w:val="clear" w:color="000000"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微软雅黑" w:hAnsi="微软雅黑" w:eastAsia="微软雅黑" w:cs="微软雅黑"/>
                <w:i w:val="0"/>
                <w:color w:val="000000"/>
                <w:kern w:val="0"/>
                <w:sz w:val="18"/>
                <w:szCs w:val="18"/>
                <w:highlight w:val="none"/>
                <w:u w:val="none"/>
                <w:lang w:val="en-US" w:eastAsia="zh-CN" w:bidi="ar"/>
              </w:rPr>
            </w:pPr>
            <w:r>
              <w:rPr>
                <w:rFonts w:hint="eastAsia" w:ascii="微软雅黑" w:hAnsi="微软雅黑" w:eastAsia="微软雅黑" w:cs="微软雅黑"/>
                <w:i w:val="0"/>
                <w:color w:val="000000"/>
                <w:kern w:val="0"/>
                <w:sz w:val="18"/>
                <w:szCs w:val="18"/>
                <w:highlight w:val="none"/>
                <w:u w:val="none"/>
                <w:lang w:val="en-US" w:eastAsia="zh-CN" w:bidi="ar"/>
              </w:rPr>
              <w:t>农、林、牧、渔业</w:t>
            </w:r>
          </w:p>
        </w:tc>
        <w:tc>
          <w:tcPr>
            <w:tcW w:w="1619" w:type="dxa"/>
            <w:tcBorders>
              <w:top w:val="single" w:color="000000" w:sz="4" w:space="0"/>
              <w:left w:val="single" w:color="000000" w:sz="4" w:space="0"/>
              <w:bottom w:val="single" w:color="000000" w:sz="4" w:space="0"/>
              <w:right w:val="single" w:color="000000" w:sz="4" w:space="0"/>
            </w:tcBorders>
            <w:shd w:val="clear" w:color="000000" w:fill="auto"/>
            <w:tcMar>
              <w:top w:w="12" w:type="dxa"/>
              <w:left w:w="12" w:type="dxa"/>
              <w:right w:w="12" w:type="dxa"/>
            </w:tcMar>
            <w:vAlign w:val="center"/>
          </w:tcPr>
          <w:p>
            <w:pPr>
              <w:keepNext w:val="0"/>
              <w:keepLines w:val="0"/>
              <w:widowControl/>
              <w:suppressLineNumbers w:val="0"/>
              <w:jc w:val="center"/>
              <w:textAlignment w:val="center"/>
              <w:rPr>
                <w:rFonts w:hint="default" w:ascii="宋体" w:hAnsi="宋体" w:eastAsia="宋体" w:cs="宋体"/>
                <w:i w:val="0"/>
                <w:color w:val="000000"/>
                <w:sz w:val="22"/>
                <w:szCs w:val="22"/>
                <w:highlight w:val="none"/>
                <w:u w:val="none"/>
                <w:lang w:val="en-US" w:eastAsia="zh-CN"/>
              </w:rPr>
            </w:pPr>
            <w:r>
              <w:rPr>
                <w:rFonts w:hint="eastAsia" w:ascii="宋体" w:hAnsi="宋体" w:eastAsia="宋体" w:cs="宋体"/>
                <w:i w:val="0"/>
                <w:color w:val="000000"/>
                <w:sz w:val="22"/>
                <w:szCs w:val="22"/>
                <w:highlight w:val="none"/>
                <w:u w:val="none"/>
                <w:lang w:val="en-US" w:eastAsia="zh-CN"/>
              </w:rPr>
              <w:t>0.55</w:t>
            </w:r>
          </w:p>
        </w:tc>
        <w:tc>
          <w:tcPr>
            <w:tcW w:w="1882"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宋体" w:hAnsi="宋体" w:eastAsia="宋体" w:cs="宋体"/>
                <w:i w:val="0"/>
                <w:color w:val="000000"/>
                <w:sz w:val="22"/>
                <w:szCs w:val="22"/>
                <w:highlight w:val="none"/>
                <w:u w:val="none"/>
                <w:lang w:val="en-US" w:eastAsia="zh-CN"/>
              </w:rPr>
            </w:pPr>
            <w:r>
              <w:rPr>
                <w:rFonts w:hint="eastAsia" w:ascii="宋体" w:hAnsi="宋体" w:eastAsia="宋体" w:cs="宋体"/>
                <w:i w:val="0"/>
                <w:color w:val="000000"/>
                <w:sz w:val="22"/>
                <w:szCs w:val="22"/>
                <w:highlight w:val="none"/>
                <w:u w:val="none"/>
                <w:lang w:val="en-US" w:eastAsia="zh-CN"/>
              </w:rPr>
              <w:t>0.15</w:t>
            </w:r>
          </w:p>
        </w:tc>
        <w:tc>
          <w:tcPr>
            <w:tcW w:w="1871"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宋体" w:hAnsi="宋体" w:eastAsia="宋体" w:cs="宋体"/>
                <w:i w:val="0"/>
                <w:color w:val="000000"/>
                <w:sz w:val="22"/>
                <w:szCs w:val="22"/>
                <w:highlight w:val="none"/>
                <w:u w:val="none"/>
                <w:lang w:val="en-US" w:eastAsia="zh-CN"/>
              </w:rPr>
            </w:pPr>
            <w:r>
              <w:rPr>
                <w:rFonts w:hint="eastAsia" w:ascii="宋体" w:hAnsi="宋体" w:eastAsia="宋体" w:cs="宋体"/>
                <w:i w:val="0"/>
                <w:color w:val="000000"/>
                <w:sz w:val="22"/>
                <w:szCs w:val="22"/>
                <w:highlight w:val="none"/>
                <w:u w:val="none"/>
                <w:lang w:val="en-US" w:eastAsia="zh-CN"/>
              </w:rPr>
              <w:t>0.014</w:t>
            </w:r>
          </w:p>
        </w:tc>
        <w:tc>
          <w:tcPr>
            <w:tcW w:w="1945"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宋体" w:hAnsi="宋体" w:eastAsia="宋体" w:cs="宋体"/>
                <w:i w:val="0"/>
                <w:color w:val="000000"/>
                <w:sz w:val="22"/>
                <w:szCs w:val="22"/>
                <w:highlight w:val="none"/>
                <w:u w:val="none"/>
                <w:lang w:val="en-US" w:eastAsia="zh-CN"/>
              </w:rPr>
            </w:pPr>
            <w:r>
              <w:rPr>
                <w:rFonts w:hint="eastAsia" w:ascii="宋体" w:hAnsi="宋体" w:eastAsia="宋体" w:cs="宋体"/>
                <w:i w:val="0"/>
                <w:color w:val="000000"/>
                <w:sz w:val="22"/>
                <w:szCs w:val="22"/>
                <w:highlight w:val="none"/>
                <w:u w:val="none"/>
                <w:lang w:val="en-US" w:eastAsia="zh-CN"/>
              </w:rPr>
              <w:t>0</w:t>
            </w:r>
          </w:p>
        </w:tc>
      </w:tr>
      <w:tr>
        <w:tblPrEx>
          <w:tblCellMar>
            <w:top w:w="0" w:type="dxa"/>
            <w:left w:w="0" w:type="dxa"/>
            <w:bottom w:w="0" w:type="dxa"/>
            <w:right w:w="0" w:type="dxa"/>
          </w:tblCellMar>
        </w:tblPrEx>
        <w:trPr>
          <w:trHeight w:val="635" w:hRule="atLeast"/>
          <w:jc w:val="center"/>
        </w:trPr>
        <w:tc>
          <w:tcPr>
            <w:tcW w:w="1540" w:type="dxa"/>
            <w:tcBorders>
              <w:top w:val="single" w:color="000000" w:sz="4" w:space="0"/>
              <w:left w:val="single" w:color="000000" w:sz="4" w:space="0"/>
              <w:bottom w:val="single" w:color="000000" w:sz="4" w:space="0"/>
              <w:right w:val="single" w:color="000000" w:sz="4" w:space="0"/>
            </w:tcBorders>
            <w:shd w:val="clear" w:color="000000"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微软雅黑" w:hAnsi="微软雅黑" w:eastAsia="微软雅黑" w:cs="微软雅黑"/>
                <w:i w:val="0"/>
                <w:color w:val="000000"/>
                <w:sz w:val="18"/>
                <w:szCs w:val="18"/>
                <w:highlight w:val="none"/>
                <w:u w:val="none"/>
              </w:rPr>
            </w:pPr>
            <w:r>
              <w:rPr>
                <w:rFonts w:hint="eastAsia" w:ascii="微软雅黑" w:hAnsi="微软雅黑" w:eastAsia="微软雅黑" w:cs="微软雅黑"/>
                <w:i w:val="0"/>
                <w:color w:val="000000"/>
                <w:kern w:val="0"/>
                <w:sz w:val="18"/>
                <w:szCs w:val="18"/>
                <w:highlight w:val="none"/>
                <w:u w:val="none"/>
                <w:lang w:val="en-US" w:eastAsia="zh-CN" w:bidi="ar"/>
              </w:rPr>
              <w:t>水利、环境和公共设施管理业</w:t>
            </w:r>
          </w:p>
        </w:tc>
        <w:tc>
          <w:tcPr>
            <w:tcW w:w="1619" w:type="dxa"/>
            <w:tcBorders>
              <w:top w:val="single" w:color="000000" w:sz="4" w:space="0"/>
              <w:left w:val="single" w:color="000000" w:sz="4" w:space="0"/>
              <w:bottom w:val="single" w:color="000000" w:sz="4" w:space="0"/>
              <w:right w:val="single" w:color="000000" w:sz="4" w:space="0"/>
            </w:tcBorders>
            <w:shd w:val="clear" w:color="000000" w:fill="auto"/>
            <w:tcMar>
              <w:top w:w="12" w:type="dxa"/>
              <w:left w:w="12" w:type="dxa"/>
              <w:right w:w="12" w:type="dxa"/>
            </w:tcMar>
            <w:vAlign w:val="center"/>
          </w:tcPr>
          <w:p>
            <w:pPr>
              <w:keepNext w:val="0"/>
              <w:keepLines w:val="0"/>
              <w:widowControl/>
              <w:suppressLineNumbers w:val="0"/>
              <w:jc w:val="center"/>
              <w:textAlignment w:val="center"/>
              <w:rPr>
                <w:rFonts w:hint="default" w:ascii="宋体" w:hAnsi="宋体" w:eastAsia="宋体" w:cs="宋体"/>
                <w:i w:val="0"/>
                <w:color w:val="000000"/>
                <w:sz w:val="22"/>
                <w:szCs w:val="22"/>
                <w:highlight w:val="none"/>
                <w:u w:val="none"/>
                <w:lang w:val="en-US" w:eastAsia="zh-CN"/>
              </w:rPr>
            </w:pPr>
            <w:r>
              <w:rPr>
                <w:rFonts w:hint="eastAsia" w:ascii="宋体" w:hAnsi="宋体" w:eastAsia="宋体" w:cs="宋体"/>
                <w:i w:val="0"/>
                <w:color w:val="000000"/>
                <w:sz w:val="22"/>
                <w:szCs w:val="22"/>
                <w:highlight w:val="none"/>
                <w:u w:val="none"/>
                <w:lang w:val="en-US" w:eastAsia="zh-CN"/>
              </w:rPr>
              <w:t>0.43</w:t>
            </w:r>
          </w:p>
        </w:tc>
        <w:tc>
          <w:tcPr>
            <w:tcW w:w="1882"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highlight w:val="none"/>
                <w:u w:val="none"/>
                <w:lang w:val="en-US" w:eastAsia="zh-CN"/>
              </w:rPr>
            </w:pPr>
            <w:r>
              <w:rPr>
                <w:rFonts w:hint="eastAsia" w:ascii="宋体" w:hAnsi="宋体" w:eastAsia="宋体" w:cs="宋体"/>
                <w:i w:val="0"/>
                <w:color w:val="000000"/>
                <w:sz w:val="22"/>
                <w:szCs w:val="22"/>
                <w:highlight w:val="none"/>
                <w:u w:val="none"/>
                <w:lang w:val="en-US" w:eastAsia="zh-CN"/>
              </w:rPr>
              <w:t>0</w:t>
            </w:r>
          </w:p>
        </w:tc>
        <w:tc>
          <w:tcPr>
            <w:tcW w:w="1871"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宋体" w:hAnsi="宋体" w:eastAsia="宋体" w:cs="宋体"/>
                <w:i w:val="0"/>
                <w:color w:val="000000"/>
                <w:sz w:val="22"/>
                <w:szCs w:val="22"/>
                <w:highlight w:val="none"/>
                <w:u w:val="none"/>
                <w:lang w:val="en-US" w:eastAsia="zh-CN"/>
              </w:rPr>
            </w:pPr>
            <w:r>
              <w:rPr>
                <w:rFonts w:hint="eastAsia" w:ascii="宋体" w:hAnsi="宋体" w:eastAsia="宋体" w:cs="宋体"/>
                <w:i w:val="0"/>
                <w:color w:val="000000"/>
                <w:sz w:val="22"/>
                <w:szCs w:val="22"/>
                <w:highlight w:val="none"/>
                <w:u w:val="none"/>
                <w:lang w:val="en-US" w:eastAsia="zh-CN"/>
              </w:rPr>
              <w:t>0.43</w:t>
            </w:r>
          </w:p>
        </w:tc>
        <w:tc>
          <w:tcPr>
            <w:tcW w:w="1945"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highlight w:val="none"/>
                <w:u w:val="none"/>
                <w:lang w:val="en-US" w:eastAsia="zh-CN"/>
              </w:rPr>
            </w:pPr>
            <w:r>
              <w:rPr>
                <w:rFonts w:hint="eastAsia" w:ascii="宋体" w:hAnsi="宋体" w:eastAsia="宋体" w:cs="宋体"/>
                <w:i w:val="0"/>
                <w:color w:val="000000"/>
                <w:sz w:val="22"/>
                <w:szCs w:val="22"/>
                <w:highlight w:val="none"/>
                <w:u w:val="none"/>
                <w:lang w:val="en-US" w:eastAsia="zh-CN"/>
              </w:rPr>
              <w:t>0</w:t>
            </w:r>
          </w:p>
        </w:tc>
      </w:tr>
    </w:tbl>
    <w:p>
      <w:pPr>
        <w:keepNext w:val="0"/>
        <w:keepLines w:val="0"/>
        <w:pageBreakBefore w:val="0"/>
        <w:widowControl w:val="0"/>
        <w:kinsoku/>
        <w:wordWrap/>
        <w:overflowPunct/>
        <w:topLinePunct w:val="0"/>
        <w:autoSpaceDE/>
        <w:autoSpaceDN/>
        <w:bidi w:val="0"/>
        <w:adjustRightInd/>
        <w:snapToGrid/>
        <w:ind w:firstLine="480" w:firstLineChars="200"/>
        <w:jc w:val="left"/>
        <w:textAlignment w:val="auto"/>
        <w:rPr>
          <w:rFonts w:hint="default" w:ascii="楷体" w:hAnsi="楷体" w:eastAsia="楷体" w:cs="楷体"/>
          <w:sz w:val="24"/>
          <w:szCs w:val="24"/>
          <w:highlight w:val="none"/>
          <w:lang w:val="en-US" w:eastAsia="zh-CN"/>
        </w:rPr>
      </w:pPr>
      <w:r>
        <w:rPr>
          <w:rFonts w:hint="eastAsia" w:ascii="楷体" w:hAnsi="楷体" w:eastAsia="楷体" w:cs="楷体"/>
          <w:sz w:val="24"/>
          <w:szCs w:val="24"/>
          <w:highlight w:val="none"/>
          <w:lang w:val="en-US" w:eastAsia="zh-CN"/>
        </w:rPr>
        <w:t>*注：此表中综合利用量和处置量含利用和处置上年度遗留贮存量，贮存量为截至2025年年底贮存量。</w:t>
      </w:r>
    </w:p>
    <w:p>
      <w:pPr>
        <w:keepNext w:val="0"/>
        <w:keepLines w:val="0"/>
        <w:pageBreakBefore w:val="0"/>
        <w:widowControl w:val="0"/>
        <w:kinsoku/>
        <w:wordWrap/>
        <w:overflowPunct/>
        <w:topLinePunct w:val="0"/>
        <w:autoSpaceDE/>
        <w:autoSpaceDN/>
        <w:bidi w:val="0"/>
        <w:adjustRightInd/>
        <w:snapToGrid/>
        <w:spacing w:line="578" w:lineRule="exact"/>
        <w:ind w:firstLine="643" w:firstLineChars="200"/>
        <w:textAlignment w:val="auto"/>
        <w:rPr>
          <w:rFonts w:hint="eastAsia" w:ascii="仿宋_GB2312" w:hAnsi="仿宋_GB2312" w:eastAsia="仿宋_GB2312" w:cs="仿宋_GB2312"/>
          <w:b/>
          <w:bCs/>
          <w:sz w:val="32"/>
          <w:szCs w:val="32"/>
          <w:highlight w:val="none"/>
          <w:lang w:eastAsia="zh-CN"/>
        </w:rPr>
      </w:pPr>
      <w:r>
        <w:rPr>
          <w:rFonts w:hint="eastAsia" w:ascii="仿宋_GB2312" w:hAnsi="仿宋_GB2312" w:eastAsia="仿宋_GB2312" w:cs="仿宋_GB2312"/>
          <w:b/>
          <w:bCs/>
          <w:sz w:val="32"/>
          <w:szCs w:val="32"/>
          <w:highlight w:val="none"/>
          <w:lang w:val="en-US" w:eastAsia="zh-CN"/>
        </w:rPr>
        <w:t>3.</w:t>
      </w:r>
      <w:r>
        <w:rPr>
          <w:rFonts w:hint="eastAsia" w:ascii="仿宋_GB2312" w:hAnsi="仿宋_GB2312" w:eastAsia="仿宋_GB2312" w:cs="仿宋_GB2312"/>
          <w:b/>
          <w:bCs/>
          <w:sz w:val="32"/>
          <w:szCs w:val="32"/>
          <w:highlight w:val="none"/>
          <w:lang w:eastAsia="zh-CN"/>
        </w:rPr>
        <w:t>主要产生种类</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202</w:t>
      </w:r>
      <w:r>
        <w:rPr>
          <w:rFonts w:hint="eastAsia" w:ascii="仿宋_GB2312" w:hAnsi="仿宋_GB2312" w:eastAsia="仿宋_GB2312" w:cs="仿宋_GB2312"/>
          <w:sz w:val="32"/>
          <w:szCs w:val="32"/>
          <w:highlight w:val="none"/>
          <w:lang w:val="en-US" w:eastAsia="zh-CN"/>
        </w:rPr>
        <w:t>5</w:t>
      </w:r>
      <w:r>
        <w:rPr>
          <w:rFonts w:hint="eastAsia" w:ascii="仿宋_GB2312" w:hAnsi="仿宋_GB2312" w:eastAsia="仿宋_GB2312" w:cs="仿宋_GB2312"/>
          <w:sz w:val="32"/>
          <w:szCs w:val="32"/>
          <w:highlight w:val="none"/>
        </w:rPr>
        <w:t>年，一般工业固体废物产生量排名前5的种类依次为尾矿</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冶炼废渣</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其他工业固体废物</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粉煤灰</w:t>
      </w:r>
      <w:r>
        <w:rPr>
          <w:rFonts w:hint="eastAsia" w:ascii="仿宋_GB2312" w:hAnsi="仿宋_GB2312" w:eastAsia="仿宋_GB2312" w:cs="仿宋_GB2312"/>
          <w:sz w:val="32"/>
          <w:szCs w:val="32"/>
          <w:highlight w:val="none"/>
          <w:lang w:eastAsia="zh-CN"/>
        </w:rPr>
        <w:t>、脱硫石膏，</w:t>
      </w:r>
      <w:r>
        <w:rPr>
          <w:rFonts w:hint="eastAsia" w:ascii="仿宋_GB2312" w:hAnsi="仿宋_GB2312" w:eastAsia="仿宋_GB2312" w:cs="仿宋_GB2312"/>
          <w:sz w:val="32"/>
          <w:szCs w:val="32"/>
          <w:highlight w:val="none"/>
        </w:rPr>
        <w:t>产生量分别占全市一般工业固体废物产生总量的</w:t>
      </w:r>
      <w:r>
        <w:rPr>
          <w:rFonts w:hint="eastAsia" w:ascii="仿宋_GB2312" w:hAnsi="仿宋_GB2312" w:eastAsia="仿宋_GB2312" w:cs="仿宋_GB2312"/>
          <w:sz w:val="32"/>
          <w:szCs w:val="32"/>
          <w:highlight w:val="none"/>
          <w:lang w:val="en-US" w:eastAsia="zh-CN"/>
        </w:rPr>
        <w:t>68.32</w:t>
      </w:r>
      <w:r>
        <w:rPr>
          <w:rFonts w:hint="eastAsia" w:ascii="仿宋_GB2312" w:hAnsi="仿宋_GB2312" w:eastAsia="仿宋_GB2312" w:cs="仿宋_GB2312"/>
          <w:sz w:val="32"/>
          <w:szCs w:val="32"/>
          <w:highlight w:val="none"/>
        </w:rPr>
        <w:t>%、2</w:t>
      </w:r>
      <w:r>
        <w:rPr>
          <w:rFonts w:hint="eastAsia" w:ascii="仿宋_GB2312" w:hAnsi="仿宋_GB2312" w:eastAsia="仿宋_GB2312" w:cs="仿宋_GB2312"/>
          <w:sz w:val="32"/>
          <w:szCs w:val="32"/>
          <w:highlight w:val="none"/>
          <w:lang w:val="en-US" w:eastAsia="zh-CN"/>
        </w:rPr>
        <w:t>6.5</w:t>
      </w:r>
      <w:bookmarkStart w:id="0" w:name="_GoBack"/>
      <w:bookmarkEnd w:id="0"/>
      <w:r>
        <w:rPr>
          <w:rFonts w:hint="eastAsia" w:ascii="仿宋_GB2312" w:hAnsi="仿宋_GB2312" w:eastAsia="仿宋_GB2312" w:cs="仿宋_GB2312"/>
          <w:sz w:val="32"/>
          <w:szCs w:val="32"/>
          <w:highlight w:val="none"/>
          <w:lang w:val="en-US" w:eastAsia="zh-CN"/>
        </w:rPr>
        <w:t>2</w:t>
      </w:r>
      <w:r>
        <w:rPr>
          <w:rFonts w:hint="eastAsia" w:ascii="仿宋_GB2312" w:hAnsi="仿宋_GB2312" w:eastAsia="仿宋_GB2312" w:cs="仿宋_GB2312"/>
          <w:sz w:val="32"/>
          <w:szCs w:val="32"/>
          <w:highlight w:val="none"/>
        </w:rPr>
        <w:t>%、</w:t>
      </w:r>
      <w:r>
        <w:rPr>
          <w:rFonts w:hint="eastAsia" w:ascii="仿宋_GB2312" w:hAnsi="仿宋_GB2312" w:eastAsia="仿宋_GB2312" w:cs="仿宋_GB2312"/>
          <w:sz w:val="32"/>
          <w:szCs w:val="32"/>
          <w:highlight w:val="none"/>
          <w:lang w:val="en-US" w:eastAsia="zh-CN"/>
        </w:rPr>
        <w:t>1.89</w:t>
      </w:r>
      <w:r>
        <w:rPr>
          <w:rFonts w:hint="eastAsia" w:ascii="仿宋_GB2312" w:hAnsi="仿宋_GB2312" w:eastAsia="仿宋_GB2312" w:cs="仿宋_GB2312"/>
          <w:sz w:val="32"/>
          <w:szCs w:val="32"/>
          <w:highlight w:val="none"/>
        </w:rPr>
        <w:t>%、1.</w:t>
      </w:r>
      <w:r>
        <w:rPr>
          <w:rFonts w:hint="eastAsia" w:ascii="仿宋_GB2312" w:hAnsi="仿宋_GB2312" w:eastAsia="仿宋_GB2312" w:cs="仿宋_GB2312"/>
          <w:sz w:val="32"/>
          <w:szCs w:val="32"/>
          <w:highlight w:val="none"/>
          <w:lang w:val="en-US" w:eastAsia="zh-CN"/>
        </w:rPr>
        <w:t>03</w:t>
      </w:r>
      <w:r>
        <w:rPr>
          <w:rFonts w:hint="eastAsia" w:ascii="仿宋_GB2312" w:hAnsi="仿宋_GB2312" w:eastAsia="仿宋_GB2312" w:cs="仿宋_GB2312"/>
          <w:sz w:val="32"/>
          <w:szCs w:val="32"/>
          <w:highlight w:val="none"/>
        </w:rPr>
        <w:t>%、</w:t>
      </w:r>
      <w:r>
        <w:rPr>
          <w:rFonts w:hint="eastAsia" w:ascii="仿宋_GB2312" w:hAnsi="仿宋_GB2312" w:eastAsia="仿宋_GB2312" w:cs="仿宋_GB2312"/>
          <w:sz w:val="32"/>
          <w:szCs w:val="32"/>
          <w:highlight w:val="none"/>
          <w:lang w:val="en-US" w:eastAsia="zh-CN"/>
        </w:rPr>
        <w:t>0.70</w:t>
      </w:r>
      <w:r>
        <w:rPr>
          <w:rFonts w:hint="eastAsia" w:ascii="仿宋_GB2312" w:hAnsi="仿宋_GB2312" w:eastAsia="仿宋_GB2312" w:cs="仿宋_GB2312"/>
          <w:sz w:val="32"/>
          <w:szCs w:val="32"/>
          <w:highlight w:val="none"/>
        </w:rPr>
        <w:t>%。</w:t>
      </w:r>
    </w:p>
    <w:p>
      <w:pPr>
        <w:keepNext w:val="0"/>
        <w:keepLines w:val="0"/>
        <w:pageBreakBefore w:val="0"/>
        <w:widowControl w:val="0"/>
        <w:kinsoku/>
        <w:wordWrap/>
        <w:overflowPunct/>
        <w:topLinePunct w:val="0"/>
        <w:autoSpaceDE/>
        <w:autoSpaceDN/>
        <w:bidi w:val="0"/>
        <w:adjustRightInd/>
        <w:snapToGrid/>
        <w:spacing w:line="578" w:lineRule="exact"/>
        <w:ind w:firstLine="1446" w:firstLineChars="600"/>
        <w:textAlignment w:val="auto"/>
        <w:rPr>
          <w:rFonts w:hint="eastAsia" w:ascii="仿宋_GB2312" w:hAnsi="仿宋_GB2312" w:eastAsia="宋体" w:cs="仿宋_GB2312"/>
          <w:color w:val="0000FF"/>
          <w:sz w:val="32"/>
          <w:szCs w:val="32"/>
          <w:highlight w:val="none"/>
          <w:lang w:eastAsia="zh-CN"/>
        </w:rPr>
      </w:pPr>
      <w:r>
        <w:rPr>
          <w:rFonts w:hint="eastAsia" w:ascii="宋体" w:hAnsi="宋体" w:eastAsia="宋体" w:cs="宋体"/>
          <w:b/>
          <w:bCs/>
          <w:sz w:val="24"/>
          <w:szCs w:val="24"/>
          <w:highlight w:val="none"/>
        </w:rPr>
        <w:t>表</w:t>
      </w:r>
      <w:r>
        <w:rPr>
          <w:rFonts w:hint="eastAsia" w:ascii="宋体" w:hAnsi="宋体" w:eastAsia="宋体" w:cs="宋体"/>
          <w:b/>
          <w:bCs/>
          <w:sz w:val="24"/>
          <w:szCs w:val="24"/>
          <w:highlight w:val="none"/>
          <w:lang w:val="en-US" w:eastAsia="zh-CN"/>
        </w:rPr>
        <w:t xml:space="preserve">2 </w:t>
      </w:r>
      <w:r>
        <w:rPr>
          <w:rFonts w:hint="eastAsia" w:ascii="宋体" w:hAnsi="宋体" w:eastAsia="宋体" w:cs="宋体"/>
          <w:b/>
          <w:bCs/>
          <w:sz w:val="24"/>
          <w:szCs w:val="24"/>
          <w:highlight w:val="none"/>
        </w:rPr>
        <w:t>一般工业固体废物主要种类产生、利用及处置情况</w:t>
      </w:r>
    </w:p>
    <w:tbl>
      <w:tblPr>
        <w:tblStyle w:val="4"/>
        <w:tblW w:w="8624" w:type="dxa"/>
        <w:tblInd w:w="0" w:type="dxa"/>
        <w:shd w:val="clear" w:color="auto" w:fill="auto"/>
        <w:tblLayout w:type="autofit"/>
        <w:tblCellMar>
          <w:top w:w="0" w:type="dxa"/>
          <w:left w:w="0" w:type="dxa"/>
          <w:bottom w:w="0" w:type="dxa"/>
          <w:right w:w="0" w:type="dxa"/>
        </w:tblCellMar>
      </w:tblPr>
      <w:tblGrid>
        <w:gridCol w:w="864"/>
        <w:gridCol w:w="1536"/>
        <w:gridCol w:w="1512"/>
        <w:gridCol w:w="1653"/>
        <w:gridCol w:w="1554"/>
        <w:gridCol w:w="1505"/>
      </w:tblGrid>
      <w:tr>
        <w:tblPrEx>
          <w:shd w:val="clear" w:color="auto" w:fill="auto"/>
          <w:tblCellMar>
            <w:top w:w="0" w:type="dxa"/>
            <w:left w:w="0" w:type="dxa"/>
            <w:bottom w:w="0" w:type="dxa"/>
            <w:right w:w="0" w:type="dxa"/>
          </w:tblCellMar>
        </w:tblPrEx>
        <w:trPr>
          <w:trHeight w:val="288" w:hRule="atLeast"/>
        </w:trPr>
        <w:tc>
          <w:tcPr>
            <w:tcW w:w="864" w:type="dxa"/>
            <w:vMerge w:val="restart"/>
            <w:tcBorders>
              <w:top w:val="single" w:color="000000" w:sz="4" w:space="0"/>
              <w:left w:val="single" w:color="000000" w:sz="4" w:space="0"/>
              <w:bottom w:val="single" w:color="000000" w:sz="4" w:space="0"/>
              <w:right w:val="single" w:color="000000" w:sz="4" w:space="0"/>
            </w:tcBorders>
            <w:shd w:val="clear" w:color="FFFFFF" w:fill="306FA8"/>
            <w:tcMar>
              <w:top w:w="12" w:type="dxa"/>
              <w:left w:w="12" w:type="dxa"/>
              <w:right w:w="12" w:type="dxa"/>
            </w:tcMar>
            <w:vAlign w:val="center"/>
          </w:tcPr>
          <w:p>
            <w:pPr>
              <w:keepNext w:val="0"/>
              <w:keepLines w:val="0"/>
              <w:widowControl/>
              <w:suppressLineNumbers w:val="0"/>
              <w:jc w:val="center"/>
              <w:textAlignment w:val="center"/>
              <w:rPr>
                <w:rFonts w:ascii="微软雅黑" w:hAnsi="微软雅黑" w:eastAsia="微软雅黑" w:cs="微软雅黑"/>
                <w:i w:val="0"/>
                <w:color w:val="FFFFFF"/>
                <w:sz w:val="18"/>
                <w:szCs w:val="18"/>
                <w:highlight w:val="none"/>
                <w:u w:val="none"/>
              </w:rPr>
            </w:pPr>
            <w:r>
              <w:rPr>
                <w:rFonts w:hint="eastAsia" w:ascii="微软雅黑" w:hAnsi="微软雅黑" w:eastAsia="微软雅黑" w:cs="微软雅黑"/>
                <w:i w:val="0"/>
                <w:color w:val="FFFFFF"/>
                <w:kern w:val="0"/>
                <w:sz w:val="18"/>
                <w:szCs w:val="18"/>
                <w:highlight w:val="none"/>
                <w:u w:val="none"/>
                <w:lang w:val="en-US" w:eastAsia="zh-CN" w:bidi="ar"/>
              </w:rPr>
              <w:t>序号</w:t>
            </w:r>
          </w:p>
        </w:tc>
        <w:tc>
          <w:tcPr>
            <w:tcW w:w="1536" w:type="dxa"/>
            <w:vMerge w:val="restart"/>
            <w:tcBorders>
              <w:top w:val="single" w:color="000000" w:sz="4" w:space="0"/>
              <w:left w:val="single" w:color="000000" w:sz="4" w:space="0"/>
              <w:bottom w:val="single" w:color="000000" w:sz="4" w:space="0"/>
              <w:right w:val="single" w:color="000000" w:sz="4" w:space="0"/>
            </w:tcBorders>
            <w:shd w:val="clear" w:color="FFFFFF" w:fill="306FA8"/>
            <w:tcMar>
              <w:top w:w="12" w:type="dxa"/>
              <w:left w:w="12" w:type="dxa"/>
              <w:right w:w="12"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FFFFFF"/>
                <w:sz w:val="18"/>
                <w:szCs w:val="18"/>
                <w:highlight w:val="none"/>
                <w:u w:val="none"/>
              </w:rPr>
            </w:pPr>
            <w:r>
              <w:rPr>
                <w:rFonts w:hint="eastAsia" w:ascii="微软雅黑" w:hAnsi="微软雅黑" w:eastAsia="微软雅黑" w:cs="微软雅黑"/>
                <w:i w:val="0"/>
                <w:color w:val="FFFFFF"/>
                <w:kern w:val="0"/>
                <w:sz w:val="18"/>
                <w:szCs w:val="18"/>
                <w:highlight w:val="none"/>
                <w:u w:val="none"/>
                <w:lang w:val="en-US" w:eastAsia="zh-CN" w:bidi="ar"/>
              </w:rPr>
              <w:t>废物种类</w:t>
            </w:r>
          </w:p>
        </w:tc>
        <w:tc>
          <w:tcPr>
            <w:tcW w:w="1512" w:type="dxa"/>
            <w:vMerge w:val="restart"/>
            <w:tcBorders>
              <w:top w:val="single" w:color="000000" w:sz="4" w:space="0"/>
              <w:left w:val="single" w:color="000000" w:sz="4" w:space="0"/>
              <w:bottom w:val="single" w:color="000000" w:sz="4" w:space="0"/>
              <w:right w:val="single" w:color="000000" w:sz="4" w:space="0"/>
            </w:tcBorders>
            <w:shd w:val="clear" w:color="FFFFFF" w:fill="306FA8"/>
            <w:tcMar>
              <w:top w:w="12" w:type="dxa"/>
              <w:left w:w="12" w:type="dxa"/>
              <w:right w:w="12"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FFFFFF"/>
                <w:sz w:val="18"/>
                <w:szCs w:val="18"/>
                <w:highlight w:val="none"/>
                <w:u w:val="none"/>
              </w:rPr>
            </w:pPr>
            <w:r>
              <w:rPr>
                <w:rFonts w:hint="eastAsia" w:ascii="微软雅黑" w:hAnsi="微软雅黑" w:eastAsia="微软雅黑" w:cs="微软雅黑"/>
                <w:i w:val="0"/>
                <w:color w:val="FFFFFF"/>
                <w:kern w:val="0"/>
                <w:sz w:val="18"/>
                <w:szCs w:val="18"/>
                <w:highlight w:val="none"/>
                <w:u w:val="none"/>
                <w:lang w:val="en-US" w:eastAsia="zh-CN" w:bidi="ar"/>
              </w:rPr>
              <w:t>产生（万吨）</w:t>
            </w:r>
          </w:p>
        </w:tc>
        <w:tc>
          <w:tcPr>
            <w:tcW w:w="1653" w:type="dxa"/>
            <w:vMerge w:val="restart"/>
            <w:tcBorders>
              <w:top w:val="single" w:color="000000" w:sz="4" w:space="0"/>
              <w:left w:val="single" w:color="000000" w:sz="4" w:space="0"/>
              <w:bottom w:val="single" w:color="000000" w:sz="4" w:space="0"/>
              <w:right w:val="single" w:color="000000" w:sz="4" w:space="0"/>
            </w:tcBorders>
            <w:shd w:val="clear" w:color="FFFFFF" w:fill="306FA8"/>
            <w:tcMar>
              <w:top w:w="12" w:type="dxa"/>
              <w:left w:w="12" w:type="dxa"/>
              <w:right w:w="12"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FFFFFF"/>
                <w:sz w:val="18"/>
                <w:szCs w:val="18"/>
                <w:highlight w:val="none"/>
                <w:u w:val="none"/>
              </w:rPr>
            </w:pPr>
            <w:r>
              <w:rPr>
                <w:rFonts w:hint="eastAsia" w:ascii="微软雅黑" w:hAnsi="微软雅黑" w:eastAsia="微软雅黑" w:cs="微软雅黑"/>
                <w:i w:val="0"/>
                <w:color w:val="FFFFFF"/>
                <w:kern w:val="0"/>
                <w:sz w:val="18"/>
                <w:szCs w:val="18"/>
                <w:highlight w:val="none"/>
                <w:u w:val="none"/>
                <w:lang w:val="en-US" w:eastAsia="zh-CN" w:bidi="ar"/>
              </w:rPr>
              <w:t>综合利用量（万吨）</w:t>
            </w:r>
          </w:p>
        </w:tc>
        <w:tc>
          <w:tcPr>
            <w:tcW w:w="1554" w:type="dxa"/>
            <w:vMerge w:val="restart"/>
            <w:tcBorders>
              <w:top w:val="single" w:color="000000" w:sz="4" w:space="0"/>
              <w:left w:val="single" w:color="000000" w:sz="4" w:space="0"/>
              <w:bottom w:val="single" w:color="000000" w:sz="4" w:space="0"/>
              <w:right w:val="single" w:color="000000" w:sz="4" w:space="0"/>
            </w:tcBorders>
            <w:shd w:val="clear" w:color="FFFFFF" w:fill="306FA8"/>
            <w:tcMar>
              <w:top w:w="12" w:type="dxa"/>
              <w:left w:w="12" w:type="dxa"/>
              <w:right w:w="12"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FFFFFF"/>
                <w:sz w:val="18"/>
                <w:szCs w:val="18"/>
                <w:highlight w:val="none"/>
                <w:u w:val="none"/>
              </w:rPr>
            </w:pPr>
            <w:r>
              <w:rPr>
                <w:rFonts w:hint="eastAsia" w:ascii="微软雅黑" w:hAnsi="微软雅黑" w:eastAsia="微软雅黑" w:cs="微软雅黑"/>
                <w:i w:val="0"/>
                <w:color w:val="FFFFFF"/>
                <w:kern w:val="0"/>
                <w:sz w:val="18"/>
                <w:szCs w:val="18"/>
                <w:highlight w:val="none"/>
                <w:u w:val="none"/>
                <w:lang w:val="en-US" w:eastAsia="zh-CN" w:bidi="ar"/>
              </w:rPr>
              <w:t>处置量（万吨）</w:t>
            </w:r>
          </w:p>
        </w:tc>
        <w:tc>
          <w:tcPr>
            <w:tcW w:w="1505" w:type="dxa"/>
            <w:vMerge w:val="restart"/>
            <w:tcBorders>
              <w:top w:val="single" w:color="000000" w:sz="4" w:space="0"/>
              <w:left w:val="single" w:color="000000" w:sz="4" w:space="0"/>
              <w:bottom w:val="single" w:color="000000" w:sz="4" w:space="0"/>
              <w:right w:val="single" w:color="000000" w:sz="4" w:space="0"/>
            </w:tcBorders>
            <w:shd w:val="clear" w:color="FFFFFF" w:fill="306FA8"/>
            <w:tcMar>
              <w:top w:w="12" w:type="dxa"/>
              <w:left w:w="12" w:type="dxa"/>
              <w:right w:w="12"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FFFFFF"/>
                <w:sz w:val="18"/>
                <w:szCs w:val="18"/>
                <w:highlight w:val="none"/>
                <w:u w:val="none"/>
              </w:rPr>
            </w:pPr>
            <w:r>
              <w:rPr>
                <w:rFonts w:hint="eastAsia" w:ascii="微软雅黑" w:hAnsi="微软雅黑" w:eastAsia="微软雅黑" w:cs="微软雅黑"/>
                <w:i w:val="0"/>
                <w:color w:val="FFFFFF"/>
                <w:kern w:val="0"/>
                <w:sz w:val="18"/>
                <w:szCs w:val="18"/>
                <w:highlight w:val="none"/>
                <w:u w:val="none"/>
                <w:lang w:val="en-US" w:eastAsia="zh-CN" w:bidi="ar"/>
              </w:rPr>
              <w:t>贮存量（万吨）</w:t>
            </w:r>
          </w:p>
        </w:tc>
      </w:tr>
      <w:tr>
        <w:tblPrEx>
          <w:tblCellMar>
            <w:top w:w="0" w:type="dxa"/>
            <w:left w:w="0" w:type="dxa"/>
            <w:bottom w:w="0" w:type="dxa"/>
            <w:right w:w="0" w:type="dxa"/>
          </w:tblCellMar>
        </w:tblPrEx>
        <w:trPr>
          <w:trHeight w:val="288" w:hRule="atLeast"/>
        </w:trPr>
        <w:tc>
          <w:tcPr>
            <w:tcW w:w="864" w:type="dxa"/>
            <w:vMerge w:val="continue"/>
            <w:tcBorders>
              <w:top w:val="single" w:color="000000" w:sz="4" w:space="0"/>
              <w:left w:val="single" w:color="000000" w:sz="4" w:space="0"/>
              <w:bottom w:val="single" w:color="000000" w:sz="4" w:space="0"/>
              <w:right w:val="single" w:color="000000" w:sz="4" w:space="0"/>
            </w:tcBorders>
            <w:shd w:val="clear" w:color="FFFFFF" w:fill="306FA8"/>
            <w:tcMar>
              <w:top w:w="12" w:type="dxa"/>
              <w:left w:w="12" w:type="dxa"/>
              <w:right w:w="12" w:type="dxa"/>
            </w:tcMar>
            <w:vAlign w:val="center"/>
          </w:tcPr>
          <w:p>
            <w:pPr>
              <w:jc w:val="center"/>
              <w:rPr>
                <w:rFonts w:hint="eastAsia" w:ascii="微软雅黑" w:hAnsi="微软雅黑" w:eastAsia="微软雅黑" w:cs="微软雅黑"/>
                <w:i w:val="0"/>
                <w:color w:val="FFFFFF"/>
                <w:sz w:val="18"/>
                <w:szCs w:val="18"/>
                <w:highlight w:val="none"/>
                <w:u w:val="none"/>
              </w:rPr>
            </w:pPr>
          </w:p>
        </w:tc>
        <w:tc>
          <w:tcPr>
            <w:tcW w:w="1536" w:type="dxa"/>
            <w:vMerge w:val="continue"/>
            <w:tcBorders>
              <w:top w:val="single" w:color="000000" w:sz="4" w:space="0"/>
              <w:left w:val="single" w:color="000000" w:sz="4" w:space="0"/>
              <w:bottom w:val="single" w:color="000000" w:sz="4" w:space="0"/>
              <w:right w:val="single" w:color="000000" w:sz="4" w:space="0"/>
            </w:tcBorders>
            <w:shd w:val="clear" w:color="FFFFFF" w:fill="306FA8"/>
            <w:tcMar>
              <w:top w:w="12" w:type="dxa"/>
              <w:left w:w="12" w:type="dxa"/>
              <w:right w:w="12" w:type="dxa"/>
            </w:tcMar>
            <w:vAlign w:val="center"/>
          </w:tcPr>
          <w:p>
            <w:pPr>
              <w:jc w:val="center"/>
              <w:rPr>
                <w:rFonts w:hint="eastAsia" w:ascii="微软雅黑" w:hAnsi="微软雅黑" w:eastAsia="微软雅黑" w:cs="微软雅黑"/>
                <w:i w:val="0"/>
                <w:color w:val="FFFFFF"/>
                <w:sz w:val="18"/>
                <w:szCs w:val="18"/>
                <w:highlight w:val="none"/>
                <w:u w:val="none"/>
              </w:rPr>
            </w:pPr>
          </w:p>
        </w:tc>
        <w:tc>
          <w:tcPr>
            <w:tcW w:w="1512" w:type="dxa"/>
            <w:vMerge w:val="continue"/>
            <w:tcBorders>
              <w:top w:val="single" w:color="000000" w:sz="4" w:space="0"/>
              <w:left w:val="single" w:color="000000" w:sz="4" w:space="0"/>
              <w:bottom w:val="single" w:color="000000" w:sz="4" w:space="0"/>
              <w:right w:val="single" w:color="000000" w:sz="4" w:space="0"/>
            </w:tcBorders>
            <w:shd w:val="clear" w:color="FFFFFF" w:fill="306FA8"/>
            <w:tcMar>
              <w:top w:w="12" w:type="dxa"/>
              <w:left w:w="12" w:type="dxa"/>
              <w:right w:w="12" w:type="dxa"/>
            </w:tcMar>
            <w:vAlign w:val="center"/>
          </w:tcPr>
          <w:p>
            <w:pPr>
              <w:jc w:val="center"/>
              <w:rPr>
                <w:rFonts w:hint="eastAsia" w:ascii="微软雅黑" w:hAnsi="微软雅黑" w:eastAsia="微软雅黑" w:cs="微软雅黑"/>
                <w:i w:val="0"/>
                <w:color w:val="FFFFFF"/>
                <w:sz w:val="18"/>
                <w:szCs w:val="18"/>
                <w:highlight w:val="none"/>
                <w:u w:val="none"/>
              </w:rPr>
            </w:pPr>
          </w:p>
        </w:tc>
        <w:tc>
          <w:tcPr>
            <w:tcW w:w="1653" w:type="dxa"/>
            <w:vMerge w:val="continue"/>
            <w:tcBorders>
              <w:top w:val="single" w:color="000000" w:sz="4" w:space="0"/>
              <w:left w:val="single" w:color="000000" w:sz="4" w:space="0"/>
              <w:bottom w:val="single" w:color="000000" w:sz="4" w:space="0"/>
              <w:right w:val="single" w:color="000000" w:sz="4" w:space="0"/>
            </w:tcBorders>
            <w:shd w:val="clear" w:color="FFFFFF" w:fill="306FA8"/>
            <w:tcMar>
              <w:top w:w="12" w:type="dxa"/>
              <w:left w:w="12" w:type="dxa"/>
              <w:right w:w="12" w:type="dxa"/>
            </w:tcMar>
            <w:vAlign w:val="center"/>
          </w:tcPr>
          <w:p>
            <w:pPr>
              <w:rPr>
                <w:rFonts w:hint="eastAsia" w:ascii="微软雅黑" w:hAnsi="微软雅黑" w:eastAsia="微软雅黑" w:cs="微软雅黑"/>
                <w:i w:val="0"/>
                <w:color w:val="FFFFFF"/>
                <w:sz w:val="18"/>
                <w:szCs w:val="18"/>
                <w:highlight w:val="none"/>
                <w:u w:val="none"/>
              </w:rPr>
            </w:pPr>
          </w:p>
        </w:tc>
        <w:tc>
          <w:tcPr>
            <w:tcW w:w="1554" w:type="dxa"/>
            <w:vMerge w:val="continue"/>
            <w:tcBorders>
              <w:top w:val="single" w:color="000000" w:sz="4" w:space="0"/>
              <w:left w:val="single" w:color="000000" w:sz="4" w:space="0"/>
              <w:bottom w:val="single" w:color="000000" w:sz="4" w:space="0"/>
              <w:right w:val="single" w:color="000000" w:sz="4" w:space="0"/>
            </w:tcBorders>
            <w:shd w:val="clear" w:color="FFFFFF" w:fill="306FA8"/>
            <w:tcMar>
              <w:top w:w="12" w:type="dxa"/>
              <w:left w:w="12" w:type="dxa"/>
              <w:right w:w="12" w:type="dxa"/>
            </w:tcMar>
            <w:vAlign w:val="center"/>
          </w:tcPr>
          <w:p>
            <w:pPr>
              <w:jc w:val="center"/>
              <w:rPr>
                <w:rFonts w:hint="eastAsia" w:ascii="微软雅黑" w:hAnsi="微软雅黑" w:eastAsia="微软雅黑" w:cs="微软雅黑"/>
                <w:i w:val="0"/>
                <w:color w:val="FFFFFF"/>
                <w:sz w:val="18"/>
                <w:szCs w:val="18"/>
                <w:highlight w:val="none"/>
                <w:u w:val="none"/>
              </w:rPr>
            </w:pPr>
          </w:p>
        </w:tc>
        <w:tc>
          <w:tcPr>
            <w:tcW w:w="1505" w:type="dxa"/>
            <w:vMerge w:val="continue"/>
            <w:tcBorders>
              <w:top w:val="single" w:color="000000" w:sz="4" w:space="0"/>
              <w:left w:val="single" w:color="000000" w:sz="4" w:space="0"/>
              <w:bottom w:val="single" w:color="000000" w:sz="4" w:space="0"/>
              <w:right w:val="single" w:color="000000" w:sz="4" w:space="0"/>
            </w:tcBorders>
            <w:shd w:val="clear" w:color="FFFFFF" w:fill="306FA8"/>
            <w:tcMar>
              <w:top w:w="12" w:type="dxa"/>
              <w:left w:w="12" w:type="dxa"/>
              <w:right w:w="12" w:type="dxa"/>
            </w:tcMar>
            <w:vAlign w:val="center"/>
          </w:tcPr>
          <w:p>
            <w:pPr>
              <w:jc w:val="center"/>
              <w:rPr>
                <w:rFonts w:hint="eastAsia" w:ascii="微软雅黑" w:hAnsi="微软雅黑" w:eastAsia="微软雅黑" w:cs="微软雅黑"/>
                <w:i w:val="0"/>
                <w:color w:val="FFFFFF"/>
                <w:sz w:val="18"/>
                <w:szCs w:val="18"/>
                <w:highlight w:val="none"/>
                <w:u w:val="none"/>
              </w:rPr>
            </w:pPr>
          </w:p>
        </w:tc>
      </w:tr>
      <w:tr>
        <w:tblPrEx>
          <w:tblCellMar>
            <w:top w:w="0" w:type="dxa"/>
            <w:left w:w="0" w:type="dxa"/>
            <w:bottom w:w="0" w:type="dxa"/>
            <w:right w:w="0" w:type="dxa"/>
          </w:tblCellMar>
        </w:tblPrEx>
        <w:trPr>
          <w:trHeight w:val="431" w:hRule="atLeast"/>
        </w:trPr>
        <w:tc>
          <w:tcPr>
            <w:tcW w:w="864" w:type="dxa"/>
            <w:tcBorders>
              <w:top w:val="single" w:color="000000" w:sz="4" w:space="0"/>
              <w:left w:val="single" w:color="000000" w:sz="4" w:space="0"/>
              <w:bottom w:val="single" w:color="000000" w:sz="4" w:space="0"/>
              <w:right w:val="single" w:color="000000" w:sz="4" w:space="0"/>
            </w:tcBorders>
            <w:shd w:val="clear" w:color="000000" w:fill="auto"/>
            <w:tcMar>
              <w:top w:w="12" w:type="dxa"/>
              <w:left w:w="12" w:type="dxa"/>
              <w:right w:w="12"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highlight w:val="none"/>
                <w:u w:val="none"/>
              </w:rPr>
            </w:pPr>
            <w:r>
              <w:rPr>
                <w:rFonts w:hint="eastAsia" w:ascii="微软雅黑" w:hAnsi="微软雅黑" w:eastAsia="微软雅黑" w:cs="微软雅黑"/>
                <w:i w:val="0"/>
                <w:color w:val="000000"/>
                <w:kern w:val="0"/>
                <w:sz w:val="18"/>
                <w:szCs w:val="18"/>
                <w:highlight w:val="none"/>
                <w:u w:val="none"/>
                <w:lang w:val="en-US" w:eastAsia="zh-CN" w:bidi="ar"/>
              </w:rPr>
              <w:t>1</w:t>
            </w:r>
          </w:p>
        </w:tc>
        <w:tc>
          <w:tcPr>
            <w:tcW w:w="1536" w:type="dxa"/>
            <w:tcBorders>
              <w:top w:val="single" w:color="000000" w:sz="4" w:space="0"/>
              <w:left w:val="single" w:color="000000" w:sz="4" w:space="0"/>
              <w:bottom w:val="single" w:color="000000" w:sz="4" w:space="0"/>
              <w:right w:val="single" w:color="000000" w:sz="4" w:space="0"/>
            </w:tcBorders>
            <w:shd w:val="clear" w:color="000000" w:fill="auto"/>
            <w:tcMar>
              <w:top w:w="12" w:type="dxa"/>
              <w:left w:w="12" w:type="dxa"/>
              <w:right w:w="12"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highlight w:val="none"/>
                <w:u w:val="none"/>
              </w:rPr>
            </w:pPr>
            <w:r>
              <w:rPr>
                <w:rFonts w:hint="eastAsia" w:ascii="微软雅黑" w:hAnsi="微软雅黑" w:eastAsia="微软雅黑" w:cs="微软雅黑"/>
                <w:i w:val="0"/>
                <w:color w:val="000000"/>
                <w:kern w:val="0"/>
                <w:sz w:val="18"/>
                <w:szCs w:val="18"/>
                <w:highlight w:val="none"/>
                <w:u w:val="none"/>
                <w:lang w:val="en-US" w:eastAsia="zh-CN" w:bidi="ar"/>
              </w:rPr>
              <w:t>SW05尾矿</w:t>
            </w:r>
          </w:p>
        </w:tc>
        <w:tc>
          <w:tcPr>
            <w:tcW w:w="1512" w:type="dxa"/>
            <w:tcBorders>
              <w:top w:val="single" w:color="000000" w:sz="4" w:space="0"/>
              <w:left w:val="single" w:color="000000" w:sz="4" w:space="0"/>
              <w:bottom w:val="single" w:color="000000" w:sz="4" w:space="0"/>
              <w:right w:val="single" w:color="000000" w:sz="4" w:space="0"/>
            </w:tcBorders>
            <w:shd w:val="clear" w:color="000000" w:fill="auto"/>
            <w:tcMar>
              <w:top w:w="12" w:type="dxa"/>
              <w:left w:w="12" w:type="dxa"/>
              <w:right w:w="12" w:type="dxa"/>
            </w:tcMar>
            <w:vAlign w:val="center"/>
          </w:tcPr>
          <w:p>
            <w:pPr>
              <w:keepNext w:val="0"/>
              <w:keepLines w:val="0"/>
              <w:widowControl/>
              <w:suppressLineNumbers w:val="0"/>
              <w:jc w:val="center"/>
              <w:textAlignment w:val="center"/>
              <w:rPr>
                <w:rFonts w:hint="default" w:ascii="微软雅黑" w:hAnsi="微软雅黑" w:eastAsia="微软雅黑" w:cs="微软雅黑"/>
                <w:i w:val="0"/>
                <w:color w:val="000000"/>
                <w:sz w:val="18"/>
                <w:szCs w:val="18"/>
                <w:highlight w:val="none"/>
                <w:u w:val="none"/>
                <w:lang w:val="en-US" w:eastAsia="zh-CN"/>
              </w:rPr>
            </w:pPr>
            <w:r>
              <w:rPr>
                <w:rFonts w:hint="eastAsia" w:ascii="微软雅黑" w:hAnsi="微软雅黑" w:eastAsia="微软雅黑" w:cs="微软雅黑"/>
                <w:i w:val="0"/>
                <w:color w:val="000000"/>
                <w:sz w:val="18"/>
                <w:szCs w:val="18"/>
                <w:highlight w:val="none"/>
                <w:u w:val="none"/>
                <w:lang w:val="en-US" w:eastAsia="zh-CN"/>
              </w:rPr>
              <w:t>2721.32</w:t>
            </w:r>
          </w:p>
        </w:tc>
        <w:tc>
          <w:tcPr>
            <w:tcW w:w="1653" w:type="dxa"/>
            <w:tcBorders>
              <w:top w:val="single" w:color="000000" w:sz="4" w:space="0"/>
              <w:left w:val="single" w:color="000000" w:sz="4" w:space="0"/>
              <w:bottom w:val="single" w:color="000000" w:sz="4" w:space="0"/>
              <w:right w:val="single" w:color="000000" w:sz="4" w:space="0"/>
            </w:tcBorders>
            <w:shd w:val="clear" w:color="000000" w:fill="auto"/>
            <w:tcMar>
              <w:top w:w="12" w:type="dxa"/>
              <w:left w:w="12" w:type="dxa"/>
              <w:right w:w="12" w:type="dxa"/>
            </w:tcMar>
            <w:vAlign w:val="center"/>
          </w:tcPr>
          <w:p>
            <w:pPr>
              <w:keepNext w:val="0"/>
              <w:keepLines w:val="0"/>
              <w:widowControl/>
              <w:suppressLineNumbers w:val="0"/>
              <w:jc w:val="center"/>
              <w:textAlignment w:val="center"/>
              <w:rPr>
                <w:rFonts w:hint="default" w:ascii="微软雅黑" w:hAnsi="微软雅黑" w:eastAsia="微软雅黑" w:cs="微软雅黑"/>
                <w:i w:val="0"/>
                <w:color w:val="000000"/>
                <w:sz w:val="18"/>
                <w:szCs w:val="18"/>
                <w:highlight w:val="none"/>
                <w:u w:val="none"/>
                <w:lang w:val="en-US" w:eastAsia="zh-CN"/>
              </w:rPr>
            </w:pPr>
            <w:r>
              <w:rPr>
                <w:rFonts w:hint="eastAsia" w:ascii="微软雅黑" w:hAnsi="微软雅黑" w:eastAsia="微软雅黑" w:cs="微软雅黑"/>
                <w:i w:val="0"/>
                <w:color w:val="000000"/>
                <w:sz w:val="18"/>
                <w:szCs w:val="18"/>
                <w:highlight w:val="none"/>
                <w:u w:val="none"/>
                <w:lang w:val="en-US" w:eastAsia="zh-CN"/>
              </w:rPr>
              <w:t>215.46</w:t>
            </w:r>
          </w:p>
        </w:tc>
        <w:tc>
          <w:tcPr>
            <w:tcW w:w="1554" w:type="dxa"/>
            <w:tcBorders>
              <w:top w:val="single" w:color="000000" w:sz="4" w:space="0"/>
              <w:left w:val="single" w:color="000000" w:sz="4" w:space="0"/>
              <w:bottom w:val="single" w:color="000000" w:sz="4" w:space="0"/>
              <w:right w:val="single" w:color="000000" w:sz="4" w:space="0"/>
            </w:tcBorders>
            <w:shd w:val="clear" w:color="000000" w:fill="auto"/>
            <w:tcMar>
              <w:top w:w="12" w:type="dxa"/>
              <w:left w:w="12" w:type="dxa"/>
              <w:right w:w="12" w:type="dxa"/>
            </w:tcMar>
            <w:vAlign w:val="center"/>
          </w:tcPr>
          <w:p>
            <w:pPr>
              <w:keepNext w:val="0"/>
              <w:keepLines w:val="0"/>
              <w:widowControl/>
              <w:suppressLineNumbers w:val="0"/>
              <w:jc w:val="center"/>
              <w:textAlignment w:val="center"/>
              <w:rPr>
                <w:rFonts w:hint="default" w:ascii="微软雅黑" w:hAnsi="微软雅黑" w:eastAsia="微软雅黑" w:cs="微软雅黑"/>
                <w:i w:val="0"/>
                <w:color w:val="000000"/>
                <w:sz w:val="18"/>
                <w:szCs w:val="18"/>
                <w:highlight w:val="none"/>
                <w:u w:val="none"/>
                <w:lang w:val="en-US" w:eastAsia="zh-CN"/>
              </w:rPr>
            </w:pPr>
            <w:r>
              <w:rPr>
                <w:rFonts w:hint="eastAsia" w:ascii="微软雅黑" w:hAnsi="微软雅黑" w:eastAsia="微软雅黑" w:cs="微软雅黑"/>
                <w:i w:val="0"/>
                <w:color w:val="000000"/>
                <w:sz w:val="18"/>
                <w:szCs w:val="18"/>
                <w:highlight w:val="none"/>
                <w:u w:val="none"/>
                <w:lang w:val="en-US" w:eastAsia="zh-CN"/>
              </w:rPr>
              <w:t>59.80</w:t>
            </w:r>
          </w:p>
        </w:tc>
        <w:tc>
          <w:tcPr>
            <w:tcW w:w="1505" w:type="dxa"/>
            <w:tcBorders>
              <w:top w:val="single" w:color="000000" w:sz="4" w:space="0"/>
              <w:left w:val="single" w:color="000000" w:sz="4" w:space="0"/>
              <w:bottom w:val="single" w:color="000000" w:sz="4" w:space="0"/>
              <w:right w:val="single" w:color="000000" w:sz="4" w:space="0"/>
            </w:tcBorders>
            <w:shd w:val="clear" w:color="000000" w:fill="auto"/>
            <w:tcMar>
              <w:top w:w="12" w:type="dxa"/>
              <w:left w:w="12" w:type="dxa"/>
              <w:right w:w="12" w:type="dxa"/>
            </w:tcMar>
            <w:vAlign w:val="center"/>
          </w:tcPr>
          <w:p>
            <w:pPr>
              <w:keepNext w:val="0"/>
              <w:keepLines w:val="0"/>
              <w:widowControl/>
              <w:suppressLineNumbers w:val="0"/>
              <w:jc w:val="center"/>
              <w:textAlignment w:val="center"/>
              <w:rPr>
                <w:rFonts w:hint="default" w:ascii="微软雅黑" w:hAnsi="微软雅黑" w:eastAsia="微软雅黑" w:cs="微软雅黑"/>
                <w:i w:val="0"/>
                <w:color w:val="000000"/>
                <w:sz w:val="18"/>
                <w:szCs w:val="18"/>
                <w:highlight w:val="none"/>
                <w:u w:val="none"/>
                <w:lang w:val="en-US" w:eastAsia="zh-CN"/>
              </w:rPr>
            </w:pPr>
            <w:r>
              <w:rPr>
                <w:rFonts w:hint="eastAsia" w:ascii="微软雅黑" w:hAnsi="微软雅黑" w:eastAsia="微软雅黑" w:cs="微软雅黑"/>
                <w:i w:val="0"/>
                <w:color w:val="000000"/>
                <w:sz w:val="18"/>
                <w:szCs w:val="18"/>
                <w:highlight w:val="none"/>
                <w:u w:val="none"/>
                <w:lang w:val="en-US" w:eastAsia="zh-CN"/>
              </w:rPr>
              <w:t>23194.34</w:t>
            </w:r>
          </w:p>
        </w:tc>
      </w:tr>
      <w:tr>
        <w:tblPrEx>
          <w:tblCellMar>
            <w:top w:w="0" w:type="dxa"/>
            <w:left w:w="0" w:type="dxa"/>
            <w:bottom w:w="0" w:type="dxa"/>
            <w:right w:w="0" w:type="dxa"/>
          </w:tblCellMar>
        </w:tblPrEx>
        <w:trPr>
          <w:trHeight w:val="528" w:hRule="atLeast"/>
        </w:trPr>
        <w:tc>
          <w:tcPr>
            <w:tcW w:w="864" w:type="dxa"/>
            <w:tcBorders>
              <w:top w:val="single" w:color="000000" w:sz="4" w:space="0"/>
              <w:left w:val="single" w:color="000000" w:sz="4" w:space="0"/>
              <w:bottom w:val="single" w:color="000000" w:sz="4" w:space="0"/>
              <w:right w:val="single" w:color="000000" w:sz="4" w:space="0"/>
            </w:tcBorders>
            <w:shd w:val="clear" w:color="000000" w:fill="auto"/>
            <w:tcMar>
              <w:top w:w="12" w:type="dxa"/>
              <w:left w:w="12" w:type="dxa"/>
              <w:right w:w="12"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highlight w:val="none"/>
                <w:u w:val="none"/>
              </w:rPr>
            </w:pPr>
            <w:r>
              <w:rPr>
                <w:rFonts w:hint="eastAsia" w:ascii="微软雅黑" w:hAnsi="微软雅黑" w:eastAsia="微软雅黑" w:cs="微软雅黑"/>
                <w:i w:val="0"/>
                <w:color w:val="000000"/>
                <w:kern w:val="0"/>
                <w:sz w:val="18"/>
                <w:szCs w:val="18"/>
                <w:highlight w:val="none"/>
                <w:u w:val="none"/>
                <w:lang w:val="en-US" w:eastAsia="zh-CN" w:bidi="ar"/>
              </w:rPr>
              <w:t>2</w:t>
            </w:r>
          </w:p>
        </w:tc>
        <w:tc>
          <w:tcPr>
            <w:tcW w:w="1536" w:type="dxa"/>
            <w:tcBorders>
              <w:top w:val="single" w:color="000000" w:sz="4" w:space="0"/>
              <w:left w:val="single" w:color="000000" w:sz="4" w:space="0"/>
              <w:bottom w:val="single" w:color="000000" w:sz="4" w:space="0"/>
              <w:right w:val="single" w:color="000000" w:sz="4" w:space="0"/>
            </w:tcBorders>
            <w:shd w:val="clear" w:color="000000" w:fill="auto"/>
            <w:tcMar>
              <w:top w:w="12" w:type="dxa"/>
              <w:left w:w="12" w:type="dxa"/>
              <w:right w:w="12"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highlight w:val="none"/>
                <w:u w:val="none"/>
              </w:rPr>
            </w:pPr>
            <w:r>
              <w:rPr>
                <w:rFonts w:hint="eastAsia" w:ascii="微软雅黑" w:hAnsi="微软雅黑" w:eastAsia="微软雅黑" w:cs="微软雅黑"/>
                <w:i w:val="0"/>
                <w:color w:val="000000"/>
                <w:kern w:val="0"/>
                <w:sz w:val="18"/>
                <w:szCs w:val="18"/>
                <w:highlight w:val="none"/>
                <w:u w:val="none"/>
                <w:lang w:val="en-US" w:eastAsia="zh-CN" w:bidi="ar"/>
              </w:rPr>
              <w:t>SW01冶炼废渣</w:t>
            </w:r>
          </w:p>
        </w:tc>
        <w:tc>
          <w:tcPr>
            <w:tcW w:w="1512" w:type="dxa"/>
            <w:tcBorders>
              <w:top w:val="single" w:color="000000" w:sz="4" w:space="0"/>
              <w:left w:val="single" w:color="000000" w:sz="4" w:space="0"/>
              <w:bottom w:val="single" w:color="000000" w:sz="4" w:space="0"/>
              <w:right w:val="single" w:color="000000" w:sz="4" w:space="0"/>
            </w:tcBorders>
            <w:shd w:val="clear" w:color="000000" w:fill="auto"/>
            <w:tcMar>
              <w:top w:w="12" w:type="dxa"/>
              <w:left w:w="12" w:type="dxa"/>
              <w:right w:w="12" w:type="dxa"/>
            </w:tcMar>
            <w:vAlign w:val="center"/>
          </w:tcPr>
          <w:p>
            <w:pPr>
              <w:keepNext w:val="0"/>
              <w:keepLines w:val="0"/>
              <w:widowControl/>
              <w:suppressLineNumbers w:val="0"/>
              <w:jc w:val="center"/>
              <w:textAlignment w:val="center"/>
              <w:rPr>
                <w:rFonts w:hint="default" w:ascii="微软雅黑" w:hAnsi="微软雅黑" w:eastAsia="微软雅黑" w:cs="微软雅黑"/>
                <w:i w:val="0"/>
                <w:color w:val="000000"/>
                <w:sz w:val="18"/>
                <w:szCs w:val="18"/>
                <w:highlight w:val="none"/>
                <w:u w:val="none"/>
                <w:lang w:val="en-US" w:eastAsia="zh-CN"/>
              </w:rPr>
            </w:pPr>
            <w:r>
              <w:rPr>
                <w:rFonts w:hint="eastAsia" w:ascii="微软雅黑" w:hAnsi="微软雅黑" w:eastAsia="微软雅黑" w:cs="微软雅黑"/>
                <w:i w:val="0"/>
                <w:color w:val="000000"/>
                <w:sz w:val="18"/>
                <w:szCs w:val="18"/>
                <w:highlight w:val="none"/>
                <w:u w:val="none"/>
                <w:lang w:val="en-US" w:eastAsia="zh-CN"/>
              </w:rPr>
              <w:t>1056.41</w:t>
            </w:r>
          </w:p>
        </w:tc>
        <w:tc>
          <w:tcPr>
            <w:tcW w:w="1653" w:type="dxa"/>
            <w:tcBorders>
              <w:top w:val="single" w:color="000000" w:sz="4" w:space="0"/>
              <w:left w:val="single" w:color="000000" w:sz="4" w:space="0"/>
              <w:bottom w:val="single" w:color="000000" w:sz="4" w:space="0"/>
              <w:right w:val="single" w:color="000000" w:sz="4" w:space="0"/>
            </w:tcBorders>
            <w:shd w:val="clear" w:color="000000" w:fill="auto"/>
            <w:tcMar>
              <w:top w:w="12" w:type="dxa"/>
              <w:left w:w="12" w:type="dxa"/>
              <w:right w:w="12" w:type="dxa"/>
            </w:tcMar>
            <w:vAlign w:val="center"/>
          </w:tcPr>
          <w:p>
            <w:pPr>
              <w:keepNext w:val="0"/>
              <w:keepLines w:val="0"/>
              <w:widowControl/>
              <w:suppressLineNumbers w:val="0"/>
              <w:jc w:val="center"/>
              <w:textAlignment w:val="center"/>
              <w:rPr>
                <w:rFonts w:hint="default" w:ascii="微软雅黑" w:hAnsi="微软雅黑" w:eastAsia="微软雅黑" w:cs="微软雅黑"/>
                <w:i w:val="0"/>
                <w:color w:val="000000"/>
                <w:sz w:val="18"/>
                <w:szCs w:val="18"/>
                <w:highlight w:val="none"/>
                <w:u w:val="none"/>
                <w:lang w:val="en-US" w:eastAsia="zh-CN"/>
              </w:rPr>
            </w:pPr>
            <w:r>
              <w:rPr>
                <w:rFonts w:hint="eastAsia" w:ascii="微软雅黑" w:hAnsi="微软雅黑" w:eastAsia="微软雅黑" w:cs="微软雅黑"/>
                <w:i w:val="0"/>
                <w:color w:val="000000"/>
                <w:sz w:val="18"/>
                <w:szCs w:val="18"/>
                <w:highlight w:val="none"/>
                <w:u w:val="none"/>
                <w:lang w:val="en-US" w:eastAsia="zh-CN"/>
              </w:rPr>
              <w:t>1081.21</w:t>
            </w:r>
          </w:p>
        </w:tc>
        <w:tc>
          <w:tcPr>
            <w:tcW w:w="1554" w:type="dxa"/>
            <w:tcBorders>
              <w:top w:val="single" w:color="000000" w:sz="4" w:space="0"/>
              <w:left w:val="single" w:color="000000" w:sz="4" w:space="0"/>
              <w:bottom w:val="single" w:color="000000" w:sz="4" w:space="0"/>
              <w:right w:val="single" w:color="000000" w:sz="4" w:space="0"/>
            </w:tcBorders>
            <w:shd w:val="clear" w:color="000000" w:fill="auto"/>
            <w:tcMar>
              <w:top w:w="12" w:type="dxa"/>
              <w:left w:w="12" w:type="dxa"/>
              <w:right w:w="12"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highlight w:val="none"/>
                <w:u w:val="none"/>
                <w:lang w:val="en-US" w:eastAsia="zh-CN"/>
              </w:rPr>
            </w:pPr>
            <w:r>
              <w:rPr>
                <w:rFonts w:hint="eastAsia" w:ascii="微软雅黑" w:hAnsi="微软雅黑" w:eastAsia="微软雅黑" w:cs="微软雅黑"/>
                <w:i w:val="0"/>
                <w:color w:val="000000"/>
                <w:sz w:val="18"/>
                <w:szCs w:val="18"/>
                <w:highlight w:val="none"/>
                <w:u w:val="none"/>
                <w:lang w:val="en-US" w:eastAsia="zh-CN"/>
              </w:rPr>
              <w:t>0</w:t>
            </w:r>
          </w:p>
        </w:tc>
        <w:tc>
          <w:tcPr>
            <w:tcW w:w="1505" w:type="dxa"/>
            <w:tcBorders>
              <w:top w:val="single" w:color="000000" w:sz="4" w:space="0"/>
              <w:left w:val="single" w:color="000000" w:sz="4" w:space="0"/>
              <w:bottom w:val="single" w:color="000000" w:sz="4" w:space="0"/>
              <w:right w:val="single" w:color="000000" w:sz="4" w:space="0"/>
            </w:tcBorders>
            <w:shd w:val="clear" w:color="000000" w:fill="auto"/>
            <w:tcMar>
              <w:top w:w="12" w:type="dxa"/>
              <w:left w:w="12" w:type="dxa"/>
              <w:right w:w="12" w:type="dxa"/>
            </w:tcMar>
            <w:vAlign w:val="center"/>
          </w:tcPr>
          <w:p>
            <w:pPr>
              <w:keepNext w:val="0"/>
              <w:keepLines w:val="0"/>
              <w:widowControl/>
              <w:suppressLineNumbers w:val="0"/>
              <w:jc w:val="center"/>
              <w:textAlignment w:val="center"/>
              <w:rPr>
                <w:rFonts w:hint="default" w:ascii="微软雅黑" w:hAnsi="微软雅黑" w:eastAsia="微软雅黑" w:cs="微软雅黑"/>
                <w:i w:val="0"/>
                <w:color w:val="000000"/>
                <w:sz w:val="18"/>
                <w:szCs w:val="18"/>
                <w:highlight w:val="none"/>
                <w:u w:val="none"/>
                <w:lang w:val="en-US" w:eastAsia="zh-CN"/>
              </w:rPr>
            </w:pPr>
            <w:r>
              <w:rPr>
                <w:rFonts w:hint="eastAsia" w:ascii="微软雅黑" w:hAnsi="微软雅黑" w:eastAsia="微软雅黑" w:cs="微软雅黑"/>
                <w:i w:val="0"/>
                <w:color w:val="000000"/>
                <w:sz w:val="18"/>
                <w:szCs w:val="18"/>
                <w:highlight w:val="none"/>
                <w:u w:val="none"/>
                <w:lang w:val="en-US" w:eastAsia="zh-CN"/>
              </w:rPr>
              <w:t>40.17</w:t>
            </w:r>
          </w:p>
        </w:tc>
      </w:tr>
      <w:tr>
        <w:tblPrEx>
          <w:tblCellMar>
            <w:top w:w="0" w:type="dxa"/>
            <w:left w:w="0" w:type="dxa"/>
            <w:bottom w:w="0" w:type="dxa"/>
            <w:right w:w="0" w:type="dxa"/>
          </w:tblCellMar>
        </w:tblPrEx>
        <w:trPr>
          <w:trHeight w:val="792" w:hRule="atLeast"/>
        </w:trPr>
        <w:tc>
          <w:tcPr>
            <w:tcW w:w="864" w:type="dxa"/>
            <w:tcBorders>
              <w:top w:val="single" w:color="000000" w:sz="4" w:space="0"/>
              <w:left w:val="single" w:color="000000" w:sz="4" w:space="0"/>
              <w:bottom w:val="single" w:color="000000" w:sz="4" w:space="0"/>
              <w:right w:val="single" w:color="000000" w:sz="4" w:space="0"/>
            </w:tcBorders>
            <w:shd w:val="clear" w:color="000000" w:fill="auto"/>
            <w:tcMar>
              <w:top w:w="12" w:type="dxa"/>
              <w:left w:w="12" w:type="dxa"/>
              <w:right w:w="12"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highlight w:val="none"/>
                <w:u w:val="none"/>
              </w:rPr>
            </w:pPr>
            <w:r>
              <w:rPr>
                <w:rFonts w:hint="eastAsia" w:ascii="微软雅黑" w:hAnsi="微软雅黑" w:eastAsia="微软雅黑" w:cs="微软雅黑"/>
                <w:i w:val="0"/>
                <w:color w:val="000000"/>
                <w:kern w:val="0"/>
                <w:sz w:val="18"/>
                <w:szCs w:val="18"/>
                <w:highlight w:val="none"/>
                <w:u w:val="none"/>
                <w:lang w:val="en-US" w:eastAsia="zh-CN" w:bidi="ar"/>
              </w:rPr>
              <w:t>3</w:t>
            </w:r>
          </w:p>
        </w:tc>
        <w:tc>
          <w:tcPr>
            <w:tcW w:w="1536" w:type="dxa"/>
            <w:tcBorders>
              <w:top w:val="single" w:color="000000" w:sz="4" w:space="0"/>
              <w:left w:val="single" w:color="000000" w:sz="4" w:space="0"/>
              <w:bottom w:val="single" w:color="000000" w:sz="4" w:space="0"/>
              <w:right w:val="single" w:color="000000" w:sz="4" w:space="0"/>
            </w:tcBorders>
            <w:shd w:val="clear" w:color="000000" w:fill="auto"/>
            <w:tcMar>
              <w:top w:w="12" w:type="dxa"/>
              <w:left w:w="12" w:type="dxa"/>
              <w:right w:w="12"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highlight w:val="none"/>
                <w:u w:val="none"/>
              </w:rPr>
            </w:pPr>
            <w:r>
              <w:rPr>
                <w:rFonts w:hint="eastAsia" w:ascii="微软雅黑" w:hAnsi="微软雅黑" w:eastAsia="微软雅黑" w:cs="微软雅黑"/>
                <w:i w:val="0"/>
                <w:color w:val="000000"/>
                <w:kern w:val="0"/>
                <w:sz w:val="18"/>
                <w:szCs w:val="18"/>
                <w:highlight w:val="none"/>
                <w:u w:val="none"/>
                <w:lang w:val="en-US" w:eastAsia="zh-CN" w:bidi="ar"/>
              </w:rPr>
              <w:t>SW59其他工业固体废物</w:t>
            </w:r>
          </w:p>
        </w:tc>
        <w:tc>
          <w:tcPr>
            <w:tcW w:w="1512" w:type="dxa"/>
            <w:tcBorders>
              <w:top w:val="single" w:color="000000" w:sz="4" w:space="0"/>
              <w:left w:val="single" w:color="000000" w:sz="4" w:space="0"/>
              <w:bottom w:val="single" w:color="000000" w:sz="4" w:space="0"/>
              <w:right w:val="single" w:color="000000" w:sz="4" w:space="0"/>
            </w:tcBorders>
            <w:shd w:val="clear" w:color="000000" w:fill="auto"/>
            <w:tcMar>
              <w:top w:w="12" w:type="dxa"/>
              <w:left w:w="12" w:type="dxa"/>
              <w:right w:w="12" w:type="dxa"/>
            </w:tcMar>
            <w:vAlign w:val="center"/>
          </w:tcPr>
          <w:p>
            <w:pPr>
              <w:keepNext w:val="0"/>
              <w:keepLines w:val="0"/>
              <w:widowControl/>
              <w:suppressLineNumbers w:val="0"/>
              <w:jc w:val="center"/>
              <w:textAlignment w:val="center"/>
              <w:rPr>
                <w:rFonts w:hint="default" w:ascii="微软雅黑" w:hAnsi="微软雅黑" w:eastAsia="微软雅黑" w:cs="微软雅黑"/>
                <w:i w:val="0"/>
                <w:color w:val="000000"/>
                <w:sz w:val="18"/>
                <w:szCs w:val="18"/>
                <w:highlight w:val="none"/>
                <w:u w:val="none"/>
                <w:lang w:val="en-US" w:eastAsia="zh-CN"/>
              </w:rPr>
            </w:pPr>
            <w:r>
              <w:rPr>
                <w:rFonts w:hint="eastAsia" w:ascii="微软雅黑" w:hAnsi="微软雅黑" w:eastAsia="微软雅黑" w:cs="微软雅黑"/>
                <w:i w:val="0"/>
                <w:color w:val="000000"/>
                <w:sz w:val="18"/>
                <w:szCs w:val="18"/>
                <w:highlight w:val="none"/>
                <w:u w:val="none"/>
                <w:lang w:val="en-US" w:eastAsia="zh-CN"/>
              </w:rPr>
              <w:t>75.27</w:t>
            </w:r>
          </w:p>
        </w:tc>
        <w:tc>
          <w:tcPr>
            <w:tcW w:w="1653" w:type="dxa"/>
            <w:tcBorders>
              <w:top w:val="single" w:color="000000" w:sz="4" w:space="0"/>
              <w:left w:val="single" w:color="000000" w:sz="4" w:space="0"/>
              <w:bottom w:val="single" w:color="000000" w:sz="4" w:space="0"/>
              <w:right w:val="single" w:color="000000" w:sz="4" w:space="0"/>
            </w:tcBorders>
            <w:shd w:val="clear" w:color="000000" w:fill="auto"/>
            <w:tcMar>
              <w:top w:w="12" w:type="dxa"/>
              <w:left w:w="12" w:type="dxa"/>
              <w:right w:w="12" w:type="dxa"/>
            </w:tcMar>
            <w:vAlign w:val="center"/>
          </w:tcPr>
          <w:p>
            <w:pPr>
              <w:keepNext w:val="0"/>
              <w:keepLines w:val="0"/>
              <w:widowControl/>
              <w:suppressLineNumbers w:val="0"/>
              <w:jc w:val="center"/>
              <w:textAlignment w:val="center"/>
              <w:rPr>
                <w:rFonts w:hint="default" w:ascii="微软雅黑" w:hAnsi="微软雅黑" w:eastAsia="微软雅黑" w:cs="微软雅黑"/>
                <w:i w:val="0"/>
                <w:color w:val="000000"/>
                <w:sz w:val="18"/>
                <w:szCs w:val="18"/>
                <w:highlight w:val="none"/>
                <w:u w:val="none"/>
                <w:lang w:val="en-US" w:eastAsia="zh-CN"/>
              </w:rPr>
            </w:pPr>
            <w:r>
              <w:rPr>
                <w:rFonts w:hint="eastAsia" w:ascii="微软雅黑" w:hAnsi="微软雅黑" w:eastAsia="微软雅黑" w:cs="微软雅黑"/>
                <w:i w:val="0"/>
                <w:color w:val="000000"/>
                <w:sz w:val="18"/>
                <w:szCs w:val="18"/>
                <w:highlight w:val="none"/>
                <w:u w:val="none"/>
                <w:lang w:val="en-US" w:eastAsia="zh-CN"/>
              </w:rPr>
              <w:t>64.97</w:t>
            </w:r>
          </w:p>
        </w:tc>
        <w:tc>
          <w:tcPr>
            <w:tcW w:w="1554" w:type="dxa"/>
            <w:tcBorders>
              <w:top w:val="single" w:color="000000" w:sz="4" w:space="0"/>
              <w:left w:val="single" w:color="000000" w:sz="4" w:space="0"/>
              <w:bottom w:val="single" w:color="000000" w:sz="4" w:space="0"/>
              <w:right w:val="single" w:color="000000" w:sz="4" w:space="0"/>
            </w:tcBorders>
            <w:shd w:val="clear" w:color="000000" w:fill="auto"/>
            <w:tcMar>
              <w:top w:w="12" w:type="dxa"/>
              <w:left w:w="12" w:type="dxa"/>
              <w:right w:w="12" w:type="dxa"/>
            </w:tcMar>
            <w:vAlign w:val="center"/>
          </w:tcPr>
          <w:p>
            <w:pPr>
              <w:keepNext w:val="0"/>
              <w:keepLines w:val="0"/>
              <w:widowControl/>
              <w:suppressLineNumbers w:val="0"/>
              <w:jc w:val="center"/>
              <w:textAlignment w:val="center"/>
              <w:rPr>
                <w:rFonts w:hint="default" w:ascii="微软雅黑" w:hAnsi="微软雅黑" w:eastAsia="微软雅黑" w:cs="微软雅黑"/>
                <w:i w:val="0"/>
                <w:color w:val="000000"/>
                <w:sz w:val="18"/>
                <w:szCs w:val="18"/>
                <w:highlight w:val="none"/>
                <w:u w:val="none"/>
                <w:lang w:val="en-US" w:eastAsia="zh-CN"/>
              </w:rPr>
            </w:pPr>
            <w:r>
              <w:rPr>
                <w:rFonts w:hint="eastAsia" w:ascii="微软雅黑" w:hAnsi="微软雅黑" w:eastAsia="微软雅黑" w:cs="微软雅黑"/>
                <w:i w:val="0"/>
                <w:color w:val="000000"/>
                <w:sz w:val="18"/>
                <w:szCs w:val="18"/>
                <w:highlight w:val="none"/>
                <w:u w:val="none"/>
                <w:lang w:val="en-US" w:eastAsia="zh-CN"/>
              </w:rPr>
              <w:t>9.65</w:t>
            </w:r>
          </w:p>
        </w:tc>
        <w:tc>
          <w:tcPr>
            <w:tcW w:w="1505" w:type="dxa"/>
            <w:tcBorders>
              <w:top w:val="single" w:color="000000" w:sz="4" w:space="0"/>
              <w:left w:val="single" w:color="000000" w:sz="4" w:space="0"/>
              <w:bottom w:val="single" w:color="000000" w:sz="4" w:space="0"/>
              <w:right w:val="single" w:color="000000" w:sz="4" w:space="0"/>
            </w:tcBorders>
            <w:shd w:val="clear" w:color="000000" w:fill="auto"/>
            <w:tcMar>
              <w:top w:w="12" w:type="dxa"/>
              <w:left w:w="12" w:type="dxa"/>
              <w:right w:w="12" w:type="dxa"/>
            </w:tcMar>
            <w:vAlign w:val="center"/>
          </w:tcPr>
          <w:p>
            <w:pPr>
              <w:keepNext w:val="0"/>
              <w:keepLines w:val="0"/>
              <w:widowControl/>
              <w:suppressLineNumbers w:val="0"/>
              <w:jc w:val="center"/>
              <w:textAlignment w:val="center"/>
              <w:rPr>
                <w:rFonts w:hint="default" w:ascii="微软雅黑" w:hAnsi="微软雅黑" w:eastAsia="微软雅黑" w:cs="微软雅黑"/>
                <w:i w:val="0"/>
                <w:color w:val="000000"/>
                <w:sz w:val="18"/>
                <w:szCs w:val="18"/>
                <w:highlight w:val="none"/>
                <w:u w:val="none"/>
                <w:lang w:val="en-US" w:eastAsia="zh-CN"/>
              </w:rPr>
            </w:pPr>
            <w:r>
              <w:rPr>
                <w:rFonts w:hint="eastAsia" w:ascii="微软雅黑" w:hAnsi="微软雅黑" w:eastAsia="微软雅黑" w:cs="微软雅黑"/>
                <w:i w:val="0"/>
                <w:color w:val="000000"/>
                <w:sz w:val="18"/>
                <w:szCs w:val="18"/>
                <w:highlight w:val="none"/>
                <w:u w:val="none"/>
                <w:lang w:val="en-US" w:eastAsia="zh-CN"/>
              </w:rPr>
              <w:t>0.56</w:t>
            </w:r>
          </w:p>
        </w:tc>
      </w:tr>
      <w:tr>
        <w:tblPrEx>
          <w:tblCellMar>
            <w:top w:w="0" w:type="dxa"/>
            <w:left w:w="0" w:type="dxa"/>
            <w:bottom w:w="0" w:type="dxa"/>
            <w:right w:w="0" w:type="dxa"/>
          </w:tblCellMar>
        </w:tblPrEx>
        <w:trPr>
          <w:trHeight w:val="491" w:hRule="atLeast"/>
        </w:trPr>
        <w:tc>
          <w:tcPr>
            <w:tcW w:w="864" w:type="dxa"/>
            <w:tcBorders>
              <w:top w:val="single" w:color="000000" w:sz="4" w:space="0"/>
              <w:left w:val="single" w:color="000000" w:sz="4" w:space="0"/>
              <w:bottom w:val="single" w:color="000000" w:sz="4" w:space="0"/>
              <w:right w:val="single" w:color="000000" w:sz="4" w:space="0"/>
            </w:tcBorders>
            <w:shd w:val="clear" w:color="000000" w:fill="auto"/>
            <w:tcMar>
              <w:top w:w="12" w:type="dxa"/>
              <w:left w:w="12" w:type="dxa"/>
              <w:right w:w="12"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highlight w:val="none"/>
                <w:u w:val="none"/>
              </w:rPr>
            </w:pPr>
            <w:r>
              <w:rPr>
                <w:rFonts w:hint="eastAsia" w:ascii="微软雅黑" w:hAnsi="微软雅黑" w:eastAsia="微软雅黑" w:cs="微软雅黑"/>
                <w:i w:val="0"/>
                <w:color w:val="000000"/>
                <w:kern w:val="0"/>
                <w:sz w:val="18"/>
                <w:szCs w:val="18"/>
                <w:highlight w:val="none"/>
                <w:u w:val="none"/>
                <w:lang w:val="en-US" w:eastAsia="zh-CN" w:bidi="ar"/>
              </w:rPr>
              <w:t>4</w:t>
            </w:r>
          </w:p>
        </w:tc>
        <w:tc>
          <w:tcPr>
            <w:tcW w:w="1536" w:type="dxa"/>
            <w:tcBorders>
              <w:top w:val="single" w:color="000000" w:sz="4" w:space="0"/>
              <w:left w:val="single" w:color="000000" w:sz="4" w:space="0"/>
              <w:bottom w:val="single" w:color="000000" w:sz="4" w:space="0"/>
              <w:right w:val="single" w:color="000000" w:sz="4" w:space="0"/>
            </w:tcBorders>
            <w:shd w:val="clear" w:color="000000" w:fill="auto"/>
            <w:tcMar>
              <w:top w:w="12" w:type="dxa"/>
              <w:left w:w="12" w:type="dxa"/>
              <w:right w:w="12"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highlight w:val="none"/>
                <w:u w:val="none"/>
              </w:rPr>
            </w:pPr>
            <w:r>
              <w:rPr>
                <w:rFonts w:hint="eastAsia" w:ascii="微软雅黑" w:hAnsi="微软雅黑" w:eastAsia="微软雅黑" w:cs="微软雅黑"/>
                <w:i w:val="0"/>
                <w:color w:val="000000"/>
                <w:kern w:val="0"/>
                <w:sz w:val="18"/>
                <w:szCs w:val="18"/>
                <w:highlight w:val="none"/>
                <w:u w:val="none"/>
                <w:lang w:val="en-US" w:eastAsia="zh-CN" w:bidi="ar"/>
              </w:rPr>
              <w:t>SW02粉煤灰</w:t>
            </w:r>
          </w:p>
        </w:tc>
        <w:tc>
          <w:tcPr>
            <w:tcW w:w="1512" w:type="dxa"/>
            <w:tcBorders>
              <w:top w:val="single" w:color="000000" w:sz="4" w:space="0"/>
              <w:left w:val="single" w:color="000000" w:sz="4" w:space="0"/>
              <w:bottom w:val="single" w:color="000000" w:sz="4" w:space="0"/>
              <w:right w:val="single" w:color="000000" w:sz="4" w:space="0"/>
            </w:tcBorders>
            <w:shd w:val="clear" w:color="000000" w:fill="auto"/>
            <w:tcMar>
              <w:top w:w="12" w:type="dxa"/>
              <w:left w:w="12" w:type="dxa"/>
              <w:right w:w="12" w:type="dxa"/>
            </w:tcMar>
            <w:vAlign w:val="center"/>
          </w:tcPr>
          <w:p>
            <w:pPr>
              <w:keepNext w:val="0"/>
              <w:keepLines w:val="0"/>
              <w:widowControl/>
              <w:suppressLineNumbers w:val="0"/>
              <w:jc w:val="center"/>
              <w:textAlignment w:val="center"/>
              <w:rPr>
                <w:rFonts w:hint="default" w:ascii="微软雅黑" w:hAnsi="微软雅黑" w:eastAsia="微软雅黑" w:cs="微软雅黑"/>
                <w:i w:val="0"/>
                <w:color w:val="000000"/>
                <w:sz w:val="18"/>
                <w:szCs w:val="18"/>
                <w:highlight w:val="none"/>
                <w:u w:val="none"/>
                <w:lang w:val="en-US" w:eastAsia="zh-CN"/>
              </w:rPr>
            </w:pPr>
            <w:r>
              <w:rPr>
                <w:rFonts w:hint="eastAsia" w:ascii="微软雅黑" w:hAnsi="微软雅黑" w:eastAsia="微软雅黑" w:cs="微软雅黑"/>
                <w:i w:val="0"/>
                <w:color w:val="000000"/>
                <w:sz w:val="18"/>
                <w:szCs w:val="18"/>
                <w:highlight w:val="none"/>
                <w:u w:val="none"/>
                <w:lang w:val="en-US" w:eastAsia="zh-CN"/>
              </w:rPr>
              <w:t>41.17</w:t>
            </w:r>
          </w:p>
        </w:tc>
        <w:tc>
          <w:tcPr>
            <w:tcW w:w="1653" w:type="dxa"/>
            <w:tcBorders>
              <w:top w:val="single" w:color="000000" w:sz="4" w:space="0"/>
              <w:left w:val="single" w:color="000000" w:sz="4" w:space="0"/>
              <w:bottom w:val="single" w:color="000000" w:sz="4" w:space="0"/>
              <w:right w:val="single" w:color="000000" w:sz="4" w:space="0"/>
            </w:tcBorders>
            <w:shd w:val="clear" w:color="000000" w:fill="auto"/>
            <w:tcMar>
              <w:top w:w="12" w:type="dxa"/>
              <w:left w:w="12" w:type="dxa"/>
              <w:right w:w="12" w:type="dxa"/>
            </w:tcMar>
            <w:vAlign w:val="center"/>
          </w:tcPr>
          <w:p>
            <w:pPr>
              <w:keepNext w:val="0"/>
              <w:keepLines w:val="0"/>
              <w:widowControl/>
              <w:suppressLineNumbers w:val="0"/>
              <w:jc w:val="center"/>
              <w:textAlignment w:val="center"/>
              <w:rPr>
                <w:rFonts w:hint="default" w:ascii="微软雅黑" w:hAnsi="微软雅黑" w:eastAsia="微软雅黑" w:cs="微软雅黑"/>
                <w:i w:val="0"/>
                <w:color w:val="000000"/>
                <w:sz w:val="18"/>
                <w:szCs w:val="18"/>
                <w:highlight w:val="none"/>
                <w:u w:val="none"/>
                <w:lang w:val="en-US" w:eastAsia="zh-CN"/>
              </w:rPr>
            </w:pPr>
            <w:r>
              <w:rPr>
                <w:rFonts w:hint="eastAsia" w:ascii="微软雅黑" w:hAnsi="微软雅黑" w:eastAsia="微软雅黑" w:cs="微软雅黑"/>
                <w:i w:val="0"/>
                <w:color w:val="000000"/>
                <w:sz w:val="18"/>
                <w:szCs w:val="18"/>
                <w:highlight w:val="none"/>
                <w:u w:val="none"/>
                <w:lang w:val="en-US" w:eastAsia="zh-CN"/>
              </w:rPr>
              <w:t>29.38</w:t>
            </w:r>
          </w:p>
        </w:tc>
        <w:tc>
          <w:tcPr>
            <w:tcW w:w="1554" w:type="dxa"/>
            <w:tcBorders>
              <w:top w:val="single" w:color="000000" w:sz="4" w:space="0"/>
              <w:left w:val="single" w:color="000000" w:sz="4" w:space="0"/>
              <w:bottom w:val="single" w:color="000000" w:sz="4" w:space="0"/>
              <w:right w:val="single" w:color="000000" w:sz="4" w:space="0"/>
            </w:tcBorders>
            <w:shd w:val="clear" w:color="000000" w:fill="auto"/>
            <w:tcMar>
              <w:top w:w="12" w:type="dxa"/>
              <w:left w:w="12" w:type="dxa"/>
              <w:right w:w="12" w:type="dxa"/>
            </w:tcMar>
            <w:vAlign w:val="center"/>
          </w:tcPr>
          <w:p>
            <w:pPr>
              <w:keepNext w:val="0"/>
              <w:keepLines w:val="0"/>
              <w:widowControl/>
              <w:suppressLineNumbers w:val="0"/>
              <w:jc w:val="center"/>
              <w:textAlignment w:val="center"/>
              <w:rPr>
                <w:rFonts w:hint="default" w:ascii="微软雅黑" w:hAnsi="微软雅黑" w:eastAsia="微软雅黑" w:cs="微软雅黑"/>
                <w:i w:val="0"/>
                <w:color w:val="000000"/>
                <w:sz w:val="18"/>
                <w:szCs w:val="18"/>
                <w:highlight w:val="none"/>
                <w:u w:val="none"/>
                <w:lang w:val="en-US" w:eastAsia="zh-CN"/>
              </w:rPr>
            </w:pPr>
            <w:r>
              <w:rPr>
                <w:rFonts w:hint="eastAsia" w:ascii="微软雅黑" w:hAnsi="微软雅黑" w:eastAsia="微软雅黑" w:cs="微软雅黑"/>
                <w:i w:val="0"/>
                <w:color w:val="000000"/>
                <w:sz w:val="18"/>
                <w:szCs w:val="18"/>
                <w:highlight w:val="none"/>
                <w:u w:val="none"/>
                <w:lang w:val="en-US" w:eastAsia="zh-CN"/>
              </w:rPr>
              <w:t>5.35</w:t>
            </w:r>
          </w:p>
        </w:tc>
        <w:tc>
          <w:tcPr>
            <w:tcW w:w="1505" w:type="dxa"/>
            <w:tcBorders>
              <w:top w:val="single" w:color="000000" w:sz="4" w:space="0"/>
              <w:left w:val="single" w:color="000000" w:sz="4" w:space="0"/>
              <w:bottom w:val="single" w:color="000000" w:sz="4" w:space="0"/>
              <w:right w:val="single" w:color="000000" w:sz="4" w:space="0"/>
            </w:tcBorders>
            <w:shd w:val="clear" w:color="000000" w:fill="auto"/>
            <w:tcMar>
              <w:top w:w="12" w:type="dxa"/>
              <w:left w:w="12" w:type="dxa"/>
              <w:right w:w="12" w:type="dxa"/>
            </w:tcMar>
            <w:vAlign w:val="center"/>
          </w:tcPr>
          <w:p>
            <w:pPr>
              <w:keepNext w:val="0"/>
              <w:keepLines w:val="0"/>
              <w:widowControl/>
              <w:suppressLineNumbers w:val="0"/>
              <w:jc w:val="center"/>
              <w:textAlignment w:val="center"/>
              <w:rPr>
                <w:rFonts w:hint="default" w:ascii="微软雅黑" w:hAnsi="微软雅黑" w:eastAsia="微软雅黑" w:cs="微软雅黑"/>
                <w:i w:val="0"/>
                <w:color w:val="000000"/>
                <w:sz w:val="18"/>
                <w:szCs w:val="18"/>
                <w:highlight w:val="none"/>
                <w:u w:val="none"/>
                <w:lang w:val="en-US" w:eastAsia="zh-CN"/>
              </w:rPr>
            </w:pPr>
            <w:r>
              <w:rPr>
                <w:rFonts w:hint="eastAsia" w:ascii="微软雅黑" w:hAnsi="微软雅黑" w:eastAsia="微软雅黑" w:cs="微软雅黑"/>
                <w:i w:val="0"/>
                <w:color w:val="000000"/>
                <w:sz w:val="18"/>
                <w:szCs w:val="18"/>
                <w:highlight w:val="none"/>
                <w:u w:val="none"/>
                <w:lang w:val="en-US" w:eastAsia="zh-CN"/>
              </w:rPr>
              <w:t>6.48</w:t>
            </w:r>
          </w:p>
        </w:tc>
      </w:tr>
      <w:tr>
        <w:tblPrEx>
          <w:tblCellMar>
            <w:top w:w="0" w:type="dxa"/>
            <w:left w:w="0" w:type="dxa"/>
            <w:bottom w:w="0" w:type="dxa"/>
            <w:right w:w="0" w:type="dxa"/>
          </w:tblCellMar>
        </w:tblPrEx>
        <w:trPr>
          <w:trHeight w:val="482" w:hRule="atLeast"/>
        </w:trPr>
        <w:tc>
          <w:tcPr>
            <w:tcW w:w="864" w:type="dxa"/>
            <w:tcBorders>
              <w:top w:val="single" w:color="000000" w:sz="4" w:space="0"/>
              <w:left w:val="single" w:color="000000" w:sz="4" w:space="0"/>
              <w:bottom w:val="single" w:color="000000" w:sz="4" w:space="0"/>
              <w:right w:val="single" w:color="000000" w:sz="4" w:space="0"/>
            </w:tcBorders>
            <w:shd w:val="clear" w:color="000000" w:fill="auto"/>
            <w:tcMar>
              <w:top w:w="12" w:type="dxa"/>
              <w:left w:w="12" w:type="dxa"/>
              <w:right w:w="12"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highlight w:val="none"/>
                <w:u w:val="none"/>
              </w:rPr>
            </w:pPr>
            <w:r>
              <w:rPr>
                <w:rFonts w:hint="eastAsia" w:ascii="微软雅黑" w:hAnsi="微软雅黑" w:eastAsia="微软雅黑" w:cs="微软雅黑"/>
                <w:i w:val="0"/>
                <w:color w:val="000000"/>
                <w:kern w:val="0"/>
                <w:sz w:val="18"/>
                <w:szCs w:val="18"/>
                <w:highlight w:val="none"/>
                <w:u w:val="none"/>
                <w:lang w:val="en-US" w:eastAsia="zh-CN" w:bidi="ar"/>
              </w:rPr>
              <w:t>5</w:t>
            </w:r>
          </w:p>
        </w:tc>
        <w:tc>
          <w:tcPr>
            <w:tcW w:w="1536" w:type="dxa"/>
            <w:tcBorders>
              <w:top w:val="single" w:color="000000" w:sz="4" w:space="0"/>
              <w:left w:val="single" w:color="000000" w:sz="4" w:space="0"/>
              <w:bottom w:val="single" w:color="000000" w:sz="4" w:space="0"/>
              <w:right w:val="single" w:color="000000" w:sz="4" w:space="0"/>
            </w:tcBorders>
            <w:shd w:val="clear" w:color="000000" w:fill="auto"/>
            <w:tcMar>
              <w:top w:w="12" w:type="dxa"/>
              <w:left w:w="12" w:type="dxa"/>
              <w:right w:w="12"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highlight w:val="none"/>
                <w:u w:val="none"/>
              </w:rPr>
            </w:pPr>
            <w:r>
              <w:rPr>
                <w:rFonts w:hint="eastAsia" w:ascii="微软雅黑" w:hAnsi="微软雅黑" w:eastAsia="微软雅黑" w:cs="微软雅黑"/>
                <w:i w:val="0"/>
                <w:color w:val="000000"/>
                <w:kern w:val="0"/>
                <w:sz w:val="18"/>
                <w:szCs w:val="18"/>
                <w:highlight w:val="none"/>
                <w:u w:val="none"/>
                <w:lang w:val="en-US" w:eastAsia="zh-CN" w:bidi="ar"/>
              </w:rPr>
              <w:t>SW06脱硫石膏</w:t>
            </w:r>
          </w:p>
        </w:tc>
        <w:tc>
          <w:tcPr>
            <w:tcW w:w="1512" w:type="dxa"/>
            <w:tcBorders>
              <w:top w:val="single" w:color="000000" w:sz="4" w:space="0"/>
              <w:left w:val="single" w:color="000000" w:sz="4" w:space="0"/>
              <w:bottom w:val="single" w:color="000000" w:sz="4" w:space="0"/>
              <w:right w:val="single" w:color="000000" w:sz="4" w:space="0"/>
            </w:tcBorders>
            <w:shd w:val="clear" w:color="000000" w:fill="auto"/>
            <w:tcMar>
              <w:top w:w="12" w:type="dxa"/>
              <w:left w:w="12" w:type="dxa"/>
              <w:right w:w="12" w:type="dxa"/>
            </w:tcMar>
            <w:vAlign w:val="center"/>
          </w:tcPr>
          <w:p>
            <w:pPr>
              <w:keepNext w:val="0"/>
              <w:keepLines w:val="0"/>
              <w:widowControl/>
              <w:suppressLineNumbers w:val="0"/>
              <w:jc w:val="center"/>
              <w:textAlignment w:val="center"/>
              <w:rPr>
                <w:rFonts w:hint="default" w:ascii="微软雅黑" w:hAnsi="微软雅黑" w:eastAsia="微软雅黑" w:cs="微软雅黑"/>
                <w:i w:val="0"/>
                <w:color w:val="000000"/>
                <w:sz w:val="18"/>
                <w:szCs w:val="18"/>
                <w:highlight w:val="none"/>
                <w:u w:val="none"/>
                <w:lang w:val="en-US" w:eastAsia="zh-CN"/>
              </w:rPr>
            </w:pPr>
            <w:r>
              <w:rPr>
                <w:rFonts w:hint="eastAsia" w:ascii="微软雅黑" w:hAnsi="微软雅黑" w:eastAsia="微软雅黑" w:cs="微软雅黑"/>
                <w:i w:val="0"/>
                <w:color w:val="000000"/>
                <w:sz w:val="18"/>
                <w:szCs w:val="18"/>
                <w:highlight w:val="none"/>
                <w:u w:val="none"/>
                <w:lang w:val="en-US" w:eastAsia="zh-CN"/>
              </w:rPr>
              <w:t>27.69</w:t>
            </w:r>
          </w:p>
        </w:tc>
        <w:tc>
          <w:tcPr>
            <w:tcW w:w="1653" w:type="dxa"/>
            <w:tcBorders>
              <w:top w:val="single" w:color="000000" w:sz="4" w:space="0"/>
              <w:left w:val="single" w:color="000000" w:sz="4" w:space="0"/>
              <w:bottom w:val="single" w:color="000000" w:sz="4" w:space="0"/>
              <w:right w:val="single" w:color="000000" w:sz="4" w:space="0"/>
            </w:tcBorders>
            <w:shd w:val="clear" w:color="000000" w:fill="auto"/>
            <w:tcMar>
              <w:top w:w="12" w:type="dxa"/>
              <w:left w:w="12" w:type="dxa"/>
              <w:right w:w="12" w:type="dxa"/>
            </w:tcMar>
            <w:vAlign w:val="center"/>
          </w:tcPr>
          <w:p>
            <w:pPr>
              <w:keepNext w:val="0"/>
              <w:keepLines w:val="0"/>
              <w:widowControl/>
              <w:suppressLineNumbers w:val="0"/>
              <w:jc w:val="center"/>
              <w:textAlignment w:val="center"/>
              <w:rPr>
                <w:rFonts w:hint="default" w:ascii="微软雅黑" w:hAnsi="微软雅黑" w:eastAsia="微软雅黑" w:cs="微软雅黑"/>
                <w:i w:val="0"/>
                <w:color w:val="000000"/>
                <w:sz w:val="18"/>
                <w:szCs w:val="18"/>
                <w:highlight w:val="none"/>
                <w:u w:val="none"/>
                <w:lang w:val="en-US" w:eastAsia="zh-CN"/>
              </w:rPr>
            </w:pPr>
            <w:r>
              <w:rPr>
                <w:rFonts w:hint="eastAsia" w:ascii="微软雅黑" w:hAnsi="微软雅黑" w:eastAsia="微软雅黑" w:cs="微软雅黑"/>
                <w:i w:val="0"/>
                <w:color w:val="000000"/>
                <w:sz w:val="18"/>
                <w:szCs w:val="18"/>
                <w:highlight w:val="none"/>
                <w:u w:val="none"/>
                <w:lang w:val="en-US" w:eastAsia="zh-CN"/>
              </w:rPr>
              <w:t>28.55</w:t>
            </w:r>
          </w:p>
        </w:tc>
        <w:tc>
          <w:tcPr>
            <w:tcW w:w="1554" w:type="dxa"/>
            <w:tcBorders>
              <w:top w:val="single" w:color="000000" w:sz="4" w:space="0"/>
              <w:left w:val="single" w:color="000000" w:sz="4" w:space="0"/>
              <w:bottom w:val="single" w:color="000000" w:sz="4" w:space="0"/>
              <w:right w:val="single" w:color="000000" w:sz="4" w:space="0"/>
            </w:tcBorders>
            <w:shd w:val="clear" w:color="000000" w:fill="auto"/>
            <w:tcMar>
              <w:top w:w="12" w:type="dxa"/>
              <w:left w:w="12" w:type="dxa"/>
              <w:right w:w="12" w:type="dxa"/>
            </w:tcMar>
            <w:vAlign w:val="center"/>
          </w:tcPr>
          <w:p>
            <w:pPr>
              <w:keepNext w:val="0"/>
              <w:keepLines w:val="0"/>
              <w:widowControl/>
              <w:suppressLineNumbers w:val="0"/>
              <w:jc w:val="center"/>
              <w:textAlignment w:val="center"/>
              <w:rPr>
                <w:rFonts w:hint="default" w:ascii="微软雅黑" w:hAnsi="微软雅黑" w:eastAsia="微软雅黑" w:cs="微软雅黑"/>
                <w:i w:val="0"/>
                <w:color w:val="000000"/>
                <w:sz w:val="18"/>
                <w:szCs w:val="18"/>
                <w:highlight w:val="none"/>
                <w:u w:val="none"/>
                <w:lang w:val="en-US" w:eastAsia="zh-CN"/>
              </w:rPr>
            </w:pPr>
            <w:r>
              <w:rPr>
                <w:rFonts w:hint="eastAsia" w:ascii="微软雅黑" w:hAnsi="微软雅黑" w:eastAsia="微软雅黑" w:cs="微软雅黑"/>
                <w:i w:val="0"/>
                <w:color w:val="000000"/>
                <w:sz w:val="18"/>
                <w:szCs w:val="18"/>
                <w:highlight w:val="none"/>
                <w:u w:val="none"/>
                <w:lang w:val="en-US" w:eastAsia="zh-CN"/>
              </w:rPr>
              <w:t>5.99</w:t>
            </w:r>
          </w:p>
        </w:tc>
        <w:tc>
          <w:tcPr>
            <w:tcW w:w="1505" w:type="dxa"/>
            <w:tcBorders>
              <w:top w:val="single" w:color="000000" w:sz="4" w:space="0"/>
              <w:left w:val="single" w:color="000000" w:sz="4" w:space="0"/>
              <w:bottom w:val="single" w:color="000000" w:sz="4" w:space="0"/>
              <w:right w:val="single" w:color="000000" w:sz="4" w:space="0"/>
            </w:tcBorders>
            <w:shd w:val="clear" w:color="000000" w:fill="auto"/>
            <w:tcMar>
              <w:top w:w="12" w:type="dxa"/>
              <w:left w:w="12" w:type="dxa"/>
              <w:right w:w="12" w:type="dxa"/>
            </w:tcMar>
            <w:vAlign w:val="center"/>
          </w:tcPr>
          <w:p>
            <w:pPr>
              <w:keepNext w:val="0"/>
              <w:keepLines w:val="0"/>
              <w:widowControl/>
              <w:suppressLineNumbers w:val="0"/>
              <w:jc w:val="center"/>
              <w:textAlignment w:val="center"/>
              <w:rPr>
                <w:rFonts w:hint="default" w:ascii="微软雅黑" w:hAnsi="微软雅黑" w:eastAsia="微软雅黑" w:cs="微软雅黑"/>
                <w:i w:val="0"/>
                <w:color w:val="000000"/>
                <w:sz w:val="18"/>
                <w:szCs w:val="18"/>
                <w:highlight w:val="none"/>
                <w:u w:val="none"/>
                <w:lang w:val="en-US" w:eastAsia="zh-CN"/>
              </w:rPr>
            </w:pPr>
            <w:r>
              <w:rPr>
                <w:rFonts w:hint="eastAsia" w:ascii="微软雅黑" w:hAnsi="微软雅黑" w:eastAsia="微软雅黑" w:cs="微软雅黑"/>
                <w:i w:val="0"/>
                <w:color w:val="000000"/>
                <w:sz w:val="18"/>
                <w:szCs w:val="18"/>
                <w:highlight w:val="none"/>
                <w:u w:val="none"/>
                <w:lang w:val="en-US" w:eastAsia="zh-CN"/>
              </w:rPr>
              <w:t>1.67</w:t>
            </w:r>
          </w:p>
        </w:tc>
      </w:tr>
    </w:tbl>
    <w:p>
      <w:pPr>
        <w:keepNext w:val="0"/>
        <w:keepLines w:val="0"/>
        <w:pageBreakBefore w:val="0"/>
        <w:widowControl w:val="0"/>
        <w:kinsoku/>
        <w:wordWrap/>
        <w:overflowPunct/>
        <w:topLinePunct w:val="0"/>
        <w:autoSpaceDE/>
        <w:autoSpaceDN/>
        <w:bidi w:val="0"/>
        <w:adjustRightInd/>
        <w:snapToGrid/>
        <w:ind w:firstLine="480" w:firstLineChars="200"/>
        <w:jc w:val="left"/>
        <w:textAlignment w:val="auto"/>
        <w:rPr>
          <w:rFonts w:hint="default" w:ascii="楷体" w:hAnsi="楷体" w:eastAsia="楷体" w:cs="楷体"/>
          <w:sz w:val="24"/>
          <w:szCs w:val="24"/>
          <w:highlight w:val="none"/>
          <w:lang w:val="en-US" w:eastAsia="zh-CN"/>
        </w:rPr>
      </w:pPr>
      <w:r>
        <w:rPr>
          <w:rFonts w:hint="eastAsia" w:ascii="楷体" w:hAnsi="楷体" w:eastAsia="楷体" w:cs="楷体"/>
          <w:sz w:val="24"/>
          <w:szCs w:val="24"/>
          <w:highlight w:val="none"/>
          <w:lang w:val="en-US" w:eastAsia="zh-CN"/>
        </w:rPr>
        <w:t>*注：此表中综合利用量和处置量含利用和处置上年度遗留贮存量，贮存量为截至2025年年底贮存量。</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黑体" w:hAnsi="黑体" w:eastAsia="黑体" w:cs="黑体"/>
          <w:sz w:val="32"/>
          <w:szCs w:val="32"/>
          <w:highlight w:val="none"/>
        </w:rPr>
      </w:pPr>
      <w:r>
        <w:rPr>
          <w:rFonts w:hint="eastAsia" w:ascii="黑体" w:hAnsi="黑体" w:eastAsia="黑体" w:cs="黑体"/>
          <w:sz w:val="32"/>
          <w:szCs w:val="32"/>
          <w:highlight w:val="none"/>
        </w:rPr>
        <w:t>二、危险废物</w:t>
      </w:r>
    </w:p>
    <w:p>
      <w:pPr>
        <w:keepNext w:val="0"/>
        <w:keepLines w:val="0"/>
        <w:pageBreakBefore w:val="0"/>
        <w:widowControl w:val="0"/>
        <w:kinsoku/>
        <w:wordWrap/>
        <w:overflowPunct/>
        <w:topLinePunct w:val="0"/>
        <w:autoSpaceDE/>
        <w:autoSpaceDN/>
        <w:bidi w:val="0"/>
        <w:adjustRightInd/>
        <w:snapToGrid/>
        <w:spacing w:line="578" w:lineRule="exact"/>
        <w:ind w:firstLine="643" w:firstLineChars="200"/>
        <w:textAlignment w:val="auto"/>
        <w:rPr>
          <w:rFonts w:hint="eastAsia" w:ascii="仿宋_GB2312" w:hAnsi="仿宋_GB2312" w:eastAsia="仿宋_GB2312" w:cs="仿宋_GB2312"/>
          <w:b/>
          <w:bCs/>
          <w:sz w:val="32"/>
          <w:szCs w:val="32"/>
          <w:highlight w:val="none"/>
          <w:lang w:val="en-US" w:eastAsia="zh-CN"/>
        </w:rPr>
      </w:pPr>
      <w:r>
        <w:rPr>
          <w:rFonts w:hint="eastAsia" w:ascii="仿宋_GB2312" w:hAnsi="仿宋_GB2312" w:eastAsia="仿宋_GB2312" w:cs="仿宋_GB2312"/>
          <w:b/>
          <w:bCs/>
          <w:sz w:val="32"/>
          <w:szCs w:val="32"/>
          <w:highlight w:val="none"/>
          <w:lang w:val="en-US" w:eastAsia="zh-CN"/>
        </w:rPr>
        <w:t>1.危险废物产生及处置利用情况</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lang w:eastAsia="zh-CN"/>
        </w:rPr>
        <w:t>202</w:t>
      </w:r>
      <w:r>
        <w:rPr>
          <w:rFonts w:hint="eastAsia" w:ascii="仿宋_GB2312" w:hAnsi="仿宋_GB2312" w:eastAsia="仿宋_GB2312" w:cs="仿宋_GB2312"/>
          <w:sz w:val="32"/>
          <w:szCs w:val="32"/>
          <w:highlight w:val="none"/>
          <w:lang w:val="en-US" w:eastAsia="zh-CN"/>
        </w:rPr>
        <w:t>5</w:t>
      </w:r>
      <w:r>
        <w:rPr>
          <w:rFonts w:hint="eastAsia" w:ascii="仿宋_GB2312" w:hAnsi="仿宋_GB2312" w:eastAsia="仿宋_GB2312" w:cs="仿宋_GB2312"/>
          <w:sz w:val="32"/>
          <w:szCs w:val="32"/>
          <w:highlight w:val="none"/>
        </w:rPr>
        <w:t>年，本市危险废物（不含医疗废物）产生量</w:t>
      </w:r>
      <w:r>
        <w:rPr>
          <w:rFonts w:hint="eastAsia" w:ascii="仿宋_GB2312" w:hAnsi="仿宋_GB2312" w:eastAsia="仿宋_GB2312" w:cs="仿宋_GB2312"/>
          <w:sz w:val="32"/>
          <w:szCs w:val="32"/>
          <w:highlight w:val="none"/>
          <w:lang w:val="en-US" w:eastAsia="zh-CN"/>
        </w:rPr>
        <w:t>19.89</w:t>
      </w:r>
      <w:r>
        <w:rPr>
          <w:rFonts w:hint="eastAsia" w:ascii="仿宋_GB2312" w:hAnsi="仿宋_GB2312" w:eastAsia="仿宋_GB2312" w:cs="仿宋_GB2312"/>
          <w:sz w:val="32"/>
          <w:szCs w:val="32"/>
          <w:highlight w:val="none"/>
        </w:rPr>
        <w:t>万吨</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lang w:val="en-US" w:eastAsia="zh-CN"/>
        </w:rPr>
        <w:t>利用量19.78万吨（含利用往年贮存量）</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lang w:val="en-US" w:eastAsia="zh-CN"/>
        </w:rPr>
        <w:t>主要利用方式为R15其他回收再生；处置量0.96万吨（含处置往年贮存量），主要处置方式为D10焚烧；</w:t>
      </w:r>
      <w:r>
        <w:rPr>
          <w:rFonts w:hint="eastAsia" w:ascii="仿宋_GB2312" w:hAnsi="仿宋_GB2312" w:eastAsia="仿宋_GB2312" w:cs="仿宋_GB2312"/>
          <w:sz w:val="32"/>
          <w:szCs w:val="32"/>
          <w:highlight w:val="none"/>
        </w:rPr>
        <w:t>累计贮存量</w:t>
      </w:r>
      <w:r>
        <w:rPr>
          <w:rFonts w:hint="eastAsia" w:ascii="仿宋_GB2312" w:hAnsi="仿宋_GB2312" w:eastAsia="仿宋_GB2312" w:cs="仿宋_GB2312"/>
          <w:sz w:val="32"/>
          <w:szCs w:val="32"/>
          <w:highlight w:val="none"/>
          <w:lang w:val="en-US" w:eastAsia="zh-CN"/>
        </w:rPr>
        <w:t>0.09</w:t>
      </w:r>
      <w:r>
        <w:rPr>
          <w:rFonts w:hint="eastAsia" w:ascii="仿宋_GB2312" w:hAnsi="仿宋_GB2312" w:eastAsia="仿宋_GB2312" w:cs="仿宋_GB2312"/>
          <w:sz w:val="32"/>
          <w:szCs w:val="32"/>
          <w:highlight w:val="none"/>
        </w:rPr>
        <w:t>万吨。</w:t>
      </w:r>
    </w:p>
    <w:p>
      <w:pPr>
        <w:keepNext w:val="0"/>
        <w:keepLines w:val="0"/>
        <w:pageBreakBefore w:val="0"/>
        <w:kinsoku/>
        <w:wordWrap/>
        <w:overflowPunct/>
        <w:topLinePunct w:val="0"/>
        <w:autoSpaceDE/>
        <w:autoSpaceDN/>
        <w:bidi w:val="0"/>
        <w:adjustRightInd/>
        <w:snapToGrid/>
        <w:jc w:val="center"/>
        <w:rPr>
          <w:rFonts w:hint="eastAsia" w:ascii="宋体" w:hAnsi="宋体" w:eastAsia="宋体" w:cs="宋体"/>
          <w:b/>
          <w:color w:val="auto"/>
          <w:sz w:val="24"/>
          <w:szCs w:val="24"/>
          <w:highlight w:val="none"/>
          <w:lang w:val="en-US" w:eastAsia="zh-CN"/>
        </w:rPr>
      </w:pPr>
      <w:r>
        <w:rPr>
          <w:rFonts w:hint="eastAsia" w:ascii="宋体" w:hAnsi="宋体" w:eastAsia="宋体" w:cs="宋体"/>
          <w:b/>
          <w:color w:val="auto"/>
          <w:sz w:val="24"/>
          <w:szCs w:val="24"/>
          <w:highlight w:val="none"/>
          <w:lang w:val="en-US" w:eastAsia="zh-CN"/>
        </w:rPr>
        <w:t>表3 危险废物产生及处置利用情况</w:t>
      </w:r>
    </w:p>
    <w:tbl>
      <w:tblPr>
        <w:tblStyle w:val="4"/>
        <w:tblW w:w="7434"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
      <w:tblGrid>
        <w:gridCol w:w="2715"/>
        <w:gridCol w:w="2640"/>
        <w:gridCol w:w="2079"/>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2715" w:type="dxa"/>
            <w:noWrap w:val="0"/>
            <w:vAlign w:val="center"/>
          </w:tcPr>
          <w:p>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eastAsia" w:ascii="仿宋_GB2312" w:hAnsi="Times New Roman" w:eastAsia="仿宋_GB2312" w:cs="Times New Roman"/>
                <w:b/>
                <w:color w:val="auto"/>
                <w:sz w:val="22"/>
                <w:szCs w:val="22"/>
                <w:highlight w:val="none"/>
              </w:rPr>
            </w:pPr>
            <w:r>
              <w:rPr>
                <w:rFonts w:hint="eastAsia" w:ascii="仿宋_GB2312" w:hAnsi="Times New Roman" w:eastAsia="仿宋_GB2312" w:cs="Times New Roman"/>
                <w:b/>
                <w:color w:val="auto"/>
                <w:sz w:val="22"/>
                <w:szCs w:val="22"/>
                <w:highlight w:val="none"/>
              </w:rPr>
              <w:t>危险废物</w:t>
            </w:r>
          </w:p>
        </w:tc>
        <w:tc>
          <w:tcPr>
            <w:tcW w:w="2640" w:type="dxa"/>
            <w:noWrap w:val="0"/>
            <w:vAlign w:val="center"/>
          </w:tcPr>
          <w:p>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eastAsia" w:ascii="仿宋_GB2312" w:hAnsi="Times New Roman" w:eastAsia="仿宋_GB2312" w:cs="Times New Roman"/>
                <w:b/>
                <w:color w:val="auto"/>
                <w:sz w:val="22"/>
                <w:szCs w:val="22"/>
                <w:highlight w:val="none"/>
                <w:lang w:eastAsia="zh-CN"/>
              </w:rPr>
            </w:pPr>
            <w:r>
              <w:rPr>
                <w:rFonts w:hint="eastAsia" w:ascii="仿宋_GB2312" w:hAnsi="Times New Roman" w:eastAsia="仿宋_GB2312" w:cs="Times New Roman"/>
                <w:b/>
                <w:color w:val="auto"/>
                <w:sz w:val="22"/>
                <w:szCs w:val="22"/>
                <w:highlight w:val="none"/>
              </w:rPr>
              <w:t>数量</w:t>
            </w:r>
            <w:r>
              <w:rPr>
                <w:rFonts w:hint="eastAsia" w:ascii="仿宋_GB2312" w:hAnsi="Times New Roman" w:eastAsia="仿宋_GB2312" w:cs="Times New Roman"/>
                <w:b/>
                <w:color w:val="auto"/>
                <w:sz w:val="22"/>
                <w:szCs w:val="22"/>
                <w:highlight w:val="none"/>
                <w:lang w:eastAsia="zh-CN"/>
              </w:rPr>
              <w:t>（</w:t>
            </w:r>
            <w:r>
              <w:rPr>
                <w:rFonts w:hint="eastAsia" w:ascii="仿宋_GB2312" w:hAnsi="Times New Roman" w:eastAsia="仿宋_GB2312" w:cs="Times New Roman"/>
                <w:b/>
                <w:color w:val="auto"/>
                <w:sz w:val="22"/>
                <w:szCs w:val="22"/>
                <w:highlight w:val="none"/>
                <w:lang w:val="en-US" w:eastAsia="zh-CN"/>
              </w:rPr>
              <w:t>万吨</w:t>
            </w:r>
            <w:r>
              <w:rPr>
                <w:rFonts w:hint="eastAsia" w:ascii="仿宋_GB2312" w:hAnsi="Times New Roman" w:eastAsia="仿宋_GB2312" w:cs="Times New Roman"/>
                <w:b/>
                <w:color w:val="auto"/>
                <w:sz w:val="22"/>
                <w:szCs w:val="22"/>
                <w:highlight w:val="none"/>
                <w:lang w:eastAsia="zh-CN"/>
              </w:rPr>
              <w:t>）</w:t>
            </w:r>
          </w:p>
        </w:tc>
        <w:tc>
          <w:tcPr>
            <w:tcW w:w="2079" w:type="dxa"/>
            <w:noWrap w:val="0"/>
            <w:vAlign w:val="center"/>
          </w:tcPr>
          <w:p>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eastAsia" w:ascii="仿宋_GB2312" w:hAnsi="Times New Roman" w:eastAsia="仿宋_GB2312" w:cs="Times New Roman"/>
                <w:b/>
                <w:color w:val="auto"/>
                <w:kern w:val="2"/>
                <w:sz w:val="22"/>
                <w:szCs w:val="22"/>
                <w:highlight w:val="none"/>
                <w:lang w:val="en-US" w:eastAsia="zh-CN" w:bidi="ar-SA"/>
              </w:rPr>
            </w:pPr>
            <w:r>
              <w:rPr>
                <w:rFonts w:hint="eastAsia" w:ascii="仿宋_GB2312" w:hAnsi="Times New Roman" w:eastAsia="仿宋_GB2312" w:cs="Times New Roman"/>
                <w:b/>
                <w:color w:val="auto"/>
                <w:sz w:val="22"/>
                <w:szCs w:val="22"/>
                <w:highlight w:val="none"/>
                <w:lang w:val="en-US" w:eastAsia="zh-CN"/>
              </w:rPr>
              <w:t>占总量比（%）</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2715" w:type="dxa"/>
            <w:noWrap w:val="0"/>
            <w:vAlign w:val="center"/>
          </w:tcPr>
          <w:p>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eastAsia" w:ascii="仿宋_GB2312" w:hAnsi="Times New Roman" w:eastAsia="仿宋_GB2312" w:cs="Times New Roman"/>
                <w:color w:val="auto"/>
                <w:sz w:val="22"/>
                <w:szCs w:val="22"/>
                <w:highlight w:val="none"/>
              </w:rPr>
            </w:pPr>
            <w:r>
              <w:rPr>
                <w:rFonts w:hint="eastAsia" w:ascii="仿宋_GB2312" w:hAnsi="Times New Roman" w:eastAsia="仿宋_GB2312" w:cs="Times New Roman"/>
                <w:color w:val="auto"/>
                <w:sz w:val="22"/>
                <w:szCs w:val="22"/>
                <w:highlight w:val="none"/>
              </w:rPr>
              <w:t>产生量</w:t>
            </w:r>
          </w:p>
        </w:tc>
        <w:tc>
          <w:tcPr>
            <w:tcW w:w="2640"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仿宋_GB2312" w:hAnsi="Times New Roman" w:eastAsia="仿宋_GB2312" w:cs="Times New Roman"/>
                <w:color w:val="auto"/>
                <w:kern w:val="2"/>
                <w:sz w:val="22"/>
                <w:szCs w:val="22"/>
                <w:highlight w:val="none"/>
                <w:lang w:val="en-US" w:eastAsia="zh-CN" w:bidi="ar-SA"/>
              </w:rPr>
            </w:pPr>
            <w:r>
              <w:rPr>
                <w:rFonts w:hint="eastAsia" w:ascii="仿宋_GB2312" w:hAnsi="Times New Roman" w:eastAsia="仿宋_GB2312" w:cs="Times New Roman"/>
                <w:color w:val="auto"/>
                <w:sz w:val="22"/>
                <w:szCs w:val="22"/>
                <w:highlight w:val="none"/>
                <w:lang w:val="en-US" w:eastAsia="zh-CN"/>
              </w:rPr>
              <w:t>19.89</w:t>
            </w:r>
          </w:p>
        </w:tc>
        <w:tc>
          <w:tcPr>
            <w:tcW w:w="2079" w:type="dxa"/>
            <w:noWrap w:val="0"/>
            <w:vAlign w:val="center"/>
          </w:tcPr>
          <w:p>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eastAsia" w:ascii="仿宋_GB2312" w:hAnsi="Times New Roman" w:eastAsia="仿宋_GB2312" w:cs="Times New Roman"/>
                <w:color w:val="auto"/>
                <w:kern w:val="2"/>
                <w:sz w:val="22"/>
                <w:szCs w:val="22"/>
                <w:highlight w:val="none"/>
                <w:lang w:val="en-US" w:eastAsia="zh-CN" w:bidi="ar-SA"/>
              </w:rPr>
            </w:pPr>
            <w:r>
              <w:rPr>
                <w:rFonts w:hint="eastAsia" w:ascii="仿宋_GB2312" w:hAnsi="Times New Roman" w:eastAsia="仿宋_GB2312" w:cs="Times New Roman"/>
                <w:color w:val="auto"/>
                <w:kern w:val="2"/>
                <w:sz w:val="22"/>
                <w:szCs w:val="22"/>
                <w:highlight w:val="none"/>
                <w:lang w:val="en-US" w:eastAsia="zh-CN" w:bidi="ar-SA"/>
              </w:rPr>
              <w:t>—</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2715" w:type="dxa"/>
            <w:noWrap w:val="0"/>
            <w:vAlign w:val="center"/>
          </w:tcPr>
          <w:p>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default" w:ascii="仿宋_GB2312" w:hAnsi="Times New Roman" w:eastAsia="仿宋_GB2312" w:cs="Times New Roman"/>
                <w:color w:val="auto"/>
                <w:sz w:val="22"/>
                <w:szCs w:val="22"/>
                <w:highlight w:val="none"/>
                <w:lang w:val="en-US" w:eastAsia="zh-CN"/>
              </w:rPr>
            </w:pPr>
            <w:r>
              <w:rPr>
                <w:rFonts w:hint="eastAsia" w:ascii="仿宋_GB2312" w:hAnsi="Times New Roman" w:eastAsia="仿宋_GB2312" w:cs="Times New Roman"/>
                <w:color w:val="auto"/>
                <w:sz w:val="22"/>
                <w:szCs w:val="22"/>
                <w:highlight w:val="none"/>
                <w:lang w:val="en-US" w:eastAsia="zh-CN"/>
              </w:rPr>
              <w:t>利用量</w:t>
            </w:r>
          </w:p>
        </w:tc>
        <w:tc>
          <w:tcPr>
            <w:tcW w:w="2640"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仿宋_GB2312" w:hAnsi="Times New Roman" w:eastAsia="仿宋_GB2312" w:cs="Times New Roman"/>
                <w:color w:val="auto"/>
                <w:kern w:val="2"/>
                <w:sz w:val="22"/>
                <w:szCs w:val="22"/>
                <w:highlight w:val="none"/>
                <w:lang w:val="en-US" w:eastAsia="zh-CN" w:bidi="ar-SA"/>
              </w:rPr>
            </w:pPr>
            <w:r>
              <w:rPr>
                <w:rFonts w:hint="eastAsia" w:ascii="仿宋_GB2312" w:hAnsi="Times New Roman" w:eastAsia="仿宋_GB2312" w:cs="Times New Roman"/>
                <w:color w:val="auto"/>
                <w:kern w:val="2"/>
                <w:sz w:val="22"/>
                <w:szCs w:val="22"/>
                <w:highlight w:val="none"/>
                <w:lang w:val="en-US" w:eastAsia="zh-CN" w:bidi="ar-SA"/>
              </w:rPr>
              <w:t>19.78</w:t>
            </w:r>
          </w:p>
        </w:tc>
        <w:tc>
          <w:tcPr>
            <w:tcW w:w="2079" w:type="dxa"/>
            <w:noWrap w:val="0"/>
            <w:vAlign w:val="center"/>
          </w:tcPr>
          <w:p>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default" w:ascii="仿宋_GB2312" w:hAnsi="Times New Roman" w:eastAsia="仿宋_GB2312" w:cs="Times New Roman"/>
                <w:color w:val="auto"/>
                <w:kern w:val="2"/>
                <w:sz w:val="22"/>
                <w:szCs w:val="22"/>
                <w:highlight w:val="none"/>
                <w:lang w:val="en-US" w:eastAsia="zh-CN" w:bidi="ar-SA"/>
              </w:rPr>
            </w:pPr>
            <w:r>
              <w:rPr>
                <w:rFonts w:hint="eastAsia" w:ascii="仿宋_GB2312" w:hAnsi="Times New Roman" w:eastAsia="仿宋_GB2312" w:cs="Times New Roman"/>
                <w:color w:val="auto"/>
                <w:kern w:val="2"/>
                <w:sz w:val="22"/>
                <w:szCs w:val="22"/>
                <w:highlight w:val="none"/>
                <w:lang w:val="en-US" w:eastAsia="zh-CN" w:bidi="ar-SA"/>
              </w:rPr>
              <w:t>99.45%</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2715" w:type="dxa"/>
            <w:noWrap w:val="0"/>
            <w:vAlign w:val="center"/>
          </w:tcPr>
          <w:p>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eastAsia" w:ascii="仿宋_GB2312" w:hAnsi="Times New Roman" w:eastAsia="仿宋_GB2312" w:cs="Times New Roman"/>
                <w:color w:val="auto"/>
                <w:kern w:val="2"/>
                <w:sz w:val="22"/>
                <w:szCs w:val="22"/>
                <w:highlight w:val="none"/>
                <w:lang w:val="en-US" w:eastAsia="zh-CN" w:bidi="ar-SA"/>
              </w:rPr>
            </w:pPr>
            <w:r>
              <w:rPr>
                <w:rFonts w:hint="eastAsia" w:ascii="仿宋_GB2312" w:hAnsi="Times New Roman" w:eastAsia="仿宋_GB2312" w:cs="Times New Roman"/>
                <w:color w:val="auto"/>
                <w:sz w:val="22"/>
                <w:szCs w:val="22"/>
                <w:highlight w:val="none"/>
              </w:rPr>
              <w:t>处置量</w:t>
            </w:r>
          </w:p>
        </w:tc>
        <w:tc>
          <w:tcPr>
            <w:tcW w:w="2640"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仿宋_GB2312" w:hAnsi="Times New Roman" w:eastAsia="仿宋_GB2312" w:cs="Times New Roman"/>
                <w:color w:val="auto"/>
                <w:kern w:val="2"/>
                <w:sz w:val="22"/>
                <w:szCs w:val="22"/>
                <w:highlight w:val="none"/>
                <w:lang w:val="en-US" w:eastAsia="zh-CN" w:bidi="ar-SA"/>
              </w:rPr>
            </w:pPr>
            <w:r>
              <w:rPr>
                <w:rFonts w:hint="eastAsia" w:ascii="仿宋_GB2312" w:hAnsi="Times New Roman" w:eastAsia="仿宋_GB2312" w:cs="Times New Roman"/>
                <w:color w:val="auto"/>
                <w:kern w:val="2"/>
                <w:sz w:val="22"/>
                <w:szCs w:val="22"/>
                <w:highlight w:val="none"/>
                <w:lang w:val="en-US" w:eastAsia="zh-CN" w:bidi="ar-SA"/>
              </w:rPr>
              <w:t>0.96</w:t>
            </w:r>
          </w:p>
        </w:tc>
        <w:tc>
          <w:tcPr>
            <w:tcW w:w="2079" w:type="dxa"/>
            <w:noWrap w:val="0"/>
            <w:vAlign w:val="center"/>
          </w:tcPr>
          <w:p>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default" w:ascii="仿宋_GB2312" w:hAnsi="Times New Roman" w:eastAsia="仿宋_GB2312" w:cs="Times New Roman"/>
                <w:color w:val="auto"/>
                <w:kern w:val="2"/>
                <w:sz w:val="22"/>
                <w:szCs w:val="22"/>
                <w:highlight w:val="none"/>
                <w:lang w:val="en-US" w:eastAsia="zh-CN" w:bidi="ar-SA"/>
              </w:rPr>
            </w:pPr>
            <w:r>
              <w:rPr>
                <w:rFonts w:hint="eastAsia" w:ascii="仿宋_GB2312" w:hAnsi="仿宋_GB2312" w:eastAsia="仿宋_GB2312" w:cs="仿宋_GB2312"/>
                <w:color w:val="auto"/>
                <w:sz w:val="22"/>
                <w:szCs w:val="22"/>
                <w:highlight w:val="none"/>
                <w:lang w:val="en-US" w:eastAsia="zh-CN"/>
              </w:rPr>
              <w:t>4.85%</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2715" w:type="dxa"/>
            <w:noWrap w:val="0"/>
            <w:vAlign w:val="center"/>
          </w:tcPr>
          <w:p>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eastAsia" w:ascii="仿宋_GB2312" w:hAnsi="Times New Roman" w:eastAsia="仿宋_GB2312" w:cs="Times New Roman"/>
                <w:color w:val="auto"/>
                <w:sz w:val="22"/>
                <w:szCs w:val="22"/>
                <w:highlight w:val="none"/>
              </w:rPr>
            </w:pPr>
            <w:r>
              <w:rPr>
                <w:rFonts w:hint="eastAsia" w:ascii="仿宋_GB2312" w:hAnsi="Times New Roman" w:eastAsia="仿宋_GB2312" w:cs="Times New Roman"/>
                <w:color w:val="auto"/>
                <w:sz w:val="22"/>
                <w:szCs w:val="22"/>
                <w:highlight w:val="none"/>
              </w:rPr>
              <w:t>累计贮存量</w:t>
            </w:r>
          </w:p>
          <w:p>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eastAsia" w:ascii="仿宋_GB2312" w:hAnsi="Times New Roman" w:eastAsia="仿宋_GB2312" w:cs="Times New Roman"/>
                <w:color w:val="auto"/>
                <w:kern w:val="2"/>
                <w:sz w:val="22"/>
                <w:szCs w:val="22"/>
                <w:highlight w:val="none"/>
                <w:lang w:val="en-US" w:eastAsia="zh-CN" w:bidi="ar-SA"/>
              </w:rPr>
            </w:pPr>
            <w:r>
              <w:rPr>
                <w:rFonts w:hint="eastAsia" w:ascii="仿宋_GB2312" w:hAnsi="Times New Roman" w:eastAsia="仿宋_GB2312" w:cs="Times New Roman"/>
                <w:color w:val="auto"/>
                <w:sz w:val="22"/>
                <w:szCs w:val="22"/>
                <w:highlight w:val="none"/>
                <w:lang w:eastAsia="zh-CN"/>
              </w:rPr>
              <w:t>（</w:t>
            </w:r>
            <w:r>
              <w:rPr>
                <w:rFonts w:hint="eastAsia" w:ascii="仿宋_GB2312" w:hAnsi="Times New Roman" w:eastAsia="仿宋_GB2312" w:cs="Times New Roman"/>
                <w:color w:val="auto"/>
                <w:sz w:val="22"/>
                <w:szCs w:val="22"/>
                <w:highlight w:val="none"/>
                <w:lang w:val="en-US" w:eastAsia="zh-CN"/>
              </w:rPr>
              <w:t>含往年贮存量</w:t>
            </w:r>
            <w:r>
              <w:rPr>
                <w:rFonts w:hint="eastAsia" w:ascii="仿宋_GB2312" w:hAnsi="Times New Roman" w:eastAsia="仿宋_GB2312" w:cs="Times New Roman"/>
                <w:color w:val="auto"/>
                <w:sz w:val="22"/>
                <w:szCs w:val="22"/>
                <w:highlight w:val="none"/>
                <w:lang w:eastAsia="zh-CN"/>
              </w:rPr>
              <w:t>）</w:t>
            </w:r>
          </w:p>
        </w:tc>
        <w:tc>
          <w:tcPr>
            <w:tcW w:w="2640"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仿宋_GB2312" w:hAnsi="Times New Roman" w:eastAsia="仿宋_GB2312" w:cs="Times New Roman"/>
                <w:color w:val="auto"/>
                <w:kern w:val="2"/>
                <w:sz w:val="22"/>
                <w:szCs w:val="22"/>
                <w:highlight w:val="none"/>
                <w:lang w:val="en-US" w:eastAsia="zh-CN" w:bidi="ar-SA"/>
              </w:rPr>
            </w:pPr>
            <w:r>
              <w:rPr>
                <w:rFonts w:hint="eastAsia" w:ascii="仿宋_GB2312" w:hAnsi="宋体" w:eastAsia="仿宋_GB2312" w:cs="仿宋_GB2312"/>
                <w:i w:val="0"/>
                <w:color w:val="auto"/>
                <w:kern w:val="0"/>
                <w:sz w:val="22"/>
                <w:szCs w:val="22"/>
                <w:highlight w:val="none"/>
                <w:u w:val="none"/>
                <w:lang w:val="en-US" w:eastAsia="zh-CN" w:bidi="ar"/>
              </w:rPr>
              <w:t>0.09</w:t>
            </w:r>
          </w:p>
        </w:tc>
        <w:tc>
          <w:tcPr>
            <w:tcW w:w="2079" w:type="dxa"/>
            <w:noWrap w:val="0"/>
            <w:vAlign w:val="center"/>
          </w:tcPr>
          <w:p>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eastAsia" w:ascii="仿宋_GB2312" w:hAnsi="Times New Roman" w:eastAsia="仿宋_GB2312" w:cs="Times New Roman"/>
                <w:color w:val="auto"/>
                <w:kern w:val="2"/>
                <w:sz w:val="22"/>
                <w:szCs w:val="22"/>
                <w:highlight w:val="none"/>
                <w:lang w:val="en-US" w:eastAsia="zh-CN" w:bidi="ar-SA"/>
              </w:rPr>
            </w:pPr>
            <w:r>
              <w:rPr>
                <w:rFonts w:hint="eastAsia" w:ascii="仿宋_GB2312" w:hAnsi="Times New Roman" w:eastAsia="仿宋_GB2312" w:cs="Times New Roman"/>
                <w:color w:val="auto"/>
                <w:kern w:val="2"/>
                <w:sz w:val="22"/>
                <w:szCs w:val="22"/>
                <w:highlight w:val="none"/>
                <w:lang w:val="en-US" w:eastAsia="zh-CN" w:bidi="ar-SA"/>
              </w:rPr>
              <w:t>—</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2715" w:type="dxa"/>
            <w:noWrap w:val="0"/>
            <w:vAlign w:val="center"/>
          </w:tcPr>
          <w:p>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eastAsia" w:ascii="仿宋_GB2312" w:hAnsi="Times New Roman" w:eastAsia="仿宋_GB2312" w:cs="Times New Roman"/>
                <w:color w:val="auto"/>
                <w:kern w:val="2"/>
                <w:sz w:val="22"/>
                <w:szCs w:val="22"/>
                <w:highlight w:val="none"/>
                <w:lang w:val="en-US" w:eastAsia="zh-CN" w:bidi="ar-SA"/>
              </w:rPr>
            </w:pPr>
            <w:r>
              <w:rPr>
                <w:rFonts w:hint="eastAsia" w:ascii="仿宋_GB2312" w:hAnsi="Times New Roman" w:eastAsia="仿宋_GB2312" w:cs="Times New Roman"/>
                <w:color w:val="auto"/>
                <w:sz w:val="22"/>
                <w:szCs w:val="22"/>
                <w:highlight w:val="none"/>
              </w:rPr>
              <w:t>排放量</w:t>
            </w:r>
          </w:p>
        </w:tc>
        <w:tc>
          <w:tcPr>
            <w:tcW w:w="2640"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仿宋_GB2312" w:hAnsi="Times New Roman" w:eastAsia="仿宋_GB2312" w:cs="Times New Roman"/>
                <w:color w:val="auto"/>
                <w:kern w:val="2"/>
                <w:sz w:val="22"/>
                <w:szCs w:val="22"/>
                <w:highlight w:val="none"/>
                <w:lang w:val="en-US" w:eastAsia="zh-CN" w:bidi="ar-SA"/>
              </w:rPr>
            </w:pPr>
            <w:r>
              <w:rPr>
                <w:rFonts w:hint="eastAsia" w:ascii="仿宋_GB2312" w:hAnsi="Times New Roman" w:eastAsia="仿宋_GB2312" w:cs="Times New Roman"/>
                <w:color w:val="auto"/>
                <w:sz w:val="22"/>
                <w:szCs w:val="22"/>
                <w:highlight w:val="none"/>
                <w:lang w:val="en-US" w:eastAsia="zh-CN"/>
              </w:rPr>
              <w:t>0</w:t>
            </w:r>
          </w:p>
        </w:tc>
        <w:tc>
          <w:tcPr>
            <w:tcW w:w="2079" w:type="dxa"/>
            <w:noWrap w:val="0"/>
            <w:vAlign w:val="center"/>
          </w:tcPr>
          <w:p>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eastAsia" w:ascii="仿宋_GB2312" w:hAnsi="Times New Roman" w:eastAsia="仿宋_GB2312" w:cs="Times New Roman"/>
                <w:color w:val="auto"/>
                <w:kern w:val="2"/>
                <w:sz w:val="22"/>
                <w:szCs w:val="22"/>
                <w:highlight w:val="none"/>
                <w:lang w:val="en-US" w:eastAsia="zh-CN" w:bidi="ar-SA"/>
              </w:rPr>
            </w:pPr>
            <w:r>
              <w:rPr>
                <w:rFonts w:hint="eastAsia" w:ascii="仿宋_GB2312" w:hAnsi="仿宋_GB2312" w:eastAsia="仿宋_GB2312" w:cs="仿宋_GB2312"/>
                <w:color w:val="auto"/>
                <w:sz w:val="22"/>
                <w:szCs w:val="22"/>
                <w:highlight w:val="none"/>
                <w:lang w:val="en-US" w:eastAsia="zh-CN"/>
              </w:rPr>
              <w:t>0</w:t>
            </w:r>
          </w:p>
        </w:tc>
      </w:tr>
    </w:tbl>
    <w:p>
      <w:pPr>
        <w:keepNext w:val="0"/>
        <w:keepLines w:val="0"/>
        <w:pageBreakBefore w:val="0"/>
        <w:widowControl w:val="0"/>
        <w:kinsoku/>
        <w:wordWrap/>
        <w:overflowPunct/>
        <w:topLinePunct w:val="0"/>
        <w:autoSpaceDE/>
        <w:autoSpaceDN/>
        <w:bidi w:val="0"/>
        <w:adjustRightInd/>
        <w:snapToGrid/>
        <w:spacing w:line="578" w:lineRule="exact"/>
        <w:ind w:firstLine="643" w:firstLineChars="200"/>
        <w:textAlignment w:val="auto"/>
        <w:rPr>
          <w:rFonts w:hint="eastAsia" w:ascii="仿宋_GB2312" w:hAnsi="仿宋_GB2312" w:eastAsia="仿宋_GB2312" w:cs="仿宋_GB2312"/>
          <w:b/>
          <w:bCs/>
          <w:sz w:val="32"/>
          <w:szCs w:val="32"/>
          <w:highlight w:val="none"/>
          <w:lang w:val="en-US" w:eastAsia="zh-CN"/>
        </w:rPr>
      </w:pPr>
      <w:r>
        <w:rPr>
          <w:rFonts w:hint="eastAsia" w:ascii="仿宋_GB2312" w:hAnsi="仿宋_GB2312" w:eastAsia="仿宋_GB2312" w:cs="仿宋_GB2312"/>
          <w:b/>
          <w:bCs/>
          <w:sz w:val="32"/>
          <w:szCs w:val="32"/>
          <w:highlight w:val="none"/>
          <w:lang w:val="en-US" w:eastAsia="zh-CN"/>
        </w:rPr>
        <w:t>2.行业产生情况</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2025年，本市危险废物产生量排名前五的行业依次为：制造业190149.49吨；电力、热力、燃气及水生产和供应业5344.44吨；水利、环境和公共设施管理业2136.38吨；信息传输、软件和信息技术服务业322.52吨；采矿业287.19吨，分别占全市危险废物产生总量的95.55%、2.69%、1.07%、0.16%、0.14%。</w:t>
      </w:r>
    </w:p>
    <w:p>
      <w:pPr>
        <w:jc w:val="center"/>
        <w:rPr>
          <w:rFonts w:hint="default" w:ascii="Times New Roman" w:hAnsi="Times New Roman" w:eastAsia="宋体" w:cs="Times New Roman"/>
          <w:highlight w:val="none"/>
          <w:lang w:val="en-US" w:eastAsia="zh-CN"/>
        </w:rPr>
      </w:pPr>
      <w:r>
        <w:rPr>
          <w:highlight w:val="none"/>
        </w:rPr>
        <w:drawing>
          <wp:inline distT="0" distB="0" distL="114300" distR="114300">
            <wp:extent cx="4292600" cy="2481580"/>
            <wp:effectExtent l="4445" t="4445" r="8255" b="9525"/>
            <wp:docPr id="4" name="图表 3"/>
            <wp:cNvGraphicFramePr/>
            <a:graphic xmlns:a="http://schemas.openxmlformats.org/drawingml/2006/main">
              <a:graphicData uri="http://schemas.openxmlformats.org/drawingml/2006/chart">
                <c:chart xmlns:c="http://schemas.openxmlformats.org/drawingml/2006/chart" xmlns:r="http://schemas.openxmlformats.org/officeDocument/2006/relationships" r:id="rId5"/>
              </a:graphicData>
            </a:graphic>
          </wp:inline>
        </w:drawing>
      </w:r>
    </w:p>
    <w:p>
      <w:pPr>
        <w:keepNext w:val="0"/>
        <w:keepLines w:val="0"/>
        <w:pageBreakBefore w:val="0"/>
        <w:kinsoku/>
        <w:wordWrap/>
        <w:overflowPunct/>
        <w:topLinePunct w:val="0"/>
        <w:autoSpaceDE/>
        <w:autoSpaceDN/>
        <w:bidi w:val="0"/>
        <w:adjustRightInd/>
        <w:snapToGrid/>
        <w:jc w:val="center"/>
        <w:rPr>
          <w:rFonts w:hint="eastAsia" w:ascii="楷体_GB2312" w:hAnsi="楷体_GB2312" w:eastAsia="楷体_GB2312" w:cs="楷体_GB2312"/>
          <w:sz w:val="32"/>
          <w:szCs w:val="32"/>
          <w:highlight w:val="none"/>
          <w:lang w:val="en-US" w:eastAsia="zh-CN"/>
        </w:rPr>
      </w:pPr>
      <w:r>
        <w:rPr>
          <w:rFonts w:hint="eastAsia" w:ascii="仿宋_GB2312" w:hAnsi="Times New Roman" w:eastAsia="仿宋_GB2312" w:cs="Times New Roman"/>
          <w:b/>
          <w:color w:val="auto"/>
          <w:sz w:val="24"/>
          <w:szCs w:val="24"/>
          <w:highlight w:val="none"/>
          <w:lang w:val="en-US" w:eastAsia="zh-CN"/>
        </w:rPr>
        <w:t>图1 本市主要行业危险废物产生情况</w:t>
      </w:r>
    </w:p>
    <w:p>
      <w:pPr>
        <w:keepNext w:val="0"/>
        <w:keepLines w:val="0"/>
        <w:pageBreakBefore w:val="0"/>
        <w:widowControl w:val="0"/>
        <w:kinsoku/>
        <w:wordWrap/>
        <w:overflowPunct/>
        <w:topLinePunct w:val="0"/>
        <w:autoSpaceDE/>
        <w:autoSpaceDN/>
        <w:bidi w:val="0"/>
        <w:adjustRightInd/>
        <w:snapToGrid/>
        <w:spacing w:line="578" w:lineRule="exact"/>
        <w:ind w:firstLine="643" w:firstLineChars="200"/>
        <w:textAlignment w:val="auto"/>
        <w:rPr>
          <w:rFonts w:hint="eastAsia" w:ascii="仿宋_GB2312" w:hAnsi="仿宋_GB2312" w:eastAsia="仿宋_GB2312" w:cs="仿宋_GB2312"/>
          <w:b/>
          <w:bCs/>
          <w:sz w:val="32"/>
          <w:szCs w:val="32"/>
          <w:highlight w:val="none"/>
          <w:lang w:val="en-US" w:eastAsia="zh-CN"/>
        </w:rPr>
      </w:pPr>
      <w:r>
        <w:rPr>
          <w:rFonts w:hint="eastAsia" w:ascii="仿宋_GB2312" w:hAnsi="仿宋_GB2312" w:eastAsia="仿宋_GB2312" w:cs="仿宋_GB2312"/>
          <w:b/>
          <w:bCs/>
          <w:sz w:val="32"/>
          <w:szCs w:val="32"/>
          <w:highlight w:val="none"/>
          <w:lang w:val="en-US" w:eastAsia="zh-CN"/>
        </w:rPr>
        <w:t>3.主要产生种类</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2025年，主要危险废物产生种类排名前5位的为：HW11精（蒸）馏残渣179693.24</w:t>
      </w:r>
      <w:r>
        <w:rPr>
          <w:rFonts w:hint="eastAsia" w:ascii="仿宋_GB2312" w:hAnsi="仿宋_GB2312" w:eastAsia="仿宋_GB2312" w:cs="仿宋_GB2312"/>
          <w:sz w:val="32"/>
          <w:szCs w:val="32"/>
          <w:highlight w:val="none"/>
          <w:lang w:val="en-US" w:eastAsia="zh-CN"/>
        </w:rPr>
        <w:tab/>
      </w:r>
      <w:r>
        <w:rPr>
          <w:rFonts w:hint="eastAsia" w:ascii="仿宋_GB2312" w:hAnsi="仿宋_GB2312" w:eastAsia="仿宋_GB2312" w:cs="仿宋_GB2312"/>
          <w:sz w:val="32"/>
          <w:szCs w:val="32"/>
          <w:highlight w:val="none"/>
          <w:lang w:val="en-US" w:eastAsia="zh-CN"/>
        </w:rPr>
        <w:t>吨，HW23含锌废物5028.88吨，HW18焚烧处置残渣4437.21吨，HW08废矿物油与含矿物油废物3181.40吨，HW31含铅废物2593.74吨，分别占全市危险废物产生量的90.30%、2.53%、2.23%、1.60%、1.30%。</w:t>
      </w:r>
    </w:p>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仿宋_GB2312" w:hAnsi="仿宋_GB2312" w:eastAsia="仿宋_GB2312" w:cs="仿宋_GB2312"/>
          <w:b/>
          <w:bCs/>
          <w:color w:val="auto"/>
          <w:sz w:val="24"/>
          <w:szCs w:val="24"/>
          <w:highlight w:val="none"/>
          <w:lang w:eastAsia="zh-CN"/>
        </w:rPr>
      </w:pPr>
      <w:r>
        <w:rPr>
          <w:highlight w:val="none"/>
        </w:rPr>
        <w:drawing>
          <wp:inline distT="0" distB="0" distL="114300" distR="114300">
            <wp:extent cx="4826000" cy="2743200"/>
            <wp:effectExtent l="4445" t="4445" r="8255" b="14605"/>
            <wp:docPr id="6" name="图表 5"/>
            <wp:cNvGraphicFramePr/>
            <a:graphic xmlns:a="http://schemas.openxmlformats.org/drawingml/2006/main">
              <a:graphicData uri="http://schemas.openxmlformats.org/drawingml/2006/chart">
                <c:chart xmlns:c="http://schemas.openxmlformats.org/drawingml/2006/chart" xmlns:r="http://schemas.openxmlformats.org/officeDocument/2006/relationships" r:id="rId6"/>
              </a:graphicData>
            </a:graphic>
          </wp:inline>
        </w:drawing>
      </w:r>
    </w:p>
    <w:p>
      <w:pPr>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default" w:ascii="仿宋_GB2312" w:hAnsi="仿宋_GB2312" w:eastAsia="仿宋_GB2312" w:cs="仿宋_GB2312"/>
          <w:b/>
          <w:bCs/>
          <w:color w:val="auto"/>
          <w:sz w:val="24"/>
          <w:szCs w:val="24"/>
          <w:highlight w:val="none"/>
          <w:lang w:val="en-US" w:eastAsia="zh-CN"/>
        </w:rPr>
      </w:pPr>
      <w:r>
        <w:rPr>
          <w:rFonts w:hint="eastAsia" w:ascii="仿宋_GB2312" w:hAnsi="仿宋_GB2312" w:eastAsia="仿宋_GB2312" w:cs="仿宋_GB2312"/>
          <w:b/>
          <w:bCs/>
          <w:color w:val="auto"/>
          <w:sz w:val="24"/>
          <w:szCs w:val="24"/>
          <w:highlight w:val="none"/>
          <w:lang w:val="en-US" w:eastAsia="zh-CN"/>
        </w:rPr>
        <w:t>图2 主要产生种类及占比</w:t>
      </w:r>
    </w:p>
    <w:p>
      <w:pPr>
        <w:keepNext w:val="0"/>
        <w:keepLines w:val="0"/>
        <w:pageBreakBefore w:val="0"/>
        <w:widowControl w:val="0"/>
        <w:kinsoku/>
        <w:wordWrap/>
        <w:overflowPunct/>
        <w:topLinePunct w:val="0"/>
        <w:autoSpaceDE/>
        <w:autoSpaceDN/>
        <w:bidi w:val="0"/>
        <w:adjustRightInd/>
        <w:snapToGrid/>
        <w:spacing w:line="578" w:lineRule="exact"/>
        <w:ind w:firstLine="643" w:firstLineChars="200"/>
        <w:textAlignment w:val="auto"/>
        <w:rPr>
          <w:rFonts w:hint="eastAsia" w:ascii="仿宋_GB2312" w:hAnsi="仿宋_GB2312" w:eastAsia="仿宋_GB2312" w:cs="仿宋_GB2312"/>
          <w:b/>
          <w:bCs/>
          <w:sz w:val="32"/>
          <w:szCs w:val="32"/>
          <w:highlight w:val="none"/>
          <w:lang w:val="en-US" w:eastAsia="zh-CN"/>
        </w:rPr>
      </w:pPr>
      <w:r>
        <w:rPr>
          <w:rFonts w:hint="eastAsia" w:ascii="仿宋_GB2312" w:hAnsi="仿宋_GB2312" w:eastAsia="仿宋_GB2312" w:cs="仿宋_GB2312"/>
          <w:b/>
          <w:bCs/>
          <w:sz w:val="32"/>
          <w:szCs w:val="32"/>
          <w:highlight w:val="none"/>
          <w:lang w:val="en-US" w:eastAsia="zh-CN"/>
        </w:rPr>
        <w:t>4.危险废物转移情况</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202</w:t>
      </w:r>
      <w:r>
        <w:rPr>
          <w:rFonts w:hint="eastAsia" w:ascii="仿宋_GB2312" w:hAnsi="仿宋_GB2312" w:eastAsia="仿宋_GB2312" w:cs="仿宋_GB2312"/>
          <w:sz w:val="32"/>
          <w:szCs w:val="32"/>
          <w:highlight w:val="none"/>
          <w:lang w:val="en-US" w:eastAsia="zh-CN"/>
        </w:rPr>
        <w:t>5</w:t>
      </w:r>
      <w:r>
        <w:rPr>
          <w:rFonts w:hint="eastAsia" w:ascii="仿宋_GB2312" w:hAnsi="仿宋_GB2312" w:eastAsia="仿宋_GB2312" w:cs="仿宋_GB2312"/>
          <w:sz w:val="32"/>
          <w:szCs w:val="32"/>
          <w:highlight w:val="none"/>
        </w:rPr>
        <w:t>年，本市运行危险废物联单转移量</w:t>
      </w:r>
      <w:r>
        <w:rPr>
          <w:rFonts w:hint="eastAsia" w:ascii="仿宋_GB2312" w:hAnsi="仿宋_GB2312" w:eastAsia="仿宋_GB2312" w:cs="仿宋_GB2312"/>
          <w:sz w:val="32"/>
          <w:szCs w:val="32"/>
          <w:highlight w:val="none"/>
          <w:lang w:val="en-US" w:eastAsia="zh-CN"/>
        </w:rPr>
        <w:t>15.53</w:t>
      </w:r>
      <w:r>
        <w:rPr>
          <w:rFonts w:hint="eastAsia" w:ascii="仿宋_GB2312" w:hAnsi="仿宋_GB2312" w:eastAsia="仿宋_GB2312" w:cs="仿宋_GB2312"/>
          <w:sz w:val="32"/>
          <w:szCs w:val="32"/>
          <w:highlight w:val="none"/>
        </w:rPr>
        <w:t>万吨，其中转入本市</w:t>
      </w:r>
      <w:r>
        <w:rPr>
          <w:rFonts w:hint="eastAsia" w:ascii="仿宋_GB2312" w:hAnsi="仿宋_GB2312" w:eastAsia="仿宋_GB2312" w:cs="仿宋_GB2312"/>
          <w:sz w:val="32"/>
          <w:szCs w:val="32"/>
          <w:highlight w:val="none"/>
          <w:lang w:val="en-US" w:eastAsia="zh-CN"/>
        </w:rPr>
        <w:t>0.59</w:t>
      </w:r>
      <w:r>
        <w:rPr>
          <w:rFonts w:hint="eastAsia" w:ascii="仿宋_GB2312" w:hAnsi="仿宋_GB2312" w:eastAsia="仿宋_GB2312" w:cs="仿宋_GB2312"/>
          <w:sz w:val="32"/>
          <w:szCs w:val="32"/>
          <w:highlight w:val="none"/>
        </w:rPr>
        <w:t>万吨，移出本市</w:t>
      </w:r>
      <w:r>
        <w:rPr>
          <w:rFonts w:hint="eastAsia" w:ascii="仿宋_GB2312" w:hAnsi="仿宋_GB2312" w:eastAsia="仿宋_GB2312" w:cs="仿宋_GB2312"/>
          <w:sz w:val="32"/>
          <w:szCs w:val="32"/>
          <w:highlight w:val="none"/>
          <w:lang w:val="en-US" w:eastAsia="zh-CN"/>
        </w:rPr>
        <w:t>7.34</w:t>
      </w:r>
      <w:r>
        <w:rPr>
          <w:rFonts w:hint="eastAsia" w:ascii="仿宋_GB2312" w:hAnsi="仿宋_GB2312" w:eastAsia="仿宋_GB2312" w:cs="仿宋_GB2312"/>
          <w:sz w:val="32"/>
          <w:szCs w:val="32"/>
          <w:highlight w:val="none"/>
        </w:rPr>
        <w:t>万吨</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lang w:val="en-US" w:eastAsia="zh-CN"/>
        </w:rPr>
        <w:t>其余为市内转运</w:t>
      </w:r>
      <w:r>
        <w:rPr>
          <w:rFonts w:hint="eastAsia" w:ascii="仿宋_GB2312" w:hAnsi="仿宋_GB2312" w:eastAsia="仿宋_GB2312" w:cs="仿宋_GB2312"/>
          <w:sz w:val="32"/>
          <w:szCs w:val="32"/>
          <w:highlight w:val="none"/>
        </w:rPr>
        <w:t>。</w:t>
      </w:r>
    </w:p>
    <w:p>
      <w:pPr>
        <w:keepNext w:val="0"/>
        <w:keepLines w:val="0"/>
        <w:pageBreakBefore w:val="0"/>
        <w:widowControl w:val="0"/>
        <w:kinsoku/>
        <w:wordWrap/>
        <w:overflowPunct/>
        <w:topLinePunct w:val="0"/>
        <w:autoSpaceDE/>
        <w:autoSpaceDN/>
        <w:bidi w:val="0"/>
        <w:adjustRightInd/>
        <w:snapToGrid/>
        <w:spacing w:line="578" w:lineRule="exact"/>
        <w:ind w:firstLine="643" w:firstLineChars="200"/>
        <w:textAlignment w:val="auto"/>
        <w:rPr>
          <w:rFonts w:hint="eastAsia" w:ascii="仿宋_GB2312" w:hAnsi="仿宋_GB2312" w:eastAsia="仿宋_GB2312" w:cs="仿宋_GB2312"/>
          <w:b/>
          <w:bCs/>
          <w:sz w:val="32"/>
          <w:szCs w:val="32"/>
          <w:highlight w:val="none"/>
          <w:lang w:val="en-US" w:eastAsia="zh-CN"/>
        </w:rPr>
      </w:pPr>
      <w:r>
        <w:rPr>
          <w:rFonts w:hint="eastAsia" w:ascii="仿宋_GB2312" w:hAnsi="仿宋_GB2312" w:eastAsia="仿宋_GB2312" w:cs="仿宋_GB2312"/>
          <w:b/>
          <w:bCs/>
          <w:sz w:val="32"/>
          <w:szCs w:val="32"/>
          <w:highlight w:val="none"/>
          <w:lang w:val="en-US" w:eastAsia="zh-CN"/>
        </w:rPr>
        <w:t>5.危险废物许可证颁发情况</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202</w:t>
      </w:r>
      <w:r>
        <w:rPr>
          <w:rFonts w:hint="eastAsia" w:ascii="仿宋_GB2312" w:hAnsi="仿宋_GB2312" w:eastAsia="仿宋_GB2312" w:cs="仿宋_GB2312"/>
          <w:sz w:val="32"/>
          <w:szCs w:val="32"/>
          <w:highlight w:val="none"/>
          <w:lang w:val="en-US" w:eastAsia="zh-CN"/>
        </w:rPr>
        <w:t>5</w:t>
      </w:r>
      <w:r>
        <w:rPr>
          <w:rFonts w:hint="eastAsia" w:ascii="仿宋_GB2312" w:hAnsi="仿宋_GB2312" w:eastAsia="仿宋_GB2312" w:cs="仿宋_GB2312"/>
          <w:sz w:val="32"/>
          <w:szCs w:val="32"/>
          <w:highlight w:val="none"/>
        </w:rPr>
        <w:t>年，本市共有</w:t>
      </w:r>
      <w:r>
        <w:rPr>
          <w:rFonts w:hint="eastAsia" w:ascii="仿宋_GB2312" w:hAnsi="仿宋_GB2312" w:eastAsia="仿宋_GB2312" w:cs="仿宋_GB2312"/>
          <w:sz w:val="32"/>
          <w:szCs w:val="32"/>
          <w:highlight w:val="none"/>
          <w:lang w:val="en-US" w:eastAsia="zh-CN"/>
        </w:rPr>
        <w:t>8</w:t>
      </w:r>
      <w:r>
        <w:rPr>
          <w:rFonts w:hint="eastAsia" w:ascii="仿宋_GB2312" w:hAnsi="仿宋_GB2312" w:eastAsia="仿宋_GB2312" w:cs="仿宋_GB2312"/>
          <w:sz w:val="32"/>
          <w:szCs w:val="32"/>
          <w:highlight w:val="none"/>
        </w:rPr>
        <w:t>家危险废物</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含医疗废物</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许可证持证单位</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lang w:val="en-US" w:eastAsia="zh-CN"/>
        </w:rPr>
        <w:t>含新发证单位</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，核准收集、利用、处置、贮存危险废物种类为HW0</w:t>
      </w:r>
      <w:r>
        <w:rPr>
          <w:rFonts w:hint="eastAsia" w:ascii="仿宋_GB2312" w:hAnsi="仿宋_GB2312" w:eastAsia="仿宋_GB2312" w:cs="仿宋_GB2312"/>
          <w:sz w:val="32"/>
          <w:szCs w:val="32"/>
          <w:highlight w:val="none"/>
          <w:lang w:val="en-US" w:eastAsia="zh-CN"/>
        </w:rPr>
        <w:t>1、</w:t>
      </w:r>
      <w:r>
        <w:rPr>
          <w:rFonts w:hint="eastAsia" w:ascii="仿宋_GB2312" w:hAnsi="仿宋_GB2312" w:eastAsia="仿宋_GB2312" w:cs="仿宋_GB2312"/>
          <w:sz w:val="32"/>
          <w:szCs w:val="32"/>
          <w:highlight w:val="none"/>
        </w:rPr>
        <w:t>HW0</w:t>
      </w:r>
      <w:r>
        <w:rPr>
          <w:rFonts w:hint="eastAsia" w:ascii="仿宋_GB2312" w:hAnsi="仿宋_GB2312" w:eastAsia="仿宋_GB2312" w:cs="仿宋_GB2312"/>
          <w:sz w:val="32"/>
          <w:szCs w:val="32"/>
          <w:highlight w:val="none"/>
          <w:lang w:val="en-US" w:eastAsia="zh-CN"/>
        </w:rPr>
        <w:t>8</w:t>
      </w:r>
      <w:r>
        <w:rPr>
          <w:rFonts w:hint="eastAsia" w:ascii="仿宋_GB2312" w:hAnsi="仿宋_GB2312" w:eastAsia="仿宋_GB2312" w:cs="仿宋_GB2312"/>
          <w:sz w:val="32"/>
          <w:szCs w:val="32"/>
          <w:highlight w:val="none"/>
        </w:rPr>
        <w:t>、HW</w:t>
      </w:r>
      <w:r>
        <w:rPr>
          <w:rFonts w:hint="eastAsia" w:ascii="仿宋_GB2312" w:hAnsi="仿宋_GB2312" w:eastAsia="仿宋_GB2312" w:cs="仿宋_GB2312"/>
          <w:sz w:val="32"/>
          <w:szCs w:val="32"/>
          <w:highlight w:val="none"/>
          <w:lang w:val="en-US" w:eastAsia="zh-CN"/>
        </w:rPr>
        <w:t>11</w:t>
      </w:r>
      <w:r>
        <w:rPr>
          <w:rFonts w:hint="eastAsia" w:ascii="仿宋_GB2312" w:hAnsi="仿宋_GB2312" w:eastAsia="仿宋_GB2312" w:cs="仿宋_GB2312"/>
          <w:sz w:val="32"/>
          <w:szCs w:val="32"/>
          <w:highlight w:val="none"/>
        </w:rPr>
        <w:t>，核准收集、利用、处置、贮存能力达到</w:t>
      </w:r>
      <w:r>
        <w:rPr>
          <w:rFonts w:hint="eastAsia" w:ascii="仿宋_GB2312" w:hAnsi="仿宋_GB2312" w:eastAsia="仿宋_GB2312" w:cs="仿宋_GB2312"/>
          <w:sz w:val="32"/>
          <w:szCs w:val="32"/>
          <w:highlight w:val="none"/>
          <w:lang w:val="en-US" w:eastAsia="zh-CN"/>
        </w:rPr>
        <w:t>53460</w:t>
      </w:r>
      <w:r>
        <w:rPr>
          <w:rFonts w:hint="eastAsia" w:ascii="仿宋_GB2312" w:hAnsi="仿宋_GB2312" w:eastAsia="仿宋_GB2312" w:cs="仿宋_GB2312"/>
          <w:sz w:val="32"/>
          <w:szCs w:val="32"/>
          <w:highlight w:val="none"/>
        </w:rPr>
        <w:t>吨/年。</w:t>
      </w:r>
    </w:p>
    <w:p>
      <w:pPr>
        <w:keepNext w:val="0"/>
        <w:keepLines w:val="0"/>
        <w:pageBreakBefore w:val="0"/>
        <w:kinsoku/>
        <w:wordWrap/>
        <w:overflowPunct/>
        <w:topLinePunct w:val="0"/>
        <w:autoSpaceDE/>
        <w:autoSpaceDN/>
        <w:bidi w:val="0"/>
        <w:adjustRightInd/>
        <w:snapToGrid/>
        <w:jc w:val="center"/>
        <w:rPr>
          <w:rFonts w:hint="eastAsia" w:ascii="宋体" w:hAnsi="宋体" w:eastAsia="宋体" w:cs="宋体"/>
          <w:b/>
          <w:color w:val="auto"/>
          <w:sz w:val="24"/>
          <w:szCs w:val="24"/>
          <w:highlight w:val="none"/>
          <w:lang w:val="en-US" w:eastAsia="zh-CN"/>
        </w:rPr>
      </w:pPr>
    </w:p>
    <w:p>
      <w:pPr>
        <w:keepNext w:val="0"/>
        <w:keepLines w:val="0"/>
        <w:pageBreakBefore w:val="0"/>
        <w:kinsoku/>
        <w:wordWrap/>
        <w:overflowPunct/>
        <w:topLinePunct w:val="0"/>
        <w:autoSpaceDE/>
        <w:autoSpaceDN/>
        <w:bidi w:val="0"/>
        <w:adjustRightInd/>
        <w:snapToGrid/>
        <w:jc w:val="center"/>
        <w:rPr>
          <w:rFonts w:hint="eastAsia" w:ascii="宋体" w:hAnsi="宋体" w:eastAsia="宋体" w:cs="宋体"/>
          <w:b/>
          <w:color w:val="auto"/>
          <w:sz w:val="24"/>
          <w:szCs w:val="24"/>
          <w:highlight w:val="none"/>
          <w:lang w:val="en-US" w:eastAsia="zh-CN"/>
        </w:rPr>
      </w:pPr>
      <w:r>
        <w:rPr>
          <w:rFonts w:hint="eastAsia" w:ascii="宋体" w:hAnsi="宋体" w:eastAsia="宋体" w:cs="宋体"/>
          <w:b/>
          <w:color w:val="auto"/>
          <w:sz w:val="24"/>
          <w:szCs w:val="24"/>
          <w:highlight w:val="none"/>
          <w:lang w:val="en-US" w:eastAsia="zh-CN"/>
        </w:rPr>
        <w:t>表4 本溪市危险废物经营单位统计明细</w:t>
      </w:r>
    </w:p>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highlight w:val="none"/>
        </w:rPr>
      </w:pPr>
      <w:r>
        <w:rPr>
          <w:highlight w:val="none"/>
        </w:rPr>
        <w:drawing>
          <wp:inline distT="0" distB="0" distL="114300" distR="114300">
            <wp:extent cx="5490845" cy="2373630"/>
            <wp:effectExtent l="0" t="0" r="8255" b="127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pic:cNvPicPr>
                  </pic:nvPicPr>
                  <pic:blipFill>
                    <a:blip r:embed="rId7"/>
                    <a:srcRect t="10936"/>
                    <a:stretch>
                      <a:fillRect/>
                    </a:stretch>
                  </pic:blipFill>
                  <pic:spPr>
                    <a:xfrm>
                      <a:off x="0" y="0"/>
                      <a:ext cx="5490845" cy="2373630"/>
                    </a:xfrm>
                    <a:prstGeom prst="rect">
                      <a:avLst/>
                    </a:prstGeom>
                    <a:noFill/>
                    <a:ln>
                      <a:noFill/>
                    </a:ln>
                  </pic:spPr>
                </pic:pic>
              </a:graphicData>
            </a:graphic>
          </wp:inline>
        </w:drawing>
      </w:r>
    </w:p>
    <w:p>
      <w:pPr>
        <w:keepNext w:val="0"/>
        <w:keepLines w:val="0"/>
        <w:pageBreakBefore w:val="0"/>
        <w:widowControl w:val="0"/>
        <w:kinsoku/>
        <w:wordWrap/>
        <w:overflowPunct/>
        <w:topLinePunct w:val="0"/>
        <w:autoSpaceDE/>
        <w:autoSpaceDN/>
        <w:bidi w:val="0"/>
        <w:adjustRightInd/>
        <w:snapToGrid/>
        <w:spacing w:line="578" w:lineRule="exact"/>
        <w:ind w:firstLine="643" w:firstLineChars="200"/>
        <w:textAlignment w:val="auto"/>
        <w:rPr>
          <w:rFonts w:hint="eastAsia" w:ascii="仿宋_GB2312" w:hAnsi="仿宋_GB2312" w:eastAsia="仿宋_GB2312" w:cs="仿宋_GB2312"/>
          <w:b/>
          <w:bCs/>
          <w:sz w:val="32"/>
          <w:szCs w:val="32"/>
          <w:highlight w:val="none"/>
          <w:lang w:val="en-US" w:eastAsia="zh-CN"/>
        </w:rPr>
      </w:pPr>
      <w:r>
        <w:rPr>
          <w:rFonts w:hint="eastAsia" w:ascii="仿宋_GB2312" w:hAnsi="仿宋_GB2312" w:eastAsia="仿宋_GB2312" w:cs="仿宋_GB2312"/>
          <w:b/>
          <w:bCs/>
          <w:sz w:val="32"/>
          <w:szCs w:val="32"/>
          <w:highlight w:val="none"/>
          <w:lang w:val="en-US" w:eastAsia="zh-CN"/>
        </w:rPr>
        <w:t>6.危险废物自行利用情况</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_GB2312" w:hAnsi="仿宋_GB2312" w:eastAsia="仿宋_GB2312" w:cs="仿宋_GB2312"/>
          <w:sz w:val="32"/>
          <w:szCs w:val="32"/>
          <w:highlight w:val="none"/>
          <w:lang w:val="en-US" w:eastAsia="zh-CN"/>
        </w:rPr>
      </w:pPr>
      <w:r>
        <w:rPr>
          <w:rFonts w:hint="default" w:ascii="仿宋_GB2312" w:hAnsi="仿宋_GB2312" w:eastAsia="仿宋_GB2312" w:cs="仿宋_GB2312"/>
          <w:sz w:val="32"/>
          <w:szCs w:val="32"/>
          <w:highlight w:val="none"/>
          <w:lang w:val="en-US" w:eastAsia="zh-CN"/>
        </w:rPr>
        <w:t>202</w:t>
      </w:r>
      <w:r>
        <w:rPr>
          <w:rFonts w:hint="eastAsia" w:ascii="仿宋_GB2312" w:hAnsi="仿宋_GB2312" w:eastAsia="仿宋_GB2312" w:cs="仿宋_GB2312"/>
          <w:sz w:val="32"/>
          <w:szCs w:val="32"/>
          <w:highlight w:val="none"/>
          <w:lang w:val="en-US" w:eastAsia="zh-CN"/>
        </w:rPr>
        <w:t>5</w:t>
      </w:r>
      <w:r>
        <w:rPr>
          <w:rFonts w:hint="default" w:ascii="仿宋_GB2312" w:hAnsi="仿宋_GB2312" w:eastAsia="仿宋_GB2312" w:cs="仿宋_GB2312"/>
          <w:sz w:val="32"/>
          <w:szCs w:val="32"/>
          <w:highlight w:val="none"/>
          <w:lang w:val="en-US" w:eastAsia="zh-CN"/>
        </w:rPr>
        <w:t>年，本市实际自行利用危险废物</w:t>
      </w:r>
      <w:r>
        <w:rPr>
          <w:rFonts w:hint="eastAsia" w:ascii="仿宋_GB2312" w:hAnsi="仿宋_GB2312" w:eastAsia="仿宋_GB2312" w:cs="仿宋_GB2312"/>
          <w:sz w:val="32"/>
          <w:szCs w:val="32"/>
          <w:highlight w:val="none"/>
          <w:lang w:val="en-US" w:eastAsia="zh-CN"/>
        </w:rPr>
        <w:t>5.84</w:t>
      </w:r>
      <w:r>
        <w:rPr>
          <w:rFonts w:hint="default" w:ascii="仿宋_GB2312" w:hAnsi="仿宋_GB2312" w:eastAsia="仿宋_GB2312" w:cs="仿宋_GB2312"/>
          <w:sz w:val="32"/>
          <w:szCs w:val="32"/>
          <w:highlight w:val="none"/>
          <w:lang w:val="en-US" w:eastAsia="zh-CN"/>
        </w:rPr>
        <w:t>万吨，</w:t>
      </w:r>
      <w:r>
        <w:rPr>
          <w:rFonts w:hint="eastAsia" w:ascii="仿宋_GB2312" w:hAnsi="仿宋_GB2312" w:eastAsia="仿宋_GB2312" w:cs="仿宋_GB2312"/>
          <w:sz w:val="32"/>
          <w:szCs w:val="32"/>
          <w:highlight w:val="none"/>
          <w:lang w:val="en-US" w:eastAsia="zh-CN"/>
        </w:rPr>
        <w:t>主要自利用危险废物种类为HW11精（蒸）馏残渣5.77万吨、HW49其他废物0.05万吨、HW23含锌废物0.02万吨。</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黑体" w:hAnsi="黑体" w:eastAsia="黑体" w:cs="黑体"/>
          <w:sz w:val="32"/>
          <w:szCs w:val="32"/>
          <w:highlight w:val="none"/>
          <w:lang w:val="en-US" w:eastAsia="zh-CN"/>
        </w:rPr>
      </w:pPr>
      <w:r>
        <w:rPr>
          <w:rFonts w:hint="eastAsia" w:ascii="黑体" w:hAnsi="黑体" w:eastAsia="黑体" w:cs="黑体"/>
          <w:sz w:val="32"/>
          <w:szCs w:val="32"/>
          <w:highlight w:val="none"/>
          <w:lang w:val="en-US" w:eastAsia="zh-CN"/>
        </w:rPr>
        <w:t>三、医疗废物</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202</w:t>
      </w:r>
      <w:r>
        <w:rPr>
          <w:rFonts w:hint="eastAsia" w:ascii="仿宋_GB2312" w:hAnsi="仿宋_GB2312" w:eastAsia="仿宋_GB2312" w:cs="仿宋_GB2312"/>
          <w:sz w:val="32"/>
          <w:szCs w:val="32"/>
          <w:highlight w:val="none"/>
          <w:lang w:val="en-US" w:eastAsia="zh-CN"/>
        </w:rPr>
        <w:t>5</w:t>
      </w:r>
      <w:r>
        <w:rPr>
          <w:rFonts w:hint="eastAsia" w:ascii="仿宋_GB2312" w:hAnsi="仿宋_GB2312" w:eastAsia="仿宋_GB2312" w:cs="仿宋_GB2312"/>
          <w:sz w:val="32"/>
          <w:szCs w:val="32"/>
          <w:highlight w:val="none"/>
        </w:rPr>
        <w:t>年，</w:t>
      </w:r>
      <w:r>
        <w:rPr>
          <w:rFonts w:hint="eastAsia" w:ascii="仿宋_GB2312" w:hAnsi="仿宋_GB2312" w:eastAsia="仿宋_GB2312" w:cs="仿宋_GB2312"/>
          <w:sz w:val="32"/>
          <w:szCs w:val="32"/>
          <w:highlight w:val="none"/>
          <w:lang w:val="en-US" w:eastAsia="zh-CN"/>
        </w:rPr>
        <w:t>本</w:t>
      </w:r>
      <w:r>
        <w:rPr>
          <w:rFonts w:hint="eastAsia" w:ascii="仿宋_GB2312" w:hAnsi="仿宋_GB2312" w:eastAsia="仿宋_GB2312" w:cs="仿宋_GB2312"/>
          <w:sz w:val="32"/>
          <w:szCs w:val="32"/>
          <w:highlight w:val="none"/>
        </w:rPr>
        <w:t>市共产生医疗废物12</w:t>
      </w:r>
      <w:r>
        <w:rPr>
          <w:rFonts w:hint="eastAsia" w:ascii="仿宋_GB2312" w:hAnsi="仿宋_GB2312" w:eastAsia="仿宋_GB2312" w:cs="仿宋_GB2312"/>
          <w:sz w:val="32"/>
          <w:szCs w:val="32"/>
          <w:highlight w:val="none"/>
          <w:lang w:val="en-US" w:eastAsia="zh-CN"/>
        </w:rPr>
        <w:t>74.86</w:t>
      </w:r>
      <w:r>
        <w:rPr>
          <w:rFonts w:hint="eastAsia" w:ascii="仿宋_GB2312" w:hAnsi="仿宋_GB2312" w:eastAsia="仿宋_GB2312" w:cs="仿宋_GB2312"/>
          <w:sz w:val="32"/>
          <w:szCs w:val="32"/>
          <w:highlight w:val="none"/>
        </w:rPr>
        <w:t>吨，较上年比</w:t>
      </w:r>
      <w:r>
        <w:rPr>
          <w:rFonts w:hint="eastAsia" w:ascii="仿宋_GB2312" w:hAnsi="仿宋_GB2312" w:eastAsia="仿宋_GB2312" w:cs="仿宋_GB2312"/>
          <w:sz w:val="32"/>
          <w:szCs w:val="32"/>
          <w:highlight w:val="none"/>
          <w:lang w:val="en-US" w:eastAsia="zh-CN"/>
        </w:rPr>
        <w:t>增加</w:t>
      </w:r>
      <w:r>
        <w:rPr>
          <w:rFonts w:hint="eastAsia" w:ascii="仿宋_GB2312" w:hAnsi="仿宋_GB2312" w:eastAsia="仿宋_GB2312" w:cs="仿宋_GB2312"/>
          <w:sz w:val="32"/>
          <w:szCs w:val="32"/>
          <w:highlight w:val="none"/>
        </w:rPr>
        <w:t>了</w:t>
      </w:r>
      <w:r>
        <w:rPr>
          <w:rFonts w:hint="eastAsia" w:ascii="仿宋_GB2312" w:hAnsi="仿宋_GB2312" w:eastAsia="仿宋_GB2312" w:cs="仿宋_GB2312"/>
          <w:sz w:val="32"/>
          <w:szCs w:val="32"/>
          <w:highlight w:val="none"/>
          <w:lang w:val="en-US" w:eastAsia="zh-CN"/>
        </w:rPr>
        <w:t>23.6</w:t>
      </w:r>
      <w:r>
        <w:rPr>
          <w:rFonts w:hint="eastAsia" w:ascii="仿宋_GB2312" w:hAnsi="仿宋_GB2312" w:eastAsia="仿宋_GB2312" w:cs="仿宋_GB2312"/>
          <w:sz w:val="32"/>
          <w:szCs w:val="32"/>
          <w:highlight w:val="none"/>
        </w:rPr>
        <w:t>吨，</w:t>
      </w:r>
      <w:r>
        <w:rPr>
          <w:rFonts w:hint="eastAsia" w:ascii="仿宋_GB2312" w:hAnsi="仿宋_GB2312" w:eastAsia="仿宋_GB2312" w:cs="仿宋_GB2312"/>
          <w:sz w:val="32"/>
          <w:szCs w:val="32"/>
          <w:highlight w:val="none"/>
          <w:lang w:val="en-US" w:eastAsia="zh-CN"/>
        </w:rPr>
        <w:t>增</w:t>
      </w:r>
      <w:r>
        <w:rPr>
          <w:rFonts w:hint="eastAsia" w:ascii="仿宋_GB2312" w:hAnsi="仿宋_GB2312" w:eastAsia="仿宋_GB2312" w:cs="仿宋_GB2312"/>
          <w:sz w:val="32"/>
          <w:szCs w:val="32"/>
          <w:highlight w:val="none"/>
          <w:lang w:eastAsia="zh-CN"/>
        </w:rPr>
        <w:t>幅</w:t>
      </w:r>
      <w:r>
        <w:rPr>
          <w:rFonts w:hint="eastAsia" w:ascii="仿宋_GB2312" w:hAnsi="仿宋_GB2312" w:eastAsia="仿宋_GB2312" w:cs="仿宋_GB2312"/>
          <w:sz w:val="32"/>
          <w:szCs w:val="32"/>
          <w:highlight w:val="none"/>
          <w:lang w:val="en-US" w:eastAsia="zh-CN"/>
        </w:rPr>
        <w:t>1.88</w:t>
      </w:r>
      <w:r>
        <w:rPr>
          <w:rFonts w:hint="eastAsia" w:ascii="仿宋_GB2312" w:hAnsi="仿宋_GB2312" w:eastAsia="仿宋_GB2312" w:cs="仿宋_GB2312"/>
          <w:sz w:val="32"/>
          <w:szCs w:val="32"/>
          <w:highlight w:val="none"/>
        </w:rPr>
        <w:t>%。产生量中，</w:t>
      </w:r>
      <w:r>
        <w:rPr>
          <w:rFonts w:hint="eastAsia" w:ascii="仿宋_GB2312" w:hAnsi="仿宋_GB2312" w:eastAsia="仿宋_GB2312" w:cs="仿宋_GB2312"/>
          <w:sz w:val="32"/>
          <w:szCs w:val="32"/>
          <w:highlight w:val="none"/>
          <w:lang w:val="en-US" w:eastAsia="zh-CN"/>
        </w:rPr>
        <w:t>1271.18</w:t>
      </w:r>
      <w:r>
        <w:rPr>
          <w:rFonts w:hint="eastAsia" w:ascii="仿宋_GB2312" w:hAnsi="仿宋_GB2312" w:eastAsia="仿宋_GB2312" w:cs="仿宋_GB2312"/>
          <w:sz w:val="32"/>
          <w:szCs w:val="32"/>
          <w:highlight w:val="none"/>
        </w:rPr>
        <w:t>吨由本溪市危险废物处置有限公司集中收集</w:t>
      </w:r>
      <w:r>
        <w:rPr>
          <w:rFonts w:hint="eastAsia" w:ascii="仿宋_GB2312" w:hAnsi="仿宋_GB2312" w:eastAsia="仿宋_GB2312" w:cs="仿宋_GB2312"/>
          <w:sz w:val="32"/>
          <w:szCs w:val="32"/>
          <w:highlight w:val="none"/>
          <w:lang w:val="en-US" w:eastAsia="zh-CN"/>
        </w:rPr>
        <w:t>处置</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另外</w:t>
      </w:r>
      <w:r>
        <w:rPr>
          <w:rFonts w:hint="eastAsia" w:ascii="仿宋_GB2312" w:hAnsi="仿宋_GB2312" w:eastAsia="仿宋_GB2312" w:cs="仿宋_GB2312"/>
          <w:sz w:val="32"/>
          <w:szCs w:val="32"/>
          <w:highlight w:val="none"/>
          <w:lang w:val="en-US" w:eastAsia="zh-CN"/>
        </w:rPr>
        <w:t>3.68</w:t>
      </w:r>
      <w:r>
        <w:rPr>
          <w:rFonts w:hint="eastAsia" w:ascii="仿宋_GB2312" w:hAnsi="仿宋_GB2312" w:eastAsia="仿宋_GB2312" w:cs="仿宋_GB2312"/>
          <w:sz w:val="32"/>
          <w:szCs w:val="32"/>
          <w:highlight w:val="none"/>
        </w:rPr>
        <w:t>吨符合管理规定自行焚烧处置。</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黑体" w:hAnsi="黑体" w:eastAsia="黑体" w:cs="黑体"/>
          <w:sz w:val="32"/>
          <w:szCs w:val="32"/>
          <w:highlight w:val="none"/>
        </w:rPr>
      </w:pPr>
      <w:r>
        <w:rPr>
          <w:rFonts w:hint="eastAsia" w:ascii="黑体" w:hAnsi="黑体" w:eastAsia="黑体" w:cs="黑体"/>
          <w:sz w:val="32"/>
          <w:szCs w:val="32"/>
          <w:highlight w:val="none"/>
          <w:lang w:eastAsia="zh-CN"/>
        </w:rPr>
        <w:t>四</w:t>
      </w:r>
      <w:r>
        <w:rPr>
          <w:rFonts w:hint="eastAsia" w:ascii="黑体" w:hAnsi="黑体" w:eastAsia="黑体" w:cs="黑体"/>
          <w:sz w:val="32"/>
          <w:szCs w:val="32"/>
          <w:highlight w:val="none"/>
        </w:rPr>
        <w:t>、生活垃圾</w:t>
      </w:r>
    </w:p>
    <w:p>
      <w:pPr>
        <w:keepNext w:val="0"/>
        <w:keepLines w:val="0"/>
        <w:pageBreakBefore w:val="0"/>
        <w:widowControl w:val="0"/>
        <w:kinsoku/>
        <w:wordWrap/>
        <w:overflowPunct/>
        <w:topLinePunct w:val="0"/>
        <w:autoSpaceDE/>
        <w:autoSpaceDN/>
        <w:bidi w:val="0"/>
        <w:adjustRightInd/>
        <w:snapToGrid/>
        <w:spacing w:before="0" w:after="0" w:line="578" w:lineRule="exact"/>
        <w:ind w:right="0" w:rightChars="0" w:firstLine="643" w:firstLineChars="200"/>
        <w:jc w:val="both"/>
        <w:textAlignment w:val="auto"/>
        <w:outlineLvl w:val="9"/>
        <w:rPr>
          <w:rFonts w:hint="eastAsia" w:ascii="仿宋_GB2312" w:hAnsi="仿宋_GB2312" w:eastAsia="仿宋_GB2312" w:cs="仿宋_GB2312"/>
          <w:b/>
          <w:bCs/>
          <w:sz w:val="32"/>
          <w:szCs w:val="32"/>
          <w:highlight w:val="none"/>
        </w:rPr>
      </w:pPr>
      <w:r>
        <w:rPr>
          <w:rFonts w:hint="eastAsia" w:ascii="仿宋_GB2312" w:hAnsi="仿宋_GB2312" w:eastAsia="仿宋_GB2312" w:cs="仿宋_GB2312"/>
          <w:b/>
          <w:bCs/>
          <w:sz w:val="32"/>
          <w:szCs w:val="32"/>
          <w:highlight w:val="none"/>
          <w:lang w:val="en-US" w:eastAsia="zh-CN"/>
        </w:rPr>
        <w:t>1.</w:t>
      </w:r>
      <w:r>
        <w:rPr>
          <w:rFonts w:hint="eastAsia" w:ascii="仿宋_GB2312" w:hAnsi="仿宋_GB2312" w:eastAsia="仿宋_GB2312" w:cs="仿宋_GB2312"/>
          <w:b/>
          <w:bCs/>
          <w:sz w:val="32"/>
          <w:szCs w:val="32"/>
          <w:highlight w:val="none"/>
        </w:rPr>
        <w:t>产生、利用及处理情况</w:t>
      </w:r>
    </w:p>
    <w:p>
      <w:pPr>
        <w:keepNext w:val="0"/>
        <w:keepLines w:val="0"/>
        <w:pageBreakBefore w:val="0"/>
        <w:widowControl w:val="0"/>
        <w:kinsoku/>
        <w:wordWrap/>
        <w:overflowPunct/>
        <w:topLinePunct w:val="0"/>
        <w:autoSpaceDE/>
        <w:autoSpaceDN/>
        <w:bidi w:val="0"/>
        <w:adjustRightInd/>
        <w:snapToGrid/>
        <w:spacing w:before="0" w:after="0" w:line="578" w:lineRule="exact"/>
        <w:ind w:right="0" w:rightChars="0"/>
        <w:jc w:val="left"/>
        <w:textAlignment w:val="auto"/>
        <w:outlineLvl w:val="9"/>
        <w:rPr>
          <w:rFonts w:hint="eastAsia" w:ascii="仿宋_GB2312" w:hAnsi="仿宋_GB2312" w:eastAsia="仿宋_GB2312" w:cs="仿宋_GB2312"/>
          <w:color w:val="000000" w:themeColor="text1"/>
          <w:sz w:val="32"/>
          <w:szCs w:val="32"/>
          <w:highlight w:val="none"/>
          <w14:textFill>
            <w14:solidFill>
              <w14:schemeClr w14:val="tx1"/>
            </w14:solidFill>
          </w14:textFill>
        </w:rPr>
      </w:pPr>
      <w:r>
        <w:rPr>
          <w:rFonts w:hint="eastAsia" w:ascii="仿宋_GB2312" w:hAnsi="仿宋_GB2312" w:eastAsia="仿宋_GB2312" w:cs="仿宋_GB2312"/>
          <w:sz w:val="32"/>
          <w:szCs w:val="32"/>
          <w:highlight w:val="none"/>
          <w:lang w:eastAsia="zh-CN"/>
        </w:rPr>
        <w:t>　　</w:t>
      </w:r>
      <w:r>
        <w:rPr>
          <w:rFonts w:hint="eastAsia" w:ascii="仿宋_GB2312" w:hAnsi="仿宋_GB2312" w:eastAsia="仿宋_GB2312" w:cs="仿宋_GB2312"/>
          <w:color w:val="000000" w:themeColor="text1"/>
          <w:sz w:val="32"/>
          <w:szCs w:val="32"/>
          <w:highlight w:val="none"/>
          <w:lang w:val="en-US" w:eastAsia="zh-CN"/>
          <w14:textFill>
            <w14:solidFill>
              <w14:schemeClr w14:val="tx1"/>
            </w14:solidFill>
          </w14:textFill>
        </w:rPr>
        <w:t>2025年本溪市城乡生活垃圾产生量为</w:t>
      </w:r>
      <w:r>
        <w:rPr>
          <w:rFonts w:hint="eastAsia" w:ascii="仿宋_GB2312" w:hAnsi="仿宋_GB2312" w:eastAsia="仿宋_GB2312" w:cs="仿宋_GB2312"/>
          <w:color w:val="auto"/>
          <w:sz w:val="32"/>
          <w:szCs w:val="32"/>
          <w:highlight w:val="none"/>
          <w:lang w:val="en-US" w:eastAsia="zh-CN"/>
        </w:rPr>
        <w:t>37.505万吨，其中城市生活垃圾产生量22.63万吨，城镇</w:t>
      </w:r>
      <w:r>
        <w:rPr>
          <w:rFonts w:hint="eastAsia" w:ascii="仿宋_GB2312" w:hAnsi="仿宋_GB2312" w:eastAsia="仿宋_GB2312" w:cs="仿宋_GB2312"/>
          <w:color w:val="auto"/>
          <w:sz w:val="32"/>
          <w:szCs w:val="32"/>
          <w:highlight w:val="none"/>
        </w:rPr>
        <w:t>生活垃圾产生量</w:t>
      </w:r>
      <w:r>
        <w:rPr>
          <w:rFonts w:hint="eastAsia" w:ascii="仿宋_GB2312" w:hAnsi="仿宋_GB2312" w:eastAsia="仿宋_GB2312" w:cs="仿宋_GB2312"/>
          <w:color w:val="auto"/>
          <w:sz w:val="32"/>
          <w:szCs w:val="32"/>
          <w:highlight w:val="none"/>
          <w:lang w:val="en-US" w:eastAsia="zh-CN"/>
        </w:rPr>
        <w:t>14.875</w:t>
      </w:r>
      <w:r>
        <w:rPr>
          <w:rFonts w:hint="eastAsia" w:ascii="仿宋_GB2312" w:hAnsi="仿宋_GB2312" w:eastAsia="仿宋_GB2312" w:cs="仿宋_GB2312"/>
          <w:color w:val="000000" w:themeColor="text1"/>
          <w:sz w:val="32"/>
          <w:szCs w:val="32"/>
          <w:highlight w:val="none"/>
          <w14:textFill>
            <w14:solidFill>
              <w14:schemeClr w14:val="tx1"/>
            </w14:solidFill>
          </w14:textFill>
        </w:rPr>
        <w:t>万</w:t>
      </w:r>
      <w:r>
        <w:rPr>
          <w:rFonts w:hint="eastAsia" w:ascii="仿宋_GB2312" w:hAnsi="仿宋_GB2312" w:eastAsia="仿宋_GB2312" w:cs="仿宋_GB2312"/>
          <w:color w:val="000000" w:themeColor="text1"/>
          <w:sz w:val="32"/>
          <w:szCs w:val="32"/>
          <w:highlight w:val="none"/>
          <w:lang w:eastAsia="zh-CN"/>
          <w14:textFill>
            <w14:solidFill>
              <w14:schemeClr w14:val="tx1"/>
            </w14:solidFill>
          </w14:textFill>
        </w:rPr>
        <w:t>吨，</w:t>
      </w:r>
      <w:r>
        <w:rPr>
          <w:rFonts w:hint="eastAsia" w:ascii="仿宋_GB2312" w:hAnsi="仿宋_GB2312" w:eastAsia="仿宋_GB2312" w:cs="仿宋_GB2312"/>
          <w:color w:val="000000" w:themeColor="text1"/>
          <w:sz w:val="32"/>
          <w:szCs w:val="32"/>
          <w:highlight w:val="none"/>
          <w14:textFill>
            <w14:solidFill>
              <w14:schemeClr w14:val="tx1"/>
            </w14:solidFill>
          </w14:textFill>
        </w:rPr>
        <w:t>无害化处理率为</w:t>
      </w:r>
      <w:r>
        <w:rPr>
          <w:rFonts w:hint="eastAsia" w:ascii="仿宋_GB2312" w:hAnsi="仿宋_GB2312" w:eastAsia="仿宋_GB2312" w:cs="仿宋_GB2312"/>
          <w:color w:val="000000" w:themeColor="text1"/>
          <w:sz w:val="32"/>
          <w:szCs w:val="32"/>
          <w:highlight w:val="none"/>
          <w:lang w:val="en-US" w:eastAsia="zh-CN"/>
          <w14:textFill>
            <w14:solidFill>
              <w14:schemeClr w14:val="tx1"/>
            </w14:solidFill>
          </w14:textFill>
        </w:rPr>
        <w:t>100</w:t>
      </w:r>
      <w:r>
        <w:rPr>
          <w:rFonts w:hint="eastAsia" w:ascii="仿宋_GB2312" w:hAnsi="仿宋_GB2312" w:eastAsia="仿宋_GB2312" w:cs="仿宋_GB2312"/>
          <w:color w:val="000000" w:themeColor="text1"/>
          <w:sz w:val="32"/>
          <w:szCs w:val="32"/>
          <w:highlight w:val="none"/>
          <w14:textFill>
            <w14:solidFill>
              <w14:schemeClr w14:val="tx1"/>
            </w14:solidFill>
          </w14:textFill>
        </w:rPr>
        <w:t>%。</w:t>
      </w:r>
    </w:p>
    <w:p>
      <w:pPr>
        <w:keepNext w:val="0"/>
        <w:keepLines w:val="0"/>
        <w:pageBreakBefore w:val="0"/>
        <w:widowControl w:val="0"/>
        <w:kinsoku/>
        <w:wordWrap/>
        <w:overflowPunct/>
        <w:topLinePunct w:val="0"/>
        <w:autoSpaceDE/>
        <w:autoSpaceDN/>
        <w:bidi w:val="0"/>
        <w:adjustRightInd/>
        <w:snapToGrid/>
        <w:spacing w:before="0" w:after="0" w:line="578" w:lineRule="exact"/>
        <w:ind w:left="0" w:leftChars="0" w:right="0" w:rightChars="0" w:firstLine="643" w:firstLineChars="200"/>
        <w:jc w:val="both"/>
        <w:textAlignment w:val="auto"/>
        <w:outlineLvl w:val="9"/>
        <w:rPr>
          <w:rFonts w:hint="eastAsia" w:ascii="仿宋_GB2312" w:hAnsi="仿宋_GB2312" w:eastAsia="仿宋_GB2312" w:cs="仿宋_GB2312"/>
          <w:b/>
          <w:bCs/>
          <w:color w:val="000000" w:themeColor="text1"/>
          <w:sz w:val="32"/>
          <w:szCs w:val="32"/>
          <w:highlight w:val="none"/>
          <w14:textFill>
            <w14:solidFill>
              <w14:schemeClr w14:val="tx1"/>
            </w14:solidFill>
          </w14:textFill>
        </w:rPr>
      </w:pPr>
      <w:r>
        <w:rPr>
          <w:rFonts w:hint="eastAsia" w:ascii="仿宋_GB2312" w:hAnsi="仿宋_GB2312" w:eastAsia="仿宋_GB2312" w:cs="仿宋_GB2312"/>
          <w:b/>
          <w:bCs/>
          <w:color w:val="000000" w:themeColor="text1"/>
          <w:sz w:val="32"/>
          <w:szCs w:val="32"/>
          <w:highlight w:val="none"/>
          <w:lang w:val="en-US" w:eastAsia="zh-CN"/>
          <w14:textFill>
            <w14:solidFill>
              <w14:schemeClr w14:val="tx1"/>
            </w14:solidFill>
          </w14:textFill>
        </w:rPr>
        <w:t>2.</w:t>
      </w:r>
      <w:r>
        <w:rPr>
          <w:rFonts w:hint="eastAsia" w:ascii="仿宋_GB2312" w:hAnsi="仿宋_GB2312" w:eastAsia="仿宋_GB2312" w:cs="仿宋_GB2312"/>
          <w:b/>
          <w:bCs/>
          <w:color w:val="000000" w:themeColor="text1"/>
          <w:sz w:val="32"/>
          <w:szCs w:val="32"/>
          <w:highlight w:val="none"/>
          <w14:textFill>
            <w14:solidFill>
              <w14:schemeClr w14:val="tx1"/>
            </w14:solidFill>
          </w14:textFill>
        </w:rPr>
        <w:t>生活垃圾处理设施情况</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_GB2312" w:hAnsi="仿宋_GB2312" w:eastAsia="仿宋_GB2312" w:cs="仿宋_GB2312"/>
          <w:color w:val="000000" w:themeColor="text1"/>
          <w:sz w:val="32"/>
          <w:szCs w:val="32"/>
          <w:highlight w:val="none"/>
          <w:lang w:val="en-US" w:eastAsia="zh-CN"/>
          <w14:textFill>
            <w14:solidFill>
              <w14:schemeClr w14:val="tx1"/>
            </w14:solidFill>
          </w14:textFill>
        </w:rPr>
      </w:pPr>
      <w:r>
        <w:rPr>
          <w:rFonts w:hint="eastAsia" w:ascii="仿宋_GB2312" w:hAnsi="仿宋_GB2312" w:eastAsia="仿宋_GB2312" w:cs="仿宋_GB2312"/>
          <w:color w:val="000000" w:themeColor="text1"/>
          <w:sz w:val="32"/>
          <w:szCs w:val="32"/>
          <w:highlight w:val="none"/>
          <w:lang w:val="en-US" w:eastAsia="zh-CN"/>
          <w14:textFill>
            <w14:solidFill>
              <w14:schemeClr w14:val="tx1"/>
            </w14:solidFill>
          </w14:textFill>
        </w:rPr>
        <w:t>（1）市城区共有生活垃圾处理设施2座，总处理能力62万吨/年，其中焚烧处理能力占比100%，填埋处理能力占比0%。市城区生活垃圾处理设施情况见表5。</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宋体" w:hAnsi="宋体" w:eastAsia="宋体" w:cs="宋体"/>
          <w:b/>
          <w:bCs/>
          <w:sz w:val="24"/>
          <w:szCs w:val="24"/>
          <w:highlight w:val="none"/>
        </w:rPr>
      </w:pPr>
      <w:r>
        <w:rPr>
          <w:rFonts w:hint="eastAsia" w:ascii="宋体" w:hAnsi="宋体" w:eastAsia="宋体" w:cs="宋体"/>
          <w:b/>
          <w:bCs/>
          <w:sz w:val="24"/>
          <w:szCs w:val="24"/>
          <w:highlight w:val="none"/>
        </w:rPr>
        <w:t>表</w:t>
      </w:r>
      <w:r>
        <w:rPr>
          <w:rFonts w:hint="eastAsia" w:ascii="宋体" w:hAnsi="宋体" w:eastAsia="宋体" w:cs="宋体"/>
          <w:b/>
          <w:bCs/>
          <w:sz w:val="24"/>
          <w:szCs w:val="24"/>
          <w:highlight w:val="none"/>
          <w:lang w:val="en-US" w:eastAsia="zh-CN"/>
        </w:rPr>
        <w:t xml:space="preserve">5 </w:t>
      </w:r>
      <w:r>
        <w:rPr>
          <w:rFonts w:hint="eastAsia" w:ascii="宋体" w:hAnsi="宋体" w:eastAsia="宋体" w:cs="宋体"/>
          <w:b/>
          <w:bCs/>
          <w:sz w:val="24"/>
          <w:szCs w:val="24"/>
          <w:highlight w:val="none"/>
        </w:rPr>
        <w:t>市城区生活垃圾处理设施情况表</w:t>
      </w:r>
    </w:p>
    <w:tbl>
      <w:tblPr>
        <w:tblStyle w:val="4"/>
        <w:tblW w:w="91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704"/>
        <w:gridCol w:w="2004"/>
        <w:gridCol w:w="1704"/>
        <w:gridCol w:w="1705"/>
        <w:gridCol w:w="205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04" w:type="dxa"/>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b/>
                <w:bCs/>
                <w:sz w:val="22"/>
                <w:szCs w:val="22"/>
                <w:highlight w:val="none"/>
                <w:lang w:val="en-US" w:eastAsia="zh-CN"/>
              </w:rPr>
            </w:pPr>
            <w:r>
              <w:rPr>
                <w:rFonts w:hint="eastAsia" w:ascii="仿宋_GB2312" w:hAnsi="仿宋_GB2312" w:eastAsia="仿宋_GB2312" w:cs="仿宋_GB2312"/>
                <w:b/>
                <w:bCs/>
                <w:sz w:val="22"/>
                <w:szCs w:val="22"/>
                <w:highlight w:val="none"/>
                <w:lang w:val="en-US" w:eastAsia="zh-CN"/>
              </w:rPr>
              <w:t>设施所属</w:t>
            </w:r>
          </w:p>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b/>
                <w:bCs/>
                <w:sz w:val="22"/>
                <w:szCs w:val="22"/>
                <w:highlight w:val="none"/>
                <w:lang w:val="en-US" w:eastAsia="zh-CN"/>
              </w:rPr>
            </w:pPr>
            <w:r>
              <w:rPr>
                <w:rFonts w:hint="eastAsia" w:ascii="仿宋_GB2312" w:hAnsi="仿宋_GB2312" w:eastAsia="仿宋_GB2312" w:cs="仿宋_GB2312"/>
                <w:b/>
                <w:bCs/>
                <w:sz w:val="22"/>
                <w:szCs w:val="22"/>
                <w:highlight w:val="none"/>
                <w:lang w:val="en-US" w:eastAsia="zh-CN"/>
              </w:rPr>
              <w:t>单位名称</w:t>
            </w:r>
          </w:p>
        </w:tc>
        <w:tc>
          <w:tcPr>
            <w:tcW w:w="2004" w:type="dxa"/>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b/>
                <w:bCs/>
                <w:sz w:val="22"/>
                <w:szCs w:val="22"/>
                <w:highlight w:val="none"/>
                <w:lang w:val="en-US" w:eastAsia="zh-CN"/>
              </w:rPr>
            </w:pPr>
            <w:r>
              <w:rPr>
                <w:rFonts w:hint="eastAsia" w:ascii="仿宋_GB2312" w:hAnsi="仿宋_GB2312" w:eastAsia="仿宋_GB2312" w:cs="仿宋_GB2312"/>
                <w:b/>
                <w:bCs/>
                <w:sz w:val="22"/>
                <w:szCs w:val="22"/>
                <w:highlight w:val="none"/>
                <w:lang w:val="en-US" w:eastAsia="zh-CN"/>
              </w:rPr>
              <w:t>设施名称及类型</w:t>
            </w:r>
          </w:p>
        </w:tc>
        <w:tc>
          <w:tcPr>
            <w:tcW w:w="1704" w:type="dxa"/>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b/>
                <w:bCs/>
                <w:sz w:val="22"/>
                <w:szCs w:val="22"/>
                <w:highlight w:val="none"/>
                <w:lang w:val="en-US" w:eastAsia="zh-CN"/>
              </w:rPr>
            </w:pPr>
            <w:r>
              <w:rPr>
                <w:rFonts w:hint="eastAsia" w:ascii="仿宋_GB2312" w:hAnsi="仿宋_GB2312" w:eastAsia="仿宋_GB2312" w:cs="仿宋_GB2312"/>
                <w:b/>
                <w:bCs/>
                <w:sz w:val="22"/>
                <w:szCs w:val="22"/>
                <w:highlight w:val="none"/>
                <w:lang w:val="en-US" w:eastAsia="zh-CN"/>
              </w:rPr>
              <w:t>设计处理能力（万吨/年）</w:t>
            </w:r>
          </w:p>
        </w:tc>
        <w:tc>
          <w:tcPr>
            <w:tcW w:w="1705" w:type="dxa"/>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b/>
                <w:bCs/>
                <w:sz w:val="22"/>
                <w:szCs w:val="22"/>
                <w:highlight w:val="none"/>
                <w:lang w:val="en-US" w:eastAsia="zh-CN"/>
              </w:rPr>
            </w:pPr>
            <w:r>
              <w:rPr>
                <w:rFonts w:hint="eastAsia" w:ascii="仿宋_GB2312" w:hAnsi="仿宋_GB2312" w:eastAsia="仿宋_GB2312" w:cs="仿宋_GB2312"/>
                <w:b/>
                <w:bCs/>
                <w:sz w:val="22"/>
                <w:szCs w:val="22"/>
                <w:highlight w:val="none"/>
                <w:lang w:val="en-US" w:eastAsia="zh-CN"/>
              </w:rPr>
              <w:t>实际处理量（万吨）</w:t>
            </w:r>
          </w:p>
        </w:tc>
        <w:tc>
          <w:tcPr>
            <w:tcW w:w="2055" w:type="dxa"/>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b/>
                <w:bCs/>
                <w:sz w:val="22"/>
                <w:szCs w:val="22"/>
                <w:highlight w:val="none"/>
                <w:lang w:val="en-US" w:eastAsia="zh-CN"/>
              </w:rPr>
            </w:pPr>
            <w:r>
              <w:rPr>
                <w:rFonts w:hint="eastAsia" w:ascii="仿宋_GB2312" w:hAnsi="仿宋_GB2312" w:eastAsia="仿宋_GB2312" w:cs="仿宋_GB2312"/>
                <w:b/>
                <w:bCs/>
                <w:sz w:val="22"/>
                <w:szCs w:val="22"/>
                <w:highlight w:val="none"/>
                <w:lang w:val="en-US" w:eastAsia="zh-CN"/>
              </w:rPr>
              <w:t>使用年限/预期关闭时间（填埋场）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04" w:type="dxa"/>
            <w:noWrap w:val="0"/>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仿宋_GB2312" w:hAnsi="仿宋_GB2312" w:eastAsia="仿宋_GB2312" w:cs="仿宋_GB2312"/>
                <w:sz w:val="22"/>
                <w:szCs w:val="22"/>
                <w:highlight w:val="none"/>
                <w:lang w:val="en-US" w:eastAsia="zh-CN"/>
              </w:rPr>
            </w:pPr>
            <w:r>
              <w:rPr>
                <w:rFonts w:hint="eastAsia" w:ascii="仿宋_GB2312" w:hAnsi="仿宋_GB2312" w:eastAsia="仿宋_GB2312" w:cs="仿宋_GB2312"/>
                <w:sz w:val="22"/>
                <w:szCs w:val="22"/>
                <w:highlight w:val="none"/>
                <w:lang w:val="en-US" w:eastAsia="zh-CN"/>
              </w:rPr>
              <w:t>本溪市豪脉生态环保有限责任公司</w:t>
            </w:r>
          </w:p>
        </w:tc>
        <w:tc>
          <w:tcPr>
            <w:tcW w:w="2004" w:type="dxa"/>
            <w:noWrap w:val="0"/>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仿宋_GB2312" w:hAnsi="仿宋_GB2312" w:eastAsia="仿宋_GB2312" w:cs="仿宋_GB2312"/>
                <w:sz w:val="22"/>
                <w:szCs w:val="22"/>
                <w:highlight w:val="none"/>
                <w:lang w:val="en-US" w:eastAsia="zh-CN"/>
              </w:rPr>
            </w:pPr>
            <w:r>
              <w:rPr>
                <w:rFonts w:hint="eastAsia" w:ascii="仿宋_GB2312" w:hAnsi="仿宋_GB2312" w:eastAsia="仿宋_GB2312" w:cs="仿宋_GB2312"/>
                <w:sz w:val="22"/>
                <w:szCs w:val="22"/>
                <w:highlight w:val="none"/>
                <w:lang w:val="en-US" w:eastAsia="zh-CN"/>
              </w:rPr>
              <w:t>千金岭生活垃圾填埋场/填埋场</w:t>
            </w:r>
          </w:p>
        </w:tc>
        <w:tc>
          <w:tcPr>
            <w:tcW w:w="1704" w:type="dxa"/>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sz w:val="24"/>
                <w:szCs w:val="24"/>
                <w:highlight w:val="none"/>
                <w:lang w:val="en-US" w:eastAsia="zh-CN"/>
              </w:rPr>
            </w:pPr>
            <w:r>
              <w:rPr>
                <w:rFonts w:hint="eastAsia" w:ascii="仿宋_GB2312" w:hAnsi="仿宋_GB2312" w:eastAsia="仿宋_GB2312" w:cs="仿宋_GB2312"/>
                <w:sz w:val="24"/>
                <w:szCs w:val="24"/>
                <w:highlight w:val="none"/>
                <w:lang w:val="en-US" w:eastAsia="zh-CN"/>
              </w:rPr>
              <w:t>32.85</w:t>
            </w:r>
          </w:p>
        </w:tc>
        <w:tc>
          <w:tcPr>
            <w:tcW w:w="1705" w:type="dxa"/>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sz w:val="24"/>
                <w:szCs w:val="24"/>
                <w:highlight w:val="none"/>
                <w:lang w:val="en-US" w:eastAsia="zh-CN"/>
              </w:rPr>
            </w:pPr>
            <w:r>
              <w:rPr>
                <w:rFonts w:hint="eastAsia" w:ascii="仿宋_GB2312" w:hAnsi="仿宋_GB2312" w:eastAsia="仿宋_GB2312" w:cs="仿宋_GB2312"/>
                <w:sz w:val="24"/>
                <w:szCs w:val="24"/>
                <w:highlight w:val="none"/>
                <w:lang w:val="en-US" w:eastAsia="zh-CN"/>
              </w:rPr>
              <w:t>0</w:t>
            </w:r>
          </w:p>
        </w:tc>
        <w:tc>
          <w:tcPr>
            <w:tcW w:w="2055" w:type="dxa"/>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sz w:val="24"/>
                <w:szCs w:val="24"/>
                <w:highlight w:val="none"/>
                <w:lang w:val="en-US" w:eastAsia="zh-CN"/>
              </w:rPr>
            </w:pPr>
            <w:r>
              <w:rPr>
                <w:rFonts w:hint="eastAsia" w:ascii="仿宋_GB2312" w:hAnsi="仿宋_GB2312" w:eastAsia="仿宋_GB2312" w:cs="仿宋_GB2312"/>
                <w:sz w:val="24"/>
                <w:szCs w:val="24"/>
                <w:highlight w:val="none"/>
                <w:lang w:val="en-US" w:eastAsia="zh-CN"/>
              </w:rPr>
              <w:t>17.6年/2026年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04" w:type="dxa"/>
            <w:noWrap w:val="0"/>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仿宋_GB2312" w:hAnsi="仿宋_GB2312" w:eastAsia="仿宋_GB2312" w:cs="仿宋_GB2312"/>
                <w:sz w:val="22"/>
                <w:szCs w:val="22"/>
                <w:highlight w:val="none"/>
                <w:lang w:val="en-US" w:eastAsia="zh-CN"/>
              </w:rPr>
            </w:pPr>
            <w:r>
              <w:rPr>
                <w:rFonts w:hint="eastAsia" w:ascii="仿宋_GB2312" w:hAnsi="仿宋_GB2312" w:eastAsia="仿宋_GB2312" w:cs="仿宋_GB2312"/>
                <w:sz w:val="22"/>
                <w:szCs w:val="22"/>
                <w:highlight w:val="none"/>
                <w:lang w:val="en-US" w:eastAsia="zh-CN"/>
              </w:rPr>
              <w:t>本溪深能豪脉生态环保有限公司</w:t>
            </w:r>
          </w:p>
        </w:tc>
        <w:tc>
          <w:tcPr>
            <w:tcW w:w="2004" w:type="dxa"/>
            <w:noWrap w:val="0"/>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仿宋_GB2312" w:hAnsi="仿宋_GB2312" w:eastAsia="仿宋_GB2312" w:cs="仿宋_GB2312"/>
                <w:sz w:val="22"/>
                <w:szCs w:val="22"/>
                <w:highlight w:val="none"/>
                <w:lang w:val="en-US" w:eastAsia="zh-CN"/>
              </w:rPr>
            </w:pPr>
            <w:r>
              <w:rPr>
                <w:rFonts w:hint="eastAsia" w:ascii="仿宋_GB2312" w:hAnsi="仿宋_GB2312" w:eastAsia="仿宋_GB2312" w:cs="仿宋_GB2312"/>
                <w:sz w:val="22"/>
                <w:szCs w:val="22"/>
                <w:highlight w:val="none"/>
                <w:lang w:val="en-US" w:eastAsia="zh-CN"/>
              </w:rPr>
              <w:t>本溪市生活垃圾焚烧发电厂/焚烧厂</w:t>
            </w:r>
          </w:p>
        </w:tc>
        <w:tc>
          <w:tcPr>
            <w:tcW w:w="1704" w:type="dxa"/>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sz w:val="24"/>
                <w:szCs w:val="24"/>
                <w:highlight w:val="none"/>
                <w:lang w:val="en-US" w:eastAsia="zh-CN"/>
              </w:rPr>
            </w:pPr>
            <w:r>
              <w:rPr>
                <w:rFonts w:hint="eastAsia" w:ascii="仿宋_GB2312" w:hAnsi="仿宋_GB2312" w:eastAsia="仿宋_GB2312" w:cs="仿宋_GB2312"/>
                <w:sz w:val="24"/>
                <w:szCs w:val="24"/>
                <w:highlight w:val="none"/>
                <w:lang w:val="en-US" w:eastAsia="zh-CN"/>
              </w:rPr>
              <w:t>29.2</w:t>
            </w:r>
          </w:p>
        </w:tc>
        <w:tc>
          <w:tcPr>
            <w:tcW w:w="1705" w:type="dxa"/>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sz w:val="24"/>
                <w:szCs w:val="24"/>
                <w:highlight w:val="none"/>
                <w:lang w:val="en-US" w:eastAsia="zh-CN"/>
              </w:rPr>
            </w:pPr>
            <w:r>
              <w:rPr>
                <w:rFonts w:hint="eastAsia" w:ascii="仿宋_GB2312" w:hAnsi="仿宋_GB2312" w:eastAsia="仿宋_GB2312" w:cs="仿宋_GB2312"/>
                <w:sz w:val="24"/>
                <w:szCs w:val="24"/>
                <w:highlight w:val="none"/>
                <w:lang w:val="en-US" w:eastAsia="zh-CN"/>
              </w:rPr>
              <w:t>22.63</w:t>
            </w:r>
          </w:p>
        </w:tc>
        <w:tc>
          <w:tcPr>
            <w:tcW w:w="2055" w:type="dxa"/>
            <w:noWrap w:val="0"/>
            <w:vAlign w:val="center"/>
          </w:tcPr>
          <w:p>
            <w:pPr>
              <w:keepNext w:val="0"/>
              <w:keepLines w:val="0"/>
              <w:pageBreakBefore w:val="0"/>
              <w:widowControl w:val="0"/>
              <w:kinsoku/>
              <w:wordWrap/>
              <w:overflowPunct/>
              <w:topLinePunct w:val="0"/>
              <w:autoSpaceDE/>
              <w:autoSpaceDN/>
              <w:bidi w:val="0"/>
              <w:adjustRightInd/>
              <w:snapToGrid/>
              <w:spacing w:line="360" w:lineRule="exact"/>
              <w:ind w:firstLine="641"/>
              <w:jc w:val="both"/>
              <w:textAlignment w:val="auto"/>
              <w:rPr>
                <w:rFonts w:hint="default" w:ascii="仿宋_GB2312" w:hAnsi="仿宋_GB2312" w:eastAsia="仿宋_GB2312" w:cs="仿宋_GB2312"/>
                <w:sz w:val="24"/>
                <w:szCs w:val="24"/>
                <w:highlight w:val="none"/>
                <w:lang w:val="en-US" w:eastAsia="zh-CN"/>
              </w:rPr>
            </w:pPr>
          </w:p>
        </w:tc>
      </w:tr>
    </w:tbl>
    <w:p>
      <w:pPr>
        <w:keepNext w:val="0"/>
        <w:keepLines w:val="0"/>
        <w:pageBreakBefore w:val="0"/>
        <w:widowControl w:val="0"/>
        <w:kinsoku/>
        <w:wordWrap/>
        <w:overflowPunct/>
        <w:topLinePunct w:val="0"/>
        <w:autoSpaceDE/>
        <w:autoSpaceDN/>
        <w:bidi w:val="0"/>
        <w:adjustRightInd/>
        <w:snapToGrid/>
        <w:spacing w:before="0" w:beforeLines="0" w:after="0" w:afterLines="0" w:line="240" w:lineRule="auto"/>
        <w:ind w:left="0" w:leftChars="0" w:right="0" w:rightChars="0" w:firstLine="640" w:firstLineChars="200"/>
        <w:jc w:val="both"/>
        <w:textAlignment w:val="auto"/>
        <w:outlineLvl w:val="9"/>
        <w:rPr>
          <w:rFonts w:hint="eastAsia" w:ascii="仿宋_GB2312" w:hAnsi="仿宋_GB2312" w:eastAsia="仿宋_GB2312" w:cs="仿宋_GB2312"/>
          <w:sz w:val="32"/>
          <w:szCs w:val="32"/>
          <w:highlight w:val="none"/>
          <w:lang w:eastAsia="zh-CN"/>
        </w:rPr>
      </w:pP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jc w:val="both"/>
        <w:textAlignment w:val="auto"/>
        <w:rPr>
          <w:rFonts w:hint="eastAsia" w:ascii="仿宋_GB2312" w:hAnsi="仿宋_GB2312" w:eastAsia="仿宋_GB2312" w:cs="仿宋_GB2312"/>
          <w:sz w:val="32"/>
          <w:szCs w:val="32"/>
          <w:highlight w:val="none"/>
          <w:lang w:eastAsia="zh-CN"/>
        </w:rPr>
      </w:pP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lang w:val="en-US" w:eastAsia="zh-CN"/>
        </w:rPr>
        <w:t>2）</w:t>
      </w:r>
      <w:r>
        <w:rPr>
          <w:rFonts w:hint="eastAsia" w:ascii="仿宋_GB2312" w:hAnsi="仿宋_GB2312" w:eastAsia="仿宋_GB2312" w:cs="仿宋_GB2312"/>
          <w:sz w:val="32"/>
          <w:szCs w:val="32"/>
          <w:highlight w:val="none"/>
          <w:lang w:eastAsia="zh-CN"/>
        </w:rPr>
        <w:t>我市现有城镇</w:t>
      </w:r>
      <w:r>
        <w:rPr>
          <w:rFonts w:hint="eastAsia" w:ascii="仿宋_GB2312" w:hAnsi="仿宋_GB2312" w:eastAsia="仿宋_GB2312" w:cs="仿宋_GB2312"/>
          <w:sz w:val="32"/>
          <w:szCs w:val="32"/>
          <w:highlight w:val="none"/>
        </w:rPr>
        <w:t>生活垃圾处理设施</w:t>
      </w:r>
      <w:r>
        <w:rPr>
          <w:rFonts w:hint="eastAsia" w:ascii="仿宋_GB2312" w:hAnsi="仿宋_GB2312" w:eastAsia="仿宋_GB2312" w:cs="仿宋_GB2312"/>
          <w:sz w:val="32"/>
          <w:szCs w:val="32"/>
          <w:highlight w:val="none"/>
          <w:lang w:val="en-US" w:eastAsia="zh-CN"/>
        </w:rPr>
        <w:t>10</w:t>
      </w:r>
      <w:r>
        <w:rPr>
          <w:rFonts w:hint="eastAsia" w:ascii="仿宋_GB2312" w:hAnsi="仿宋_GB2312" w:eastAsia="仿宋_GB2312" w:cs="仿宋_GB2312"/>
          <w:sz w:val="32"/>
          <w:szCs w:val="32"/>
          <w:highlight w:val="none"/>
        </w:rPr>
        <w:t>座，</w:t>
      </w:r>
      <w:r>
        <w:rPr>
          <w:rFonts w:hint="eastAsia" w:ascii="仿宋_GB2312" w:hAnsi="仿宋_GB2312" w:eastAsia="仿宋_GB2312" w:cs="仿宋_GB2312"/>
          <w:sz w:val="32"/>
          <w:szCs w:val="32"/>
          <w:highlight w:val="none"/>
          <w:lang w:eastAsia="zh-CN"/>
        </w:rPr>
        <w:t>其中</w:t>
      </w:r>
      <w:r>
        <w:rPr>
          <w:rFonts w:hint="eastAsia" w:ascii="仿宋_GB2312" w:hAnsi="仿宋_GB2312" w:eastAsia="仿宋_GB2312" w:cs="仿宋_GB2312"/>
          <w:sz w:val="32"/>
          <w:szCs w:val="32"/>
          <w:highlight w:val="none"/>
          <w:lang w:val="en-US" w:eastAsia="zh-CN"/>
        </w:rPr>
        <w:t>本溪满族自治县碱厂镇垃圾填埋场已封场，桓仁满族自治县五里甸子镇生活垃圾卫生填埋场和本溪满族自治县田师付镇广源垃圾填埋场已停用，</w:t>
      </w:r>
      <w:r>
        <w:rPr>
          <w:rFonts w:hint="eastAsia" w:ascii="仿宋_GB2312" w:hAnsi="仿宋_GB2312" w:eastAsia="仿宋_GB2312" w:cs="仿宋_GB2312"/>
          <w:sz w:val="32"/>
          <w:szCs w:val="32"/>
          <w:highlight w:val="none"/>
        </w:rPr>
        <w:t>总处理能力为</w:t>
      </w:r>
      <w:r>
        <w:rPr>
          <w:rFonts w:hint="eastAsia" w:ascii="仿宋_GB2312" w:hAnsi="仿宋_GB2312" w:eastAsia="仿宋_GB2312" w:cs="仿宋_GB2312"/>
          <w:sz w:val="32"/>
          <w:szCs w:val="32"/>
          <w:highlight w:val="none"/>
          <w:lang w:val="en-US" w:eastAsia="zh-CN"/>
        </w:rPr>
        <w:t>27.195</w:t>
      </w:r>
      <w:r>
        <w:rPr>
          <w:rFonts w:hint="eastAsia" w:ascii="仿宋_GB2312" w:hAnsi="仿宋_GB2312" w:eastAsia="仿宋_GB2312" w:cs="仿宋_GB2312"/>
          <w:sz w:val="32"/>
          <w:szCs w:val="32"/>
          <w:highlight w:val="none"/>
        </w:rPr>
        <w:t>万吨/年</w:t>
      </w:r>
      <w:r>
        <w:rPr>
          <w:rFonts w:hint="eastAsia" w:ascii="仿宋_GB2312" w:hAnsi="仿宋_GB2312" w:eastAsia="仿宋_GB2312" w:cs="仿宋_GB2312"/>
          <w:sz w:val="32"/>
          <w:szCs w:val="32"/>
          <w:highlight w:val="none"/>
          <w:lang w:eastAsia="zh-CN"/>
        </w:rPr>
        <w:t>，具体情况见下表</w:t>
      </w:r>
      <w:r>
        <w:rPr>
          <w:rFonts w:hint="eastAsia" w:ascii="仿宋_GB2312" w:hAnsi="仿宋_GB2312" w:eastAsia="仿宋_GB2312" w:cs="仿宋_GB2312"/>
          <w:sz w:val="32"/>
          <w:szCs w:val="32"/>
          <w:highlight w:val="none"/>
          <w:lang w:val="en-US" w:eastAsia="zh-CN"/>
        </w:rPr>
        <w:t>6</w:t>
      </w:r>
      <w:r>
        <w:rPr>
          <w:rFonts w:hint="eastAsia" w:ascii="仿宋_GB2312" w:hAnsi="仿宋_GB2312" w:eastAsia="仿宋_GB2312" w:cs="仿宋_GB2312"/>
          <w:sz w:val="32"/>
          <w:szCs w:val="32"/>
          <w:highlight w:val="none"/>
          <w:lang w:eastAsia="zh-CN"/>
        </w:rPr>
        <w:t>。</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宋体" w:hAnsi="宋体" w:eastAsia="宋体" w:cs="宋体"/>
          <w:b/>
          <w:bCs/>
          <w:sz w:val="24"/>
          <w:szCs w:val="24"/>
          <w:highlight w:val="none"/>
        </w:rPr>
      </w:pPr>
      <w:r>
        <w:rPr>
          <w:rFonts w:hint="eastAsia" w:ascii="宋体" w:hAnsi="宋体" w:eastAsia="宋体" w:cs="宋体"/>
          <w:b/>
          <w:bCs/>
          <w:sz w:val="24"/>
          <w:szCs w:val="24"/>
          <w:highlight w:val="none"/>
        </w:rPr>
        <w:t>表</w:t>
      </w:r>
      <w:r>
        <w:rPr>
          <w:rFonts w:hint="eastAsia" w:ascii="宋体" w:hAnsi="宋体" w:eastAsia="宋体" w:cs="宋体"/>
          <w:b/>
          <w:bCs/>
          <w:sz w:val="24"/>
          <w:szCs w:val="24"/>
          <w:highlight w:val="none"/>
          <w:lang w:val="en-US" w:eastAsia="zh-CN"/>
        </w:rPr>
        <w:t>6 城镇</w:t>
      </w:r>
      <w:r>
        <w:rPr>
          <w:rFonts w:hint="eastAsia" w:ascii="宋体" w:hAnsi="宋体" w:eastAsia="宋体" w:cs="宋体"/>
          <w:b/>
          <w:bCs/>
          <w:sz w:val="24"/>
          <w:szCs w:val="24"/>
          <w:highlight w:val="none"/>
        </w:rPr>
        <w:t>生活垃圾处理设施情况表</w:t>
      </w:r>
    </w:p>
    <w:tbl>
      <w:tblPr>
        <w:tblStyle w:val="4"/>
        <w:tblW w:w="10136"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2567"/>
        <w:gridCol w:w="2198"/>
        <w:gridCol w:w="1645"/>
        <w:gridCol w:w="1863"/>
        <w:gridCol w:w="186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40" w:hRule="atLeast"/>
          <w:jc w:val="center"/>
        </w:trPr>
        <w:tc>
          <w:tcPr>
            <w:tcW w:w="256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1"/>
                <w:szCs w:val="21"/>
                <w:highlight w:val="none"/>
                <w:u w:val="none"/>
              </w:rPr>
            </w:pPr>
            <w:r>
              <w:rPr>
                <w:rFonts w:hint="eastAsia" w:ascii="宋体" w:hAnsi="宋体" w:eastAsia="宋体" w:cs="宋体"/>
                <w:b/>
                <w:bCs/>
                <w:i w:val="0"/>
                <w:iCs w:val="0"/>
                <w:color w:val="000000"/>
                <w:kern w:val="0"/>
                <w:sz w:val="21"/>
                <w:szCs w:val="21"/>
                <w:highlight w:val="none"/>
                <w:u w:val="none"/>
                <w:lang w:val="en-US" w:eastAsia="zh-CN" w:bidi="ar"/>
              </w:rPr>
              <w:t>设施所属单位名称</w:t>
            </w:r>
          </w:p>
        </w:tc>
        <w:tc>
          <w:tcPr>
            <w:tcW w:w="219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1"/>
                <w:szCs w:val="21"/>
                <w:highlight w:val="none"/>
                <w:u w:val="none"/>
              </w:rPr>
            </w:pPr>
            <w:r>
              <w:rPr>
                <w:rFonts w:hint="eastAsia" w:ascii="宋体" w:hAnsi="宋体" w:eastAsia="宋体" w:cs="宋体"/>
                <w:b/>
                <w:bCs/>
                <w:i w:val="0"/>
                <w:iCs w:val="0"/>
                <w:color w:val="000000"/>
                <w:kern w:val="0"/>
                <w:sz w:val="21"/>
                <w:szCs w:val="21"/>
                <w:highlight w:val="none"/>
                <w:u w:val="none"/>
                <w:lang w:val="en-US" w:eastAsia="zh-CN" w:bidi="ar"/>
              </w:rPr>
              <w:t>设施名称及类型</w:t>
            </w:r>
          </w:p>
        </w:tc>
        <w:tc>
          <w:tcPr>
            <w:tcW w:w="164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1"/>
                <w:szCs w:val="21"/>
                <w:highlight w:val="none"/>
                <w:u w:val="none"/>
              </w:rPr>
            </w:pPr>
            <w:r>
              <w:rPr>
                <w:rFonts w:hint="eastAsia" w:ascii="宋体" w:hAnsi="宋体" w:eastAsia="宋体" w:cs="宋体"/>
                <w:b/>
                <w:bCs/>
                <w:i w:val="0"/>
                <w:iCs w:val="0"/>
                <w:color w:val="000000"/>
                <w:kern w:val="0"/>
                <w:sz w:val="21"/>
                <w:szCs w:val="21"/>
                <w:highlight w:val="none"/>
                <w:u w:val="none"/>
                <w:lang w:val="en-US" w:eastAsia="zh-CN" w:bidi="ar"/>
              </w:rPr>
              <w:t>设计处理能力（万吨/年）</w:t>
            </w:r>
          </w:p>
        </w:tc>
        <w:tc>
          <w:tcPr>
            <w:tcW w:w="186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b/>
                <w:bCs/>
                <w:i w:val="0"/>
                <w:iCs w:val="0"/>
                <w:color w:val="000000"/>
                <w:kern w:val="0"/>
                <w:sz w:val="21"/>
                <w:szCs w:val="21"/>
                <w:highlight w:val="none"/>
                <w:u w:val="none"/>
                <w:lang w:val="en-US" w:eastAsia="zh-CN" w:bidi="ar"/>
              </w:rPr>
            </w:pPr>
            <w:r>
              <w:rPr>
                <w:rFonts w:hint="eastAsia" w:ascii="宋体" w:hAnsi="宋体" w:eastAsia="宋体" w:cs="宋体"/>
                <w:b/>
                <w:bCs/>
                <w:i w:val="0"/>
                <w:iCs w:val="0"/>
                <w:color w:val="000000"/>
                <w:kern w:val="0"/>
                <w:sz w:val="21"/>
                <w:szCs w:val="21"/>
                <w:highlight w:val="none"/>
                <w:u w:val="none"/>
                <w:lang w:val="en-US" w:eastAsia="zh-CN" w:bidi="ar"/>
              </w:rPr>
              <w:t>实际处理量</w:t>
            </w:r>
          </w:p>
          <w:p>
            <w:pPr>
              <w:keepNext w:val="0"/>
              <w:keepLines w:val="0"/>
              <w:widowControl/>
              <w:suppressLineNumbers w:val="0"/>
              <w:jc w:val="center"/>
              <w:textAlignment w:val="center"/>
              <w:rPr>
                <w:rFonts w:hint="eastAsia" w:ascii="宋体" w:hAnsi="宋体" w:eastAsia="宋体" w:cs="宋体"/>
                <w:b/>
                <w:bCs/>
                <w:i w:val="0"/>
                <w:iCs w:val="0"/>
                <w:color w:val="000000"/>
                <w:kern w:val="0"/>
                <w:sz w:val="21"/>
                <w:szCs w:val="21"/>
                <w:highlight w:val="none"/>
                <w:u w:val="none"/>
                <w:lang w:val="en-US" w:eastAsia="zh-CN" w:bidi="ar"/>
              </w:rPr>
            </w:pPr>
            <w:r>
              <w:rPr>
                <w:rFonts w:hint="eastAsia" w:ascii="宋体" w:hAnsi="宋体" w:eastAsia="宋体" w:cs="宋体"/>
                <w:b/>
                <w:bCs/>
                <w:i w:val="0"/>
                <w:iCs w:val="0"/>
                <w:color w:val="000000"/>
                <w:kern w:val="0"/>
                <w:sz w:val="21"/>
                <w:szCs w:val="21"/>
                <w:highlight w:val="none"/>
                <w:u w:val="none"/>
                <w:lang w:val="en-US" w:eastAsia="zh-CN" w:bidi="ar"/>
              </w:rPr>
              <w:t>（万吨/年）</w:t>
            </w:r>
          </w:p>
        </w:tc>
        <w:tc>
          <w:tcPr>
            <w:tcW w:w="186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1"/>
                <w:szCs w:val="21"/>
                <w:highlight w:val="none"/>
                <w:u w:val="none"/>
              </w:rPr>
            </w:pPr>
            <w:r>
              <w:rPr>
                <w:rFonts w:hint="eastAsia" w:ascii="宋体" w:hAnsi="宋体" w:eastAsia="宋体" w:cs="宋体"/>
                <w:b/>
                <w:bCs/>
                <w:i w:val="0"/>
                <w:iCs w:val="0"/>
                <w:color w:val="000000"/>
                <w:kern w:val="0"/>
                <w:sz w:val="21"/>
                <w:szCs w:val="21"/>
                <w:highlight w:val="none"/>
                <w:u w:val="none"/>
                <w:lang w:val="en-US" w:eastAsia="zh-CN" w:bidi="ar"/>
              </w:rPr>
              <w:t>使用年限/预期关闭时间（填埋场）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40" w:hRule="atLeast"/>
          <w:jc w:val="center"/>
        </w:trPr>
        <w:tc>
          <w:tcPr>
            <w:tcW w:w="256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1"/>
                <w:szCs w:val="21"/>
                <w:highlight w:val="none"/>
                <w:u w:val="none"/>
                <w:lang w:val="en-US" w:eastAsia="zh-CN" w:bidi="ar"/>
              </w:rPr>
            </w:pPr>
            <w:r>
              <w:rPr>
                <w:rFonts w:hint="eastAsia" w:ascii="宋体" w:hAnsi="宋体" w:eastAsia="宋体" w:cs="宋体"/>
                <w:i w:val="0"/>
                <w:iCs w:val="0"/>
                <w:color w:val="000000"/>
                <w:kern w:val="0"/>
                <w:sz w:val="21"/>
                <w:szCs w:val="21"/>
                <w:highlight w:val="none"/>
                <w:u w:val="none"/>
                <w:lang w:val="en-US" w:eastAsia="zh-CN" w:bidi="ar"/>
              </w:rPr>
              <w:t>本溪县县城生活垃圾填埋场</w:t>
            </w:r>
          </w:p>
        </w:tc>
        <w:tc>
          <w:tcPr>
            <w:tcW w:w="219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bCs/>
                <w:i w:val="0"/>
                <w:iCs w:val="0"/>
                <w:color w:val="000000"/>
                <w:kern w:val="0"/>
                <w:sz w:val="21"/>
                <w:szCs w:val="21"/>
                <w:highlight w:val="none"/>
                <w:u w:val="none"/>
                <w:lang w:val="en-US" w:eastAsia="zh-CN" w:bidi="ar"/>
              </w:rPr>
            </w:pPr>
            <w:r>
              <w:rPr>
                <w:rFonts w:hint="eastAsia" w:asciiTheme="minorEastAsia" w:hAnsiTheme="minorEastAsia" w:eastAsiaTheme="minorEastAsia" w:cstheme="minorEastAsia"/>
                <w:sz w:val="22"/>
                <w:szCs w:val="22"/>
                <w:highlight w:val="none"/>
                <w:lang w:val="en-US" w:eastAsia="zh-CN"/>
              </w:rPr>
              <w:t>生活垃圾填埋场/填埋场</w:t>
            </w:r>
          </w:p>
        </w:tc>
        <w:tc>
          <w:tcPr>
            <w:tcW w:w="164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宋体" w:hAnsi="宋体" w:eastAsia="宋体" w:cs="宋体"/>
                <w:b w:val="0"/>
                <w:bCs w:val="0"/>
                <w:i w:val="0"/>
                <w:iCs w:val="0"/>
                <w:color w:val="000000"/>
                <w:kern w:val="0"/>
                <w:sz w:val="24"/>
                <w:szCs w:val="24"/>
                <w:highlight w:val="none"/>
                <w:u w:val="none"/>
                <w:lang w:val="en-US" w:eastAsia="zh-CN" w:bidi="ar"/>
              </w:rPr>
            </w:pPr>
            <w:r>
              <w:rPr>
                <w:rFonts w:hint="eastAsia" w:ascii="宋体" w:hAnsi="宋体" w:eastAsia="宋体" w:cs="宋体"/>
                <w:b w:val="0"/>
                <w:bCs w:val="0"/>
                <w:i w:val="0"/>
                <w:iCs w:val="0"/>
                <w:color w:val="000000"/>
                <w:kern w:val="0"/>
                <w:sz w:val="24"/>
                <w:szCs w:val="24"/>
                <w:highlight w:val="none"/>
                <w:u w:val="none"/>
                <w:lang w:val="en-US" w:eastAsia="zh-CN" w:bidi="ar"/>
              </w:rPr>
              <w:t>4.38</w:t>
            </w:r>
          </w:p>
        </w:tc>
        <w:tc>
          <w:tcPr>
            <w:tcW w:w="186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24"/>
                <w:szCs w:val="24"/>
                <w:highlight w:val="none"/>
                <w:u w:val="none"/>
                <w:lang w:val="en-US" w:eastAsia="zh-CN" w:bidi="ar"/>
              </w:rPr>
            </w:pPr>
            <w:r>
              <w:rPr>
                <w:rFonts w:hint="eastAsia" w:ascii="宋体" w:hAnsi="宋体" w:eastAsia="宋体" w:cs="宋体"/>
                <w:b w:val="0"/>
                <w:bCs w:val="0"/>
                <w:i w:val="0"/>
                <w:iCs w:val="0"/>
                <w:color w:val="000000"/>
                <w:kern w:val="0"/>
                <w:sz w:val="24"/>
                <w:szCs w:val="24"/>
                <w:highlight w:val="none"/>
                <w:u w:val="none"/>
                <w:lang w:val="en-US" w:eastAsia="zh-CN" w:bidi="ar"/>
              </w:rPr>
              <w:t>4.27</w:t>
            </w:r>
          </w:p>
        </w:tc>
        <w:tc>
          <w:tcPr>
            <w:tcW w:w="186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宋体" w:hAnsi="宋体" w:eastAsia="宋体" w:cs="宋体"/>
                <w:b w:val="0"/>
                <w:bCs w:val="0"/>
                <w:i w:val="0"/>
                <w:iCs w:val="0"/>
                <w:color w:val="000000"/>
                <w:kern w:val="0"/>
                <w:sz w:val="24"/>
                <w:szCs w:val="24"/>
                <w:highlight w:val="none"/>
                <w:u w:val="none"/>
                <w:lang w:val="en-US" w:eastAsia="zh-CN" w:bidi="ar"/>
              </w:rPr>
            </w:pPr>
            <w:r>
              <w:rPr>
                <w:rFonts w:hint="eastAsia" w:ascii="宋体" w:hAnsi="宋体" w:eastAsia="宋体" w:cs="宋体"/>
                <w:b w:val="0"/>
                <w:bCs w:val="0"/>
                <w:i w:val="0"/>
                <w:iCs w:val="0"/>
                <w:color w:val="000000"/>
                <w:kern w:val="0"/>
                <w:sz w:val="24"/>
                <w:szCs w:val="24"/>
                <w:highlight w:val="none"/>
                <w:u w:val="none"/>
                <w:lang w:val="en-US" w:eastAsia="zh-CN" w:bidi="ar"/>
              </w:rPr>
              <w:t>21.5年</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40" w:hRule="atLeast"/>
          <w:jc w:val="center"/>
        </w:trPr>
        <w:tc>
          <w:tcPr>
            <w:tcW w:w="256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1"/>
                <w:szCs w:val="21"/>
                <w:highlight w:val="none"/>
                <w:u w:val="none"/>
                <w:lang w:val="en-US" w:eastAsia="zh-CN" w:bidi="ar"/>
              </w:rPr>
            </w:pPr>
            <w:r>
              <w:rPr>
                <w:rFonts w:hint="eastAsia" w:ascii="宋体" w:hAnsi="宋体" w:eastAsia="宋体" w:cs="宋体"/>
                <w:i w:val="0"/>
                <w:iCs w:val="0"/>
                <w:color w:val="000000"/>
                <w:kern w:val="0"/>
                <w:sz w:val="21"/>
                <w:szCs w:val="21"/>
                <w:highlight w:val="none"/>
                <w:u w:val="none"/>
                <w:lang w:val="en-US" w:eastAsia="zh-CN" w:bidi="ar"/>
              </w:rPr>
              <w:t>桓仁县县城生活垃圾填埋场</w:t>
            </w:r>
          </w:p>
        </w:tc>
        <w:tc>
          <w:tcPr>
            <w:tcW w:w="219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bCs/>
                <w:i w:val="0"/>
                <w:iCs w:val="0"/>
                <w:color w:val="000000"/>
                <w:kern w:val="0"/>
                <w:sz w:val="21"/>
                <w:szCs w:val="21"/>
                <w:highlight w:val="none"/>
                <w:u w:val="none"/>
                <w:lang w:val="en-US" w:eastAsia="zh-CN" w:bidi="ar"/>
              </w:rPr>
            </w:pPr>
            <w:r>
              <w:rPr>
                <w:rFonts w:hint="eastAsia" w:asciiTheme="minorEastAsia" w:hAnsiTheme="minorEastAsia" w:eastAsiaTheme="minorEastAsia" w:cstheme="minorEastAsia"/>
                <w:sz w:val="22"/>
                <w:szCs w:val="22"/>
                <w:highlight w:val="none"/>
                <w:lang w:val="en-US" w:eastAsia="zh-CN"/>
              </w:rPr>
              <w:t>生活垃圾填埋场/填埋场</w:t>
            </w:r>
          </w:p>
        </w:tc>
        <w:tc>
          <w:tcPr>
            <w:tcW w:w="164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宋体" w:hAnsi="宋体" w:eastAsia="宋体" w:cs="宋体"/>
                <w:b w:val="0"/>
                <w:bCs w:val="0"/>
                <w:i w:val="0"/>
                <w:iCs w:val="0"/>
                <w:color w:val="auto"/>
                <w:kern w:val="0"/>
                <w:sz w:val="24"/>
                <w:szCs w:val="24"/>
                <w:highlight w:val="none"/>
                <w:u w:val="none"/>
                <w:lang w:val="en-US" w:eastAsia="zh-CN" w:bidi="ar"/>
              </w:rPr>
            </w:pPr>
            <w:r>
              <w:rPr>
                <w:rFonts w:hint="eastAsia" w:ascii="宋体" w:hAnsi="宋体" w:eastAsia="宋体" w:cs="宋体"/>
                <w:b w:val="0"/>
                <w:bCs w:val="0"/>
                <w:i w:val="0"/>
                <w:iCs w:val="0"/>
                <w:color w:val="000000"/>
                <w:kern w:val="0"/>
                <w:sz w:val="24"/>
                <w:szCs w:val="24"/>
                <w:highlight w:val="none"/>
                <w:u w:val="none"/>
                <w:lang w:val="en-US" w:eastAsia="zh-CN" w:bidi="ar"/>
              </w:rPr>
              <w:t>5.475</w:t>
            </w:r>
          </w:p>
        </w:tc>
        <w:tc>
          <w:tcPr>
            <w:tcW w:w="186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24"/>
                <w:szCs w:val="24"/>
                <w:highlight w:val="none"/>
                <w:u w:val="none"/>
                <w:lang w:val="en-US" w:eastAsia="zh-CN" w:bidi="ar"/>
              </w:rPr>
            </w:pPr>
            <w:r>
              <w:rPr>
                <w:rFonts w:hint="eastAsia" w:ascii="宋体" w:hAnsi="宋体" w:eastAsia="宋体" w:cs="宋体"/>
                <w:b w:val="0"/>
                <w:bCs w:val="0"/>
                <w:i w:val="0"/>
                <w:iCs w:val="0"/>
                <w:color w:val="000000"/>
                <w:kern w:val="0"/>
                <w:sz w:val="24"/>
                <w:szCs w:val="24"/>
                <w:highlight w:val="none"/>
                <w:u w:val="none"/>
                <w:lang w:val="en-US" w:eastAsia="zh-CN" w:bidi="ar"/>
              </w:rPr>
              <w:t>4.745</w:t>
            </w:r>
          </w:p>
        </w:tc>
        <w:tc>
          <w:tcPr>
            <w:tcW w:w="186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宋体" w:hAnsi="宋体" w:eastAsia="宋体" w:cs="宋体"/>
                <w:b w:val="0"/>
                <w:bCs w:val="0"/>
                <w:i w:val="0"/>
                <w:iCs w:val="0"/>
                <w:color w:val="000000"/>
                <w:kern w:val="0"/>
                <w:sz w:val="24"/>
                <w:szCs w:val="24"/>
                <w:highlight w:val="none"/>
                <w:u w:val="none"/>
                <w:lang w:val="en-US" w:eastAsia="zh-CN" w:bidi="ar"/>
              </w:rPr>
            </w:pPr>
            <w:r>
              <w:rPr>
                <w:rFonts w:hint="eastAsia" w:ascii="宋体" w:hAnsi="宋体" w:eastAsia="宋体" w:cs="宋体"/>
                <w:b w:val="0"/>
                <w:bCs w:val="0"/>
                <w:i w:val="0"/>
                <w:iCs w:val="0"/>
                <w:color w:val="000000"/>
                <w:kern w:val="0"/>
                <w:sz w:val="24"/>
                <w:szCs w:val="24"/>
                <w:highlight w:val="none"/>
                <w:u w:val="none"/>
                <w:lang w:val="en-US" w:eastAsia="zh-CN" w:bidi="ar"/>
              </w:rPr>
              <w:t>15年</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20" w:hRule="atLeast"/>
          <w:jc w:val="center"/>
        </w:trPr>
        <w:tc>
          <w:tcPr>
            <w:tcW w:w="256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本溪满族自治县草河口镇生活垃圾卫生填埋场</w:t>
            </w:r>
          </w:p>
        </w:tc>
        <w:tc>
          <w:tcPr>
            <w:tcW w:w="219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1"/>
                <w:szCs w:val="21"/>
                <w:highlight w:val="none"/>
                <w:u w:val="none"/>
              </w:rPr>
            </w:pPr>
            <w:r>
              <w:rPr>
                <w:rFonts w:hint="eastAsia" w:asciiTheme="minorEastAsia" w:hAnsiTheme="minorEastAsia" w:eastAsiaTheme="minorEastAsia" w:cstheme="minorEastAsia"/>
                <w:sz w:val="22"/>
                <w:szCs w:val="22"/>
                <w:highlight w:val="none"/>
                <w:lang w:val="en-US" w:eastAsia="zh-CN"/>
              </w:rPr>
              <w:t>生活垃圾填埋场/填埋场</w:t>
            </w:r>
          </w:p>
        </w:tc>
        <w:tc>
          <w:tcPr>
            <w:tcW w:w="164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000000"/>
                <w:sz w:val="24"/>
                <w:szCs w:val="24"/>
                <w:highlight w:val="none"/>
                <w:u w:val="none"/>
                <w:lang w:val="en-US" w:eastAsia="zh-CN"/>
              </w:rPr>
              <w:t>2.19</w:t>
            </w:r>
          </w:p>
        </w:tc>
        <w:tc>
          <w:tcPr>
            <w:tcW w:w="186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FF0000"/>
                <w:kern w:val="2"/>
                <w:sz w:val="24"/>
                <w:szCs w:val="24"/>
                <w:highlight w:val="none"/>
                <w:u w:val="none"/>
                <w:lang w:val="en-US" w:eastAsia="zh-CN" w:bidi="ar-SA"/>
              </w:rPr>
            </w:pPr>
            <w:r>
              <w:rPr>
                <w:rFonts w:hint="eastAsia" w:ascii="宋体" w:hAnsi="宋体" w:eastAsia="宋体" w:cs="宋体"/>
                <w:i w:val="0"/>
                <w:iCs w:val="0"/>
                <w:color w:val="000000"/>
                <w:sz w:val="24"/>
                <w:szCs w:val="24"/>
                <w:highlight w:val="none"/>
                <w:u w:val="none"/>
                <w:lang w:val="en-US" w:eastAsia="zh-CN"/>
              </w:rPr>
              <w:t>2.0</w:t>
            </w:r>
          </w:p>
        </w:tc>
        <w:tc>
          <w:tcPr>
            <w:tcW w:w="186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15年</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20" w:hRule="atLeast"/>
          <w:jc w:val="center"/>
        </w:trPr>
        <w:tc>
          <w:tcPr>
            <w:tcW w:w="256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本溪满族自治县高官镇生活垃圾填埋场</w:t>
            </w:r>
          </w:p>
        </w:tc>
        <w:tc>
          <w:tcPr>
            <w:tcW w:w="219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1"/>
                <w:szCs w:val="21"/>
                <w:highlight w:val="none"/>
                <w:u w:val="none"/>
              </w:rPr>
            </w:pPr>
            <w:r>
              <w:rPr>
                <w:rFonts w:hint="eastAsia" w:asciiTheme="minorEastAsia" w:hAnsiTheme="minorEastAsia" w:eastAsiaTheme="minorEastAsia" w:cstheme="minorEastAsia"/>
                <w:sz w:val="22"/>
                <w:szCs w:val="22"/>
                <w:highlight w:val="none"/>
                <w:lang w:val="en-US" w:eastAsia="zh-CN"/>
              </w:rPr>
              <w:t>生活垃圾填埋场/填埋场</w:t>
            </w:r>
          </w:p>
        </w:tc>
        <w:tc>
          <w:tcPr>
            <w:tcW w:w="164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000000"/>
                <w:sz w:val="24"/>
                <w:szCs w:val="24"/>
                <w:highlight w:val="none"/>
                <w:u w:val="none"/>
                <w:lang w:val="en-US" w:eastAsia="zh-CN"/>
              </w:rPr>
              <w:t>0.91</w:t>
            </w:r>
          </w:p>
        </w:tc>
        <w:tc>
          <w:tcPr>
            <w:tcW w:w="186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FF0000"/>
                <w:kern w:val="2"/>
                <w:sz w:val="24"/>
                <w:szCs w:val="24"/>
                <w:highlight w:val="none"/>
                <w:u w:val="none"/>
                <w:lang w:val="en-US" w:eastAsia="zh-CN" w:bidi="ar-SA"/>
              </w:rPr>
            </w:pPr>
            <w:r>
              <w:rPr>
                <w:rFonts w:hint="eastAsia" w:ascii="宋体" w:hAnsi="宋体" w:eastAsia="宋体" w:cs="宋体"/>
                <w:i w:val="0"/>
                <w:iCs w:val="0"/>
                <w:color w:val="000000"/>
                <w:sz w:val="24"/>
                <w:szCs w:val="24"/>
                <w:highlight w:val="none"/>
                <w:u w:val="none"/>
                <w:lang w:val="en-US" w:eastAsia="zh-CN"/>
              </w:rPr>
              <w:t>0.73</w:t>
            </w:r>
          </w:p>
        </w:tc>
        <w:tc>
          <w:tcPr>
            <w:tcW w:w="186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18.5年</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20" w:hRule="atLeast"/>
          <w:jc w:val="center"/>
        </w:trPr>
        <w:tc>
          <w:tcPr>
            <w:tcW w:w="256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本溪满族自治县碱厂镇垃圾填埋场</w:t>
            </w:r>
          </w:p>
        </w:tc>
        <w:tc>
          <w:tcPr>
            <w:tcW w:w="219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1"/>
                <w:szCs w:val="21"/>
                <w:highlight w:val="none"/>
                <w:u w:val="none"/>
              </w:rPr>
            </w:pPr>
            <w:r>
              <w:rPr>
                <w:rFonts w:hint="eastAsia" w:asciiTheme="minorEastAsia" w:hAnsiTheme="minorEastAsia" w:eastAsiaTheme="minorEastAsia" w:cstheme="minorEastAsia"/>
                <w:sz w:val="22"/>
                <w:szCs w:val="22"/>
                <w:highlight w:val="none"/>
                <w:lang w:val="en-US" w:eastAsia="zh-CN"/>
              </w:rPr>
              <w:t>生活垃圾填埋场/填埋场</w:t>
            </w:r>
          </w:p>
        </w:tc>
        <w:tc>
          <w:tcPr>
            <w:tcW w:w="164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000000"/>
                <w:sz w:val="24"/>
                <w:szCs w:val="24"/>
                <w:highlight w:val="none"/>
                <w:u w:val="none"/>
                <w:lang w:val="en-US" w:eastAsia="zh-CN"/>
              </w:rPr>
              <w:t>2.19</w:t>
            </w:r>
          </w:p>
        </w:tc>
        <w:tc>
          <w:tcPr>
            <w:tcW w:w="186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FF0000"/>
                <w:kern w:val="2"/>
                <w:sz w:val="24"/>
                <w:szCs w:val="24"/>
                <w:highlight w:val="none"/>
                <w:u w:val="none"/>
                <w:lang w:val="en-US" w:eastAsia="zh-CN" w:bidi="ar-SA"/>
              </w:rPr>
            </w:pPr>
            <w:r>
              <w:rPr>
                <w:rFonts w:hint="eastAsia" w:ascii="宋体" w:hAnsi="宋体" w:eastAsia="宋体" w:cs="宋体"/>
                <w:i w:val="0"/>
                <w:iCs w:val="0"/>
                <w:color w:val="000000"/>
                <w:sz w:val="24"/>
                <w:szCs w:val="24"/>
                <w:highlight w:val="none"/>
                <w:u w:val="none"/>
                <w:lang w:val="en-US" w:eastAsia="zh-CN"/>
              </w:rPr>
              <w:t>0</w:t>
            </w:r>
          </w:p>
        </w:tc>
        <w:tc>
          <w:tcPr>
            <w:tcW w:w="186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10年（封场）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20" w:hRule="atLeast"/>
          <w:jc w:val="center"/>
        </w:trPr>
        <w:tc>
          <w:tcPr>
            <w:tcW w:w="256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本溪满族自治县田师付镇广源垃圾填埋场</w:t>
            </w:r>
          </w:p>
        </w:tc>
        <w:tc>
          <w:tcPr>
            <w:tcW w:w="219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1"/>
                <w:szCs w:val="21"/>
                <w:highlight w:val="none"/>
                <w:u w:val="none"/>
              </w:rPr>
            </w:pPr>
            <w:r>
              <w:rPr>
                <w:rFonts w:hint="eastAsia" w:asciiTheme="minorEastAsia" w:hAnsiTheme="minorEastAsia" w:eastAsiaTheme="minorEastAsia" w:cstheme="minorEastAsia"/>
                <w:sz w:val="22"/>
                <w:szCs w:val="22"/>
                <w:highlight w:val="none"/>
                <w:lang w:val="en-US" w:eastAsia="zh-CN"/>
              </w:rPr>
              <w:t>生活垃圾填埋场/填埋场</w:t>
            </w:r>
          </w:p>
        </w:tc>
        <w:tc>
          <w:tcPr>
            <w:tcW w:w="164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000000"/>
                <w:sz w:val="24"/>
                <w:szCs w:val="24"/>
                <w:highlight w:val="none"/>
                <w:u w:val="none"/>
                <w:lang w:val="en-US" w:eastAsia="zh-CN"/>
              </w:rPr>
              <w:t>2.19</w:t>
            </w:r>
          </w:p>
        </w:tc>
        <w:tc>
          <w:tcPr>
            <w:tcW w:w="186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FF0000"/>
                <w:kern w:val="2"/>
                <w:sz w:val="24"/>
                <w:szCs w:val="24"/>
                <w:highlight w:val="none"/>
                <w:u w:val="none"/>
                <w:lang w:val="en-US" w:eastAsia="zh-CN" w:bidi="ar-SA"/>
              </w:rPr>
            </w:pPr>
            <w:r>
              <w:rPr>
                <w:rFonts w:hint="eastAsia" w:ascii="宋体" w:hAnsi="宋体" w:eastAsia="宋体" w:cs="宋体"/>
                <w:i w:val="0"/>
                <w:iCs w:val="0"/>
                <w:color w:val="000000"/>
                <w:sz w:val="24"/>
                <w:szCs w:val="24"/>
                <w:highlight w:val="none"/>
                <w:u w:val="none"/>
                <w:lang w:val="en-US" w:eastAsia="zh-CN"/>
              </w:rPr>
              <w:t>0</w:t>
            </w:r>
          </w:p>
        </w:tc>
        <w:tc>
          <w:tcPr>
            <w:tcW w:w="186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15年（停用）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20" w:hRule="atLeast"/>
          <w:jc w:val="center"/>
        </w:trPr>
        <w:tc>
          <w:tcPr>
            <w:tcW w:w="256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桓仁满族自治县二棚甸子镇生活垃圾卫生填埋场</w:t>
            </w:r>
          </w:p>
        </w:tc>
        <w:tc>
          <w:tcPr>
            <w:tcW w:w="219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1"/>
                <w:szCs w:val="21"/>
                <w:highlight w:val="none"/>
                <w:u w:val="none"/>
              </w:rPr>
            </w:pPr>
            <w:r>
              <w:rPr>
                <w:rFonts w:hint="eastAsia" w:asciiTheme="minorEastAsia" w:hAnsiTheme="minorEastAsia" w:eastAsiaTheme="minorEastAsia" w:cstheme="minorEastAsia"/>
                <w:sz w:val="22"/>
                <w:szCs w:val="22"/>
                <w:highlight w:val="none"/>
                <w:lang w:val="en-US" w:eastAsia="zh-CN"/>
              </w:rPr>
              <w:t>生活垃圾填埋场/填埋场</w:t>
            </w:r>
          </w:p>
        </w:tc>
        <w:tc>
          <w:tcPr>
            <w:tcW w:w="164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default" w:ascii="宋体" w:hAnsi="宋体" w:eastAsia="宋体" w:cs="宋体"/>
                <w:i w:val="0"/>
                <w:iCs w:val="0"/>
                <w:color w:val="000000"/>
                <w:sz w:val="24"/>
                <w:szCs w:val="24"/>
                <w:highlight w:val="none"/>
                <w:u w:val="none"/>
                <w:lang w:val="en-US"/>
              </w:rPr>
              <w:t>1.46</w:t>
            </w:r>
          </w:p>
        </w:tc>
        <w:tc>
          <w:tcPr>
            <w:tcW w:w="186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FF0000"/>
                <w:kern w:val="2"/>
                <w:sz w:val="24"/>
                <w:szCs w:val="24"/>
                <w:highlight w:val="none"/>
                <w:u w:val="none"/>
                <w:lang w:val="en-US" w:eastAsia="zh-CN" w:bidi="ar-SA"/>
              </w:rPr>
            </w:pPr>
            <w:r>
              <w:rPr>
                <w:rFonts w:hint="default" w:ascii="宋体" w:hAnsi="宋体" w:eastAsia="宋体" w:cs="宋体"/>
                <w:i w:val="0"/>
                <w:iCs w:val="0"/>
                <w:color w:val="000000"/>
                <w:sz w:val="24"/>
                <w:szCs w:val="24"/>
                <w:highlight w:val="none"/>
                <w:u w:val="none"/>
                <w:lang w:val="en-US"/>
              </w:rPr>
              <w:t>1.28</w:t>
            </w:r>
          </w:p>
        </w:tc>
        <w:tc>
          <w:tcPr>
            <w:tcW w:w="186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20年</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20" w:hRule="atLeast"/>
          <w:jc w:val="center"/>
        </w:trPr>
        <w:tc>
          <w:tcPr>
            <w:tcW w:w="256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桓仁满族自治县古城镇生活垃圾卫生填埋场</w:t>
            </w:r>
          </w:p>
        </w:tc>
        <w:tc>
          <w:tcPr>
            <w:tcW w:w="219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1"/>
                <w:szCs w:val="21"/>
                <w:highlight w:val="none"/>
                <w:u w:val="none"/>
              </w:rPr>
            </w:pPr>
            <w:r>
              <w:rPr>
                <w:rFonts w:hint="eastAsia" w:asciiTheme="minorEastAsia" w:hAnsiTheme="minorEastAsia" w:eastAsiaTheme="minorEastAsia" w:cstheme="minorEastAsia"/>
                <w:sz w:val="22"/>
                <w:szCs w:val="22"/>
                <w:highlight w:val="none"/>
                <w:lang w:val="en-US" w:eastAsia="zh-CN"/>
              </w:rPr>
              <w:t>生活垃圾填埋场/填埋场</w:t>
            </w:r>
          </w:p>
        </w:tc>
        <w:tc>
          <w:tcPr>
            <w:tcW w:w="164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default" w:ascii="宋体" w:hAnsi="宋体" w:eastAsia="宋体" w:cs="宋体"/>
                <w:i w:val="0"/>
                <w:iCs w:val="0"/>
                <w:color w:val="000000"/>
                <w:sz w:val="24"/>
                <w:szCs w:val="24"/>
                <w:highlight w:val="none"/>
                <w:u w:val="none"/>
                <w:lang w:val="en-US"/>
              </w:rPr>
              <w:t>2.19</w:t>
            </w:r>
          </w:p>
        </w:tc>
        <w:tc>
          <w:tcPr>
            <w:tcW w:w="186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FF0000"/>
                <w:kern w:val="2"/>
                <w:sz w:val="24"/>
                <w:szCs w:val="24"/>
                <w:highlight w:val="none"/>
                <w:u w:val="none"/>
                <w:lang w:val="en-US" w:eastAsia="zh-CN" w:bidi="ar-SA"/>
              </w:rPr>
            </w:pPr>
            <w:r>
              <w:rPr>
                <w:rFonts w:hint="default" w:ascii="宋体" w:hAnsi="宋体" w:eastAsia="宋体" w:cs="宋体"/>
                <w:i w:val="0"/>
                <w:iCs w:val="0"/>
                <w:color w:val="000000"/>
                <w:sz w:val="24"/>
                <w:szCs w:val="24"/>
                <w:highlight w:val="none"/>
                <w:u w:val="none"/>
                <w:lang w:val="en-US"/>
              </w:rPr>
              <w:t>0.75</w:t>
            </w:r>
          </w:p>
        </w:tc>
        <w:tc>
          <w:tcPr>
            <w:tcW w:w="186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20年</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20" w:hRule="atLeast"/>
          <w:jc w:val="center"/>
        </w:trPr>
        <w:tc>
          <w:tcPr>
            <w:tcW w:w="256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桓仁满族自治县华来镇生活垃圾卫生填埋场</w:t>
            </w:r>
          </w:p>
        </w:tc>
        <w:tc>
          <w:tcPr>
            <w:tcW w:w="219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1"/>
                <w:szCs w:val="21"/>
                <w:highlight w:val="none"/>
                <w:u w:val="none"/>
              </w:rPr>
            </w:pPr>
            <w:r>
              <w:rPr>
                <w:rFonts w:hint="eastAsia" w:asciiTheme="minorEastAsia" w:hAnsiTheme="minorEastAsia" w:eastAsiaTheme="minorEastAsia" w:cstheme="minorEastAsia"/>
                <w:sz w:val="22"/>
                <w:szCs w:val="22"/>
                <w:highlight w:val="none"/>
                <w:lang w:val="en-US" w:eastAsia="zh-CN"/>
              </w:rPr>
              <w:t>生活垃圾填埋场/填埋场</w:t>
            </w:r>
          </w:p>
        </w:tc>
        <w:tc>
          <w:tcPr>
            <w:tcW w:w="164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default" w:ascii="宋体" w:hAnsi="宋体" w:eastAsia="宋体" w:cs="宋体"/>
                <w:i w:val="0"/>
                <w:iCs w:val="0"/>
                <w:color w:val="000000"/>
                <w:sz w:val="24"/>
                <w:szCs w:val="24"/>
                <w:highlight w:val="none"/>
                <w:u w:val="none"/>
                <w:lang w:val="en-US"/>
              </w:rPr>
              <w:t>2.56</w:t>
            </w:r>
          </w:p>
        </w:tc>
        <w:tc>
          <w:tcPr>
            <w:tcW w:w="186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FF0000"/>
                <w:kern w:val="2"/>
                <w:sz w:val="24"/>
                <w:szCs w:val="24"/>
                <w:highlight w:val="none"/>
                <w:u w:val="none"/>
                <w:lang w:val="en-US" w:eastAsia="zh-CN" w:bidi="ar-SA"/>
              </w:rPr>
            </w:pPr>
            <w:r>
              <w:rPr>
                <w:rFonts w:hint="default" w:ascii="宋体" w:hAnsi="宋体" w:eastAsia="宋体" w:cs="宋体"/>
                <w:i w:val="0"/>
                <w:iCs w:val="0"/>
                <w:color w:val="000000"/>
                <w:sz w:val="24"/>
                <w:szCs w:val="24"/>
                <w:highlight w:val="none"/>
                <w:u w:val="none"/>
                <w:lang w:val="en-US"/>
              </w:rPr>
              <w:t>1.10</w:t>
            </w:r>
          </w:p>
        </w:tc>
        <w:tc>
          <w:tcPr>
            <w:tcW w:w="186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15年</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20" w:hRule="atLeast"/>
          <w:jc w:val="center"/>
        </w:trPr>
        <w:tc>
          <w:tcPr>
            <w:tcW w:w="256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桓仁满族自治县五里甸子镇生活垃圾卫生填埋场</w:t>
            </w:r>
          </w:p>
        </w:tc>
        <w:tc>
          <w:tcPr>
            <w:tcW w:w="219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1"/>
                <w:szCs w:val="21"/>
                <w:highlight w:val="none"/>
                <w:u w:val="none"/>
              </w:rPr>
            </w:pPr>
            <w:r>
              <w:rPr>
                <w:rFonts w:hint="eastAsia" w:asciiTheme="minorEastAsia" w:hAnsiTheme="minorEastAsia" w:eastAsiaTheme="minorEastAsia" w:cstheme="minorEastAsia"/>
                <w:sz w:val="22"/>
                <w:szCs w:val="22"/>
                <w:highlight w:val="none"/>
                <w:lang w:val="en-US" w:eastAsia="zh-CN"/>
              </w:rPr>
              <w:t>生活垃圾填埋场/填埋场</w:t>
            </w:r>
          </w:p>
        </w:tc>
        <w:tc>
          <w:tcPr>
            <w:tcW w:w="164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default" w:ascii="宋体" w:hAnsi="宋体" w:eastAsia="宋体" w:cs="宋体"/>
                <w:i w:val="0"/>
                <w:iCs w:val="0"/>
                <w:color w:val="000000"/>
                <w:sz w:val="24"/>
                <w:szCs w:val="24"/>
                <w:highlight w:val="none"/>
                <w:u w:val="none"/>
                <w:lang w:val="en-US"/>
              </w:rPr>
              <w:t>3.65</w:t>
            </w:r>
          </w:p>
        </w:tc>
        <w:tc>
          <w:tcPr>
            <w:tcW w:w="186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FF0000"/>
                <w:kern w:val="2"/>
                <w:sz w:val="24"/>
                <w:szCs w:val="24"/>
                <w:highlight w:val="none"/>
                <w:u w:val="none"/>
                <w:lang w:val="en-US" w:eastAsia="zh-CN" w:bidi="ar-SA"/>
              </w:rPr>
            </w:pPr>
            <w:r>
              <w:rPr>
                <w:rFonts w:hint="eastAsia" w:ascii="宋体" w:hAnsi="宋体" w:eastAsia="宋体" w:cs="宋体"/>
                <w:i w:val="0"/>
                <w:iCs w:val="0"/>
                <w:color w:val="000000" w:themeColor="text1"/>
                <w:sz w:val="24"/>
                <w:szCs w:val="24"/>
                <w:highlight w:val="none"/>
                <w:u w:val="none"/>
                <w:lang w:val="en-US" w:eastAsia="zh-CN"/>
                <w14:textFill>
                  <w14:solidFill>
                    <w14:schemeClr w14:val="tx1"/>
                  </w14:solidFill>
                </w14:textFill>
              </w:rPr>
              <w:t>0</w:t>
            </w:r>
          </w:p>
        </w:tc>
        <w:tc>
          <w:tcPr>
            <w:tcW w:w="186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10年（停用）</w:t>
            </w:r>
          </w:p>
        </w:tc>
      </w:tr>
    </w:tbl>
    <w:p>
      <w:pPr>
        <w:keepNext w:val="0"/>
        <w:keepLines w:val="0"/>
        <w:pageBreakBefore w:val="0"/>
        <w:widowControl w:val="0"/>
        <w:kinsoku/>
        <w:wordWrap/>
        <w:overflowPunct/>
        <w:topLinePunct w:val="0"/>
        <w:autoSpaceDE/>
        <w:autoSpaceDN/>
        <w:bidi w:val="0"/>
        <w:adjustRightInd/>
        <w:snapToGrid/>
        <w:spacing w:before="0" w:after="0" w:line="578" w:lineRule="exact"/>
        <w:ind w:left="0" w:leftChars="0" w:right="0" w:rightChars="0" w:firstLine="643" w:firstLineChars="200"/>
        <w:jc w:val="both"/>
        <w:textAlignment w:val="auto"/>
        <w:outlineLvl w:val="9"/>
        <w:rPr>
          <w:rFonts w:hint="eastAsia" w:ascii="仿宋_GB2312" w:hAnsi="仿宋_GB2312" w:eastAsia="仿宋_GB2312" w:cs="仿宋_GB2312"/>
          <w:b/>
          <w:bCs/>
          <w:sz w:val="32"/>
          <w:szCs w:val="32"/>
          <w:highlight w:val="none"/>
        </w:rPr>
      </w:pPr>
      <w:r>
        <w:rPr>
          <w:rFonts w:hint="eastAsia" w:ascii="仿宋_GB2312" w:hAnsi="仿宋_GB2312" w:eastAsia="仿宋_GB2312" w:cs="仿宋_GB2312"/>
          <w:b/>
          <w:bCs/>
          <w:sz w:val="32"/>
          <w:szCs w:val="32"/>
          <w:highlight w:val="none"/>
          <w:lang w:val="en-US" w:eastAsia="zh-CN"/>
        </w:rPr>
        <w:t>3.</w:t>
      </w:r>
      <w:r>
        <w:rPr>
          <w:rFonts w:hint="eastAsia" w:ascii="仿宋_GB2312" w:hAnsi="仿宋_GB2312" w:eastAsia="仿宋_GB2312" w:cs="仿宋_GB2312"/>
          <w:b/>
          <w:bCs/>
          <w:sz w:val="32"/>
          <w:szCs w:val="32"/>
          <w:highlight w:val="none"/>
        </w:rPr>
        <w:t>生活垃圾分类情况</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202</w:t>
      </w:r>
      <w:r>
        <w:rPr>
          <w:rFonts w:hint="default" w:ascii="仿宋_GB2312" w:hAnsi="仿宋_GB2312" w:eastAsia="仿宋_GB2312" w:cs="仿宋_GB2312"/>
          <w:color w:val="auto"/>
          <w:sz w:val="32"/>
          <w:szCs w:val="32"/>
          <w:highlight w:val="none"/>
          <w:lang w:val="en-US"/>
        </w:rPr>
        <w:t>5</w:t>
      </w:r>
      <w:r>
        <w:rPr>
          <w:rFonts w:hint="eastAsia" w:ascii="仿宋_GB2312" w:hAnsi="仿宋_GB2312" w:eastAsia="仿宋_GB2312" w:cs="仿宋_GB2312"/>
          <w:color w:val="auto"/>
          <w:sz w:val="32"/>
          <w:szCs w:val="32"/>
          <w:highlight w:val="none"/>
        </w:rPr>
        <w:t>年，生活垃圾资源化利用率</w:t>
      </w:r>
      <w:r>
        <w:rPr>
          <w:rFonts w:hint="default" w:ascii="仿宋_GB2312" w:hAnsi="仿宋_GB2312" w:eastAsia="仿宋_GB2312" w:cs="仿宋_GB2312"/>
          <w:color w:val="auto"/>
          <w:sz w:val="32"/>
          <w:szCs w:val="32"/>
          <w:highlight w:val="none"/>
          <w:lang w:val="en-US"/>
        </w:rPr>
        <w:t>84.26</w:t>
      </w:r>
      <w:r>
        <w:rPr>
          <w:rFonts w:hint="eastAsia" w:ascii="仿宋_GB2312" w:hAnsi="仿宋_GB2312" w:eastAsia="仿宋_GB2312" w:cs="仿宋_GB2312"/>
          <w:color w:val="auto"/>
          <w:sz w:val="32"/>
          <w:szCs w:val="32"/>
          <w:highlight w:val="none"/>
        </w:rPr>
        <w:t>%。</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ascii="仿宋_GB2312" w:eastAsia="仿宋_GB2312"/>
          <w:sz w:val="32"/>
          <w:szCs w:val="32"/>
          <w:highlight w:val="none"/>
        </w:rPr>
      </w:pPr>
      <w:r>
        <w:rPr>
          <w:rFonts w:hint="eastAsia" w:ascii="仿宋_GB2312" w:eastAsia="仿宋_GB2312"/>
          <w:sz w:val="32"/>
          <w:szCs w:val="32"/>
          <w:highlight w:val="none"/>
        </w:rPr>
        <w:t>2025年，单独清运餐厨垃圾3423吨，均通过卫生填埋方式进行无害化处理。</w:t>
      </w:r>
    </w:p>
    <w:p>
      <w:pPr>
        <w:keepNext w:val="0"/>
        <w:keepLines w:val="0"/>
        <w:pageBreakBefore w:val="0"/>
        <w:widowControl w:val="0"/>
        <w:kinsoku/>
        <w:wordWrap/>
        <w:overflowPunct/>
        <w:topLinePunct w:val="0"/>
        <w:autoSpaceDE/>
        <w:autoSpaceDN/>
        <w:bidi w:val="0"/>
        <w:spacing w:line="578" w:lineRule="exact"/>
        <w:ind w:firstLine="640" w:firstLineChars="200"/>
        <w:textAlignment w:val="auto"/>
        <w:rPr>
          <w:rFonts w:hint="eastAsia" w:ascii="黑体" w:hAnsi="黑体" w:eastAsia="黑体" w:cs="黑体"/>
          <w:b w:val="0"/>
          <w:bCs/>
          <w:sz w:val="32"/>
          <w:szCs w:val="32"/>
          <w:highlight w:val="none"/>
          <w:lang w:val="en-US" w:eastAsia="zh-CN"/>
        </w:rPr>
      </w:pPr>
      <w:r>
        <w:rPr>
          <w:rFonts w:hint="eastAsia" w:ascii="黑体" w:hAnsi="黑体" w:eastAsia="黑体" w:cs="黑体"/>
          <w:b w:val="0"/>
          <w:bCs/>
          <w:sz w:val="32"/>
          <w:szCs w:val="32"/>
          <w:highlight w:val="none"/>
          <w:lang w:val="en-US" w:eastAsia="zh-CN"/>
        </w:rPr>
        <w:t>五、建筑垃圾</w:t>
      </w:r>
    </w:p>
    <w:p>
      <w:pPr>
        <w:keepNext w:val="0"/>
        <w:keepLines w:val="0"/>
        <w:pageBreakBefore w:val="0"/>
        <w:widowControl w:val="0"/>
        <w:kinsoku/>
        <w:wordWrap/>
        <w:overflowPunct/>
        <w:topLinePunct w:val="0"/>
        <w:autoSpaceDE/>
        <w:autoSpaceDN/>
        <w:bidi w:val="0"/>
        <w:adjustRightInd w:val="0"/>
        <w:snapToGrid w:val="0"/>
        <w:spacing w:line="578" w:lineRule="exact"/>
        <w:ind w:firstLine="643" w:firstLineChars="200"/>
        <w:textAlignment w:val="auto"/>
        <w:rPr>
          <w:rFonts w:hint="eastAsia" w:ascii="仿宋_GB2312" w:hAnsi="仿宋_GB2312" w:eastAsia="仿宋_GB2312" w:cs="仿宋_GB2312"/>
          <w:b/>
          <w:bCs/>
          <w:sz w:val="32"/>
          <w:szCs w:val="32"/>
          <w:highlight w:val="none"/>
        </w:rPr>
      </w:pPr>
      <w:r>
        <w:rPr>
          <w:rFonts w:hint="eastAsia" w:ascii="仿宋_GB2312" w:hAnsi="仿宋_GB2312" w:eastAsia="仿宋_GB2312" w:cs="仿宋_GB2312"/>
          <w:b/>
          <w:bCs/>
          <w:sz w:val="32"/>
          <w:szCs w:val="32"/>
          <w:highlight w:val="none"/>
          <w:lang w:val="en-US" w:eastAsia="zh-CN"/>
        </w:rPr>
        <w:t>1.</w:t>
      </w:r>
      <w:r>
        <w:rPr>
          <w:rFonts w:hint="eastAsia" w:ascii="仿宋_GB2312" w:hAnsi="仿宋_GB2312" w:eastAsia="仿宋_GB2312" w:cs="仿宋_GB2312"/>
          <w:b/>
          <w:bCs/>
          <w:sz w:val="32"/>
          <w:szCs w:val="32"/>
          <w:highlight w:val="none"/>
          <w:lang w:eastAsia="zh-CN"/>
        </w:rPr>
        <w:t>产生、利用及处置情况</w:t>
      </w:r>
    </w:p>
    <w:p>
      <w:pPr>
        <w:keepNext w:val="0"/>
        <w:keepLines w:val="0"/>
        <w:pageBreakBefore w:val="0"/>
        <w:widowControl w:val="0"/>
        <w:kinsoku/>
        <w:wordWrap/>
        <w:overflowPunct/>
        <w:topLinePunct w:val="0"/>
        <w:autoSpaceDE/>
        <w:autoSpaceDN/>
        <w:bidi w:val="0"/>
        <w:adjustRightInd w:val="0"/>
        <w:snapToGrid w:val="0"/>
        <w:spacing w:line="578" w:lineRule="exact"/>
        <w:ind w:firstLine="640" w:firstLineChars="200"/>
        <w:textAlignment w:val="auto"/>
        <w:rPr>
          <w:rFonts w:ascii="仿宋_GB2312" w:eastAsia="仿宋_GB2312"/>
          <w:sz w:val="32"/>
          <w:szCs w:val="32"/>
          <w:highlight w:val="none"/>
        </w:rPr>
      </w:pPr>
      <w:r>
        <w:rPr>
          <w:rFonts w:ascii="仿宋_GB2312" w:eastAsia="仿宋_GB2312"/>
          <w:sz w:val="32"/>
          <w:szCs w:val="32"/>
          <w:highlight w:val="none"/>
        </w:rPr>
        <w:t>2025年全市建筑垃圾产生量为206.58万吨，资源化利用量2.88万吨，主要利用方式为就地利用转化及集中处理转化，填埋量4.23万吨。</w:t>
      </w:r>
    </w:p>
    <w:p>
      <w:pPr>
        <w:keepNext w:val="0"/>
        <w:keepLines w:val="0"/>
        <w:pageBreakBefore w:val="0"/>
        <w:widowControl w:val="0"/>
        <w:kinsoku/>
        <w:wordWrap/>
        <w:overflowPunct/>
        <w:topLinePunct w:val="0"/>
        <w:autoSpaceDE/>
        <w:autoSpaceDN/>
        <w:bidi w:val="0"/>
        <w:adjustRightInd w:val="0"/>
        <w:snapToGrid w:val="0"/>
        <w:spacing w:line="578" w:lineRule="exact"/>
        <w:ind w:firstLine="640" w:firstLineChars="200"/>
        <w:textAlignment w:val="auto"/>
        <w:rPr>
          <w:rFonts w:ascii="仿宋_GB2312" w:eastAsia="仿宋_GB2312"/>
          <w:sz w:val="32"/>
          <w:szCs w:val="32"/>
          <w:highlight w:val="none"/>
        </w:rPr>
      </w:pPr>
      <w:r>
        <w:rPr>
          <w:rFonts w:ascii="仿宋_GB2312" w:eastAsia="仿宋_GB2312"/>
          <w:sz w:val="32"/>
          <w:szCs w:val="32"/>
          <w:highlight w:val="none"/>
        </w:rPr>
        <w:t>工程渣土产生量为202.96万吨，资源化利用量2.63万吨，填埋量4.17万吨</w:t>
      </w:r>
      <w:r>
        <w:rPr>
          <w:rFonts w:hint="eastAsia" w:ascii="仿宋_GB2312" w:eastAsia="仿宋_GB2312"/>
          <w:sz w:val="32"/>
          <w:szCs w:val="32"/>
          <w:highlight w:val="none"/>
          <w:lang w:eastAsia="zh-CN"/>
        </w:rPr>
        <w:t>；</w:t>
      </w:r>
      <w:r>
        <w:rPr>
          <w:rFonts w:ascii="仿宋_GB2312" w:eastAsia="仿宋_GB2312"/>
          <w:sz w:val="32"/>
          <w:szCs w:val="32"/>
          <w:highlight w:val="none"/>
        </w:rPr>
        <w:t>工程泥浆产生量为0万吨，资源化利用量0万吨，填埋量0万吨</w:t>
      </w:r>
      <w:r>
        <w:rPr>
          <w:rFonts w:hint="eastAsia" w:ascii="仿宋_GB2312" w:eastAsia="仿宋_GB2312"/>
          <w:sz w:val="32"/>
          <w:szCs w:val="32"/>
          <w:highlight w:val="none"/>
          <w:lang w:eastAsia="zh-CN"/>
        </w:rPr>
        <w:t>；</w:t>
      </w:r>
      <w:r>
        <w:rPr>
          <w:rFonts w:ascii="仿宋_GB2312" w:eastAsia="仿宋_GB2312"/>
          <w:sz w:val="32"/>
          <w:szCs w:val="32"/>
          <w:highlight w:val="none"/>
        </w:rPr>
        <w:t>工程垃圾产生量为0.09万吨，资源化利用量0万吨，填埋量0万吨</w:t>
      </w:r>
      <w:r>
        <w:rPr>
          <w:rFonts w:hint="eastAsia" w:ascii="仿宋_GB2312" w:eastAsia="仿宋_GB2312"/>
          <w:sz w:val="32"/>
          <w:szCs w:val="32"/>
          <w:highlight w:val="none"/>
          <w:lang w:eastAsia="zh-CN"/>
        </w:rPr>
        <w:t>；</w:t>
      </w:r>
      <w:r>
        <w:rPr>
          <w:rFonts w:ascii="仿宋_GB2312" w:eastAsia="仿宋_GB2312"/>
          <w:sz w:val="32"/>
          <w:szCs w:val="32"/>
          <w:highlight w:val="none"/>
        </w:rPr>
        <w:t>拆除垃圾产生量为3.21万吨，资源化利用量0.25万吨，填埋量0.03万吨</w:t>
      </w:r>
      <w:r>
        <w:rPr>
          <w:rFonts w:hint="eastAsia" w:ascii="仿宋_GB2312" w:eastAsia="仿宋_GB2312"/>
          <w:sz w:val="32"/>
          <w:szCs w:val="32"/>
          <w:highlight w:val="none"/>
          <w:lang w:eastAsia="zh-CN"/>
        </w:rPr>
        <w:t>；</w:t>
      </w:r>
      <w:r>
        <w:rPr>
          <w:rFonts w:ascii="仿宋_GB2312" w:eastAsia="仿宋_GB2312"/>
          <w:sz w:val="32"/>
          <w:szCs w:val="32"/>
          <w:highlight w:val="none"/>
        </w:rPr>
        <w:t>装修垃圾产生量为0.04万吨，资源化利用量0万吨，填埋量0.03万吨。2025年建筑垃圾主要种类产生情况为工程渣土占比98.2%；拆除垃圾占比1.7%；工程垃圾占比0.044%；装修垃圾占比0.019%；工程泥浆占比0。</w:t>
      </w:r>
    </w:p>
    <w:p>
      <w:pPr>
        <w:keepNext w:val="0"/>
        <w:keepLines w:val="0"/>
        <w:pageBreakBefore w:val="0"/>
        <w:widowControl w:val="0"/>
        <w:kinsoku/>
        <w:wordWrap/>
        <w:overflowPunct/>
        <w:topLinePunct w:val="0"/>
        <w:autoSpaceDE/>
        <w:autoSpaceDN/>
        <w:bidi w:val="0"/>
        <w:adjustRightInd w:val="0"/>
        <w:snapToGrid w:val="0"/>
        <w:spacing w:line="578" w:lineRule="exact"/>
        <w:ind w:firstLine="643" w:firstLineChars="200"/>
        <w:textAlignment w:val="auto"/>
        <w:rPr>
          <w:rFonts w:ascii="仿宋_GB2312" w:eastAsia="仿宋_GB2312"/>
          <w:b/>
          <w:bCs/>
          <w:sz w:val="32"/>
          <w:szCs w:val="32"/>
          <w:highlight w:val="none"/>
        </w:rPr>
      </w:pPr>
      <w:r>
        <w:rPr>
          <w:rFonts w:hint="eastAsia" w:ascii="仿宋_GB2312" w:eastAsia="仿宋_GB2312"/>
          <w:b/>
          <w:bCs/>
          <w:sz w:val="32"/>
          <w:szCs w:val="32"/>
          <w:highlight w:val="none"/>
          <w:lang w:val="en-US" w:eastAsia="zh-CN"/>
        </w:rPr>
        <w:t>2.</w:t>
      </w:r>
      <w:r>
        <w:rPr>
          <w:rFonts w:ascii="仿宋_GB2312" w:eastAsia="仿宋_GB2312"/>
          <w:b/>
          <w:bCs/>
          <w:sz w:val="32"/>
          <w:szCs w:val="32"/>
          <w:highlight w:val="none"/>
        </w:rPr>
        <w:t>主要处理设施情况</w:t>
      </w:r>
    </w:p>
    <w:p>
      <w:pPr>
        <w:keepNext w:val="0"/>
        <w:keepLines w:val="0"/>
        <w:pageBreakBefore w:val="0"/>
        <w:widowControl w:val="0"/>
        <w:kinsoku/>
        <w:wordWrap/>
        <w:overflowPunct/>
        <w:topLinePunct w:val="0"/>
        <w:autoSpaceDE/>
        <w:autoSpaceDN/>
        <w:bidi w:val="0"/>
        <w:adjustRightInd w:val="0"/>
        <w:snapToGrid w:val="0"/>
        <w:spacing w:line="578" w:lineRule="exact"/>
        <w:ind w:firstLine="616" w:firstLineChars="200"/>
        <w:textAlignment w:val="auto"/>
        <w:rPr>
          <w:rFonts w:ascii="仿宋_GB2312" w:eastAsia="仿宋_GB2312"/>
          <w:spacing w:val="-6"/>
          <w:sz w:val="32"/>
          <w:szCs w:val="32"/>
          <w:highlight w:val="none"/>
        </w:rPr>
      </w:pPr>
      <w:r>
        <w:rPr>
          <w:rFonts w:ascii="仿宋_GB2312" w:eastAsia="仿宋_GB2312"/>
          <w:spacing w:val="-6"/>
          <w:sz w:val="32"/>
          <w:szCs w:val="32"/>
          <w:highlight w:val="none"/>
        </w:rPr>
        <w:t>2025年，本市共有6家单位开展建筑垃圾处理活动，本市建筑垃圾处理能力</w:t>
      </w:r>
      <w:r>
        <w:rPr>
          <w:rFonts w:hint="eastAsia" w:ascii="仿宋_GB2312" w:eastAsia="仿宋_GB2312"/>
          <w:spacing w:val="-6"/>
          <w:sz w:val="32"/>
          <w:szCs w:val="32"/>
          <w:highlight w:val="none"/>
          <w:lang w:eastAsia="zh-CN"/>
        </w:rPr>
        <w:t>约</w:t>
      </w:r>
      <w:r>
        <w:rPr>
          <w:rFonts w:ascii="仿宋_GB2312" w:eastAsia="仿宋_GB2312"/>
          <w:spacing w:val="-6"/>
          <w:sz w:val="32"/>
          <w:szCs w:val="32"/>
          <w:highlight w:val="none"/>
        </w:rPr>
        <w:t>168万吨，主要处理设施情况见下表</w:t>
      </w:r>
      <w:r>
        <w:rPr>
          <w:rFonts w:hint="eastAsia" w:ascii="仿宋_GB2312" w:eastAsia="仿宋_GB2312"/>
          <w:spacing w:val="-6"/>
          <w:sz w:val="32"/>
          <w:szCs w:val="32"/>
          <w:highlight w:val="none"/>
          <w:lang w:val="en-US" w:eastAsia="zh-CN"/>
        </w:rPr>
        <w:t>7</w:t>
      </w:r>
      <w:r>
        <w:rPr>
          <w:rFonts w:ascii="仿宋_GB2312" w:eastAsia="仿宋_GB2312"/>
          <w:spacing w:val="-6"/>
          <w:sz w:val="32"/>
          <w:szCs w:val="32"/>
          <w:highlight w:val="none"/>
        </w:rPr>
        <w:t>。</w:t>
      </w:r>
    </w:p>
    <w:p>
      <w:pPr>
        <w:adjustRightInd w:val="0"/>
        <w:snapToGrid w:val="0"/>
        <w:spacing w:line="560" w:lineRule="exact"/>
        <w:jc w:val="center"/>
        <w:rPr>
          <w:rFonts w:hint="eastAsia" w:ascii="仿宋_GB2312" w:hAnsi="仿宋_GB2312" w:eastAsia="仿宋_GB2312" w:cs="仿宋_GB2312"/>
          <w:sz w:val="24"/>
          <w:szCs w:val="24"/>
          <w:highlight w:val="none"/>
          <w:lang w:val="en-US" w:eastAsia="zh-CN"/>
        </w:rPr>
      </w:pPr>
      <w:r>
        <w:rPr>
          <w:rFonts w:hint="eastAsia" w:ascii="宋体" w:hAnsi="宋体" w:eastAsia="宋体" w:cs="宋体"/>
          <w:b/>
          <w:bCs/>
          <w:sz w:val="24"/>
          <w:szCs w:val="24"/>
          <w:highlight w:val="none"/>
          <w:lang w:val="en-US" w:eastAsia="zh-CN"/>
        </w:rPr>
        <w:t>表7 建筑垃圾处理设施情况</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130"/>
        <w:gridCol w:w="2130"/>
        <w:gridCol w:w="2131"/>
        <w:gridCol w:w="213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3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280" w:lineRule="exact"/>
              <w:jc w:val="center"/>
              <w:textAlignment w:val="auto"/>
              <w:rPr>
                <w:rFonts w:ascii="国标仿宋-GB/T 2312" w:hAnsi="国标仿宋-GB/T 2312" w:eastAsia="Times New Roman" w:cs="Times New Roman"/>
                <w:b/>
                <w:bCs/>
                <w:kern w:val="2"/>
                <w:sz w:val="22"/>
                <w:szCs w:val="22"/>
                <w:highlight w:val="none"/>
              </w:rPr>
            </w:pPr>
            <w:r>
              <w:rPr>
                <w:rFonts w:hint="eastAsia" w:ascii="宋体" w:hAnsi="宋体" w:eastAsia="宋体" w:cs="宋体"/>
                <w:b/>
                <w:bCs/>
                <w:kern w:val="0"/>
                <w:sz w:val="22"/>
                <w:szCs w:val="22"/>
                <w:highlight w:val="none"/>
              </w:rPr>
              <w:t>处理设施</w:t>
            </w:r>
          </w:p>
          <w:p>
            <w:pPr>
              <w:keepNext w:val="0"/>
              <w:keepLines w:val="0"/>
              <w:pageBreakBefore w:val="0"/>
              <w:widowControl w:val="0"/>
              <w:kinsoku/>
              <w:wordWrap/>
              <w:overflowPunct/>
              <w:topLinePunct w:val="0"/>
              <w:autoSpaceDE/>
              <w:autoSpaceDN/>
              <w:bidi w:val="0"/>
              <w:adjustRightInd w:val="0"/>
              <w:snapToGrid w:val="0"/>
              <w:spacing w:line="280" w:lineRule="exact"/>
              <w:jc w:val="center"/>
              <w:textAlignment w:val="auto"/>
              <w:rPr>
                <w:rFonts w:hint="eastAsia" w:ascii="国标仿宋-GB/T 2312" w:hAnsi="国标仿宋-GB/T 2312" w:eastAsia="宋体" w:cs="Times New Roman"/>
                <w:b/>
                <w:bCs/>
                <w:kern w:val="2"/>
                <w:sz w:val="22"/>
                <w:szCs w:val="22"/>
                <w:highlight w:val="none"/>
              </w:rPr>
            </w:pPr>
            <w:r>
              <w:rPr>
                <w:rFonts w:hint="eastAsia" w:ascii="宋体" w:hAnsi="宋体" w:eastAsia="宋体" w:cs="宋体"/>
                <w:b/>
                <w:bCs/>
                <w:kern w:val="0"/>
                <w:sz w:val="22"/>
                <w:szCs w:val="22"/>
                <w:highlight w:val="none"/>
              </w:rPr>
              <w:t>所属单位名称</w:t>
            </w:r>
          </w:p>
        </w:tc>
        <w:tc>
          <w:tcPr>
            <w:tcW w:w="213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280" w:lineRule="exact"/>
              <w:jc w:val="center"/>
              <w:textAlignment w:val="auto"/>
              <w:rPr>
                <w:rFonts w:hint="eastAsia" w:ascii="国标仿宋-GB/T 2312" w:hAnsi="国标仿宋-GB/T 2312" w:eastAsia="宋体" w:cs="Times New Roman"/>
                <w:b/>
                <w:bCs/>
                <w:kern w:val="2"/>
                <w:sz w:val="22"/>
                <w:szCs w:val="22"/>
                <w:highlight w:val="none"/>
              </w:rPr>
            </w:pPr>
            <w:r>
              <w:rPr>
                <w:rFonts w:hint="eastAsia" w:ascii="宋体" w:hAnsi="宋体" w:eastAsia="宋体" w:cs="宋体"/>
                <w:b/>
                <w:bCs/>
                <w:kern w:val="0"/>
                <w:sz w:val="22"/>
                <w:szCs w:val="22"/>
                <w:highlight w:val="none"/>
              </w:rPr>
              <w:t>处理建筑垃圾种类</w:t>
            </w:r>
          </w:p>
        </w:tc>
        <w:tc>
          <w:tcPr>
            <w:tcW w:w="213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280" w:lineRule="exact"/>
              <w:jc w:val="center"/>
              <w:textAlignment w:val="auto"/>
              <w:rPr>
                <w:rFonts w:ascii="国标仿宋-GB/T 2312" w:hAnsi="国标仿宋-GB/T 2312" w:eastAsia="Times New Roman" w:cs="Times New Roman"/>
                <w:b/>
                <w:bCs/>
                <w:kern w:val="2"/>
                <w:sz w:val="22"/>
                <w:szCs w:val="22"/>
                <w:highlight w:val="none"/>
              </w:rPr>
            </w:pPr>
            <w:r>
              <w:rPr>
                <w:rFonts w:hint="eastAsia" w:ascii="宋体" w:hAnsi="宋体" w:eastAsia="宋体" w:cs="宋体"/>
                <w:b/>
                <w:bCs/>
                <w:kern w:val="0"/>
                <w:sz w:val="22"/>
                <w:szCs w:val="22"/>
                <w:highlight w:val="none"/>
              </w:rPr>
              <w:t>设计处理能力</w:t>
            </w:r>
          </w:p>
          <w:p>
            <w:pPr>
              <w:keepNext w:val="0"/>
              <w:keepLines w:val="0"/>
              <w:pageBreakBefore w:val="0"/>
              <w:widowControl w:val="0"/>
              <w:kinsoku/>
              <w:wordWrap/>
              <w:overflowPunct/>
              <w:topLinePunct w:val="0"/>
              <w:autoSpaceDE/>
              <w:autoSpaceDN/>
              <w:bidi w:val="0"/>
              <w:adjustRightInd w:val="0"/>
              <w:snapToGrid w:val="0"/>
              <w:spacing w:line="280" w:lineRule="exact"/>
              <w:jc w:val="center"/>
              <w:textAlignment w:val="auto"/>
              <w:rPr>
                <w:rFonts w:hint="eastAsia" w:ascii="国标仿宋-GB/T 2312" w:hAnsi="国标仿宋-GB/T 2312" w:eastAsia="宋体" w:cs="Times New Roman"/>
                <w:b/>
                <w:bCs/>
                <w:kern w:val="2"/>
                <w:sz w:val="22"/>
                <w:szCs w:val="22"/>
                <w:highlight w:val="none"/>
                <w:lang w:eastAsia="zh-CN"/>
              </w:rPr>
            </w:pPr>
            <w:r>
              <w:rPr>
                <w:rFonts w:hint="eastAsia" w:ascii="国标仿宋-GB/T 2312" w:hAnsi="国标仿宋-GB/T 2312" w:eastAsia="宋体" w:cs="Times New Roman"/>
                <w:b/>
                <w:bCs/>
                <w:kern w:val="0"/>
                <w:sz w:val="22"/>
                <w:szCs w:val="22"/>
                <w:highlight w:val="none"/>
                <w:lang w:eastAsia="zh-CN"/>
              </w:rPr>
              <w:t>（</w:t>
            </w:r>
            <w:r>
              <w:rPr>
                <w:rFonts w:hint="eastAsia" w:ascii="宋体" w:hAnsi="宋体" w:eastAsia="宋体" w:cs="宋体"/>
                <w:b/>
                <w:bCs/>
                <w:kern w:val="0"/>
                <w:sz w:val="22"/>
                <w:szCs w:val="22"/>
                <w:highlight w:val="none"/>
              </w:rPr>
              <w:t>万吨</w:t>
            </w:r>
            <w:r>
              <w:rPr>
                <w:rFonts w:hint="eastAsia" w:ascii="Times New Roman" w:hAnsi="Times New Roman" w:eastAsia="宋体" w:cs="Times New Roman"/>
                <w:b/>
                <w:bCs/>
                <w:kern w:val="0"/>
                <w:sz w:val="22"/>
                <w:szCs w:val="22"/>
                <w:highlight w:val="none"/>
                <w:lang w:eastAsia="zh-CN"/>
              </w:rPr>
              <w:t>）</w:t>
            </w:r>
          </w:p>
        </w:tc>
        <w:tc>
          <w:tcPr>
            <w:tcW w:w="213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280" w:lineRule="exact"/>
              <w:jc w:val="center"/>
              <w:textAlignment w:val="auto"/>
              <w:rPr>
                <w:rFonts w:ascii="国标仿宋-GB/T 2312" w:hAnsi="国标仿宋-GB/T 2312" w:eastAsia="Times New Roman" w:cs="Times New Roman"/>
                <w:b/>
                <w:bCs/>
                <w:kern w:val="2"/>
                <w:sz w:val="22"/>
                <w:szCs w:val="22"/>
                <w:highlight w:val="none"/>
              </w:rPr>
            </w:pPr>
            <w:r>
              <w:rPr>
                <w:rFonts w:hint="eastAsia" w:ascii="宋体" w:hAnsi="宋体" w:eastAsia="宋体" w:cs="宋体"/>
                <w:b/>
                <w:bCs/>
                <w:kern w:val="0"/>
                <w:sz w:val="22"/>
                <w:szCs w:val="22"/>
                <w:highlight w:val="none"/>
              </w:rPr>
              <w:t>实际处理量</w:t>
            </w:r>
          </w:p>
          <w:p>
            <w:pPr>
              <w:keepNext w:val="0"/>
              <w:keepLines w:val="0"/>
              <w:pageBreakBefore w:val="0"/>
              <w:widowControl w:val="0"/>
              <w:kinsoku/>
              <w:wordWrap/>
              <w:overflowPunct/>
              <w:topLinePunct w:val="0"/>
              <w:autoSpaceDE/>
              <w:autoSpaceDN/>
              <w:bidi w:val="0"/>
              <w:adjustRightInd w:val="0"/>
              <w:snapToGrid w:val="0"/>
              <w:spacing w:line="280" w:lineRule="exact"/>
              <w:jc w:val="center"/>
              <w:textAlignment w:val="auto"/>
              <w:rPr>
                <w:rFonts w:hint="eastAsia" w:ascii="国标仿宋-GB/T 2312" w:hAnsi="国标仿宋-GB/T 2312" w:eastAsia="宋体" w:cs="Times New Roman"/>
                <w:b/>
                <w:bCs/>
                <w:kern w:val="2"/>
                <w:sz w:val="22"/>
                <w:szCs w:val="22"/>
                <w:highlight w:val="none"/>
                <w:lang w:eastAsia="zh-CN"/>
              </w:rPr>
            </w:pPr>
            <w:r>
              <w:rPr>
                <w:rFonts w:hint="eastAsia" w:ascii="国标仿宋-GB/T 2312" w:hAnsi="国标仿宋-GB/T 2312" w:eastAsia="宋体" w:cs="Times New Roman"/>
                <w:b/>
                <w:bCs/>
                <w:kern w:val="0"/>
                <w:sz w:val="22"/>
                <w:szCs w:val="22"/>
                <w:highlight w:val="none"/>
                <w:lang w:eastAsia="zh-CN"/>
              </w:rPr>
              <w:t>（</w:t>
            </w:r>
            <w:r>
              <w:rPr>
                <w:rFonts w:hint="eastAsia" w:ascii="宋体" w:hAnsi="宋体" w:eastAsia="宋体" w:cs="宋体"/>
                <w:b/>
                <w:bCs/>
                <w:kern w:val="0"/>
                <w:sz w:val="22"/>
                <w:szCs w:val="22"/>
                <w:highlight w:val="none"/>
              </w:rPr>
              <w:t>万吨</w:t>
            </w:r>
            <w:r>
              <w:rPr>
                <w:rFonts w:hint="eastAsia" w:ascii="Times New Roman" w:hAnsi="Times New Roman" w:eastAsia="宋体" w:cs="Times New Roman"/>
                <w:b/>
                <w:bCs/>
                <w:kern w:val="0"/>
                <w:sz w:val="22"/>
                <w:szCs w:val="22"/>
                <w:highlight w:val="none"/>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7" w:hRule="atLeast"/>
        </w:trPr>
        <w:tc>
          <w:tcPr>
            <w:tcW w:w="213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280" w:lineRule="exact"/>
              <w:jc w:val="center"/>
              <w:textAlignment w:val="auto"/>
              <w:rPr>
                <w:rFonts w:hint="eastAsia" w:ascii="国标仿宋-GB/T 2312" w:hAnsi="国标仿宋-GB/T 2312" w:eastAsia="宋体" w:cs="Times New Roman"/>
                <w:kern w:val="2"/>
                <w:sz w:val="22"/>
                <w:szCs w:val="22"/>
                <w:highlight w:val="none"/>
              </w:rPr>
            </w:pPr>
            <w:r>
              <w:rPr>
                <w:rFonts w:hint="eastAsia" w:ascii="宋体" w:hAnsi="宋体" w:eastAsia="宋体" w:cs="宋体"/>
                <w:kern w:val="0"/>
                <w:sz w:val="22"/>
                <w:szCs w:val="22"/>
                <w:highlight w:val="none"/>
              </w:rPr>
              <w:t>南芬区建筑垃圾转运调配场</w:t>
            </w:r>
          </w:p>
        </w:tc>
        <w:tc>
          <w:tcPr>
            <w:tcW w:w="213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280" w:lineRule="exact"/>
              <w:jc w:val="center"/>
              <w:textAlignment w:val="auto"/>
              <w:rPr>
                <w:rFonts w:hint="eastAsia" w:ascii="国标仿宋-GB/T 2312" w:hAnsi="国标仿宋-GB/T 2312" w:eastAsia="宋体" w:cs="Times New Roman"/>
                <w:kern w:val="2"/>
                <w:sz w:val="22"/>
                <w:szCs w:val="22"/>
                <w:highlight w:val="none"/>
              </w:rPr>
            </w:pPr>
            <w:r>
              <w:rPr>
                <w:rFonts w:hint="eastAsia" w:ascii="宋体" w:hAnsi="宋体" w:eastAsia="宋体" w:cs="宋体"/>
                <w:kern w:val="0"/>
                <w:sz w:val="22"/>
                <w:szCs w:val="22"/>
                <w:highlight w:val="none"/>
              </w:rPr>
              <w:t>工程渣土</w:t>
            </w:r>
          </w:p>
        </w:tc>
        <w:tc>
          <w:tcPr>
            <w:tcW w:w="213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280" w:lineRule="exact"/>
              <w:jc w:val="center"/>
              <w:textAlignment w:val="auto"/>
              <w:rPr>
                <w:rFonts w:hint="eastAsia" w:ascii="国标仿宋-GB/T 2312" w:hAnsi="国标仿宋-GB/T 2312" w:eastAsia="宋体" w:cs="Times New Roman"/>
                <w:kern w:val="2"/>
                <w:sz w:val="24"/>
                <w:szCs w:val="24"/>
                <w:highlight w:val="none"/>
              </w:rPr>
            </w:pPr>
            <w:r>
              <w:rPr>
                <w:rFonts w:ascii="国标仿宋-GB/T 2312" w:hAnsi="国标仿宋-GB/T 2312" w:eastAsia="Times New Roman" w:cs="Times New Roman"/>
                <w:kern w:val="0"/>
                <w:sz w:val="24"/>
                <w:szCs w:val="24"/>
                <w:highlight w:val="none"/>
              </w:rPr>
              <w:t>20</w:t>
            </w:r>
          </w:p>
        </w:tc>
        <w:tc>
          <w:tcPr>
            <w:tcW w:w="213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280" w:lineRule="exact"/>
              <w:jc w:val="center"/>
              <w:textAlignment w:val="auto"/>
              <w:rPr>
                <w:rFonts w:hint="eastAsia" w:ascii="国标仿宋-GB/T 2312" w:hAnsi="国标仿宋-GB/T 2312" w:eastAsia="宋体" w:cs="Times New Roman"/>
                <w:kern w:val="2"/>
                <w:sz w:val="24"/>
                <w:szCs w:val="24"/>
                <w:highlight w:val="none"/>
              </w:rPr>
            </w:pPr>
            <w:r>
              <w:rPr>
                <w:rFonts w:ascii="国标仿宋-GB/T 2312" w:hAnsi="国标仿宋-GB/T 2312" w:eastAsia="Times New Roman" w:cs="Times New Roman"/>
                <w:kern w:val="0"/>
                <w:sz w:val="24"/>
                <w:szCs w:val="24"/>
                <w:highlight w:val="none"/>
              </w:rPr>
              <w:t>6.9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3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280" w:lineRule="exact"/>
              <w:jc w:val="center"/>
              <w:textAlignment w:val="auto"/>
              <w:rPr>
                <w:rFonts w:hint="eastAsia" w:ascii="国标仿宋-GB/T 2312" w:hAnsi="国标仿宋-GB/T 2312" w:eastAsia="宋体" w:cs="Times New Roman"/>
                <w:kern w:val="2"/>
                <w:sz w:val="22"/>
                <w:szCs w:val="22"/>
                <w:highlight w:val="none"/>
              </w:rPr>
            </w:pPr>
            <w:r>
              <w:rPr>
                <w:rFonts w:hint="eastAsia" w:ascii="宋体" w:hAnsi="宋体" w:eastAsia="宋体" w:cs="宋体"/>
                <w:kern w:val="0"/>
                <w:sz w:val="22"/>
                <w:szCs w:val="22"/>
                <w:highlight w:val="none"/>
              </w:rPr>
              <w:t>桓仁县建筑垃圾转运调配场</w:t>
            </w:r>
          </w:p>
        </w:tc>
        <w:tc>
          <w:tcPr>
            <w:tcW w:w="213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280" w:lineRule="exact"/>
              <w:jc w:val="center"/>
              <w:textAlignment w:val="auto"/>
              <w:rPr>
                <w:rFonts w:hint="eastAsia" w:ascii="国标仿宋-GB/T 2312" w:hAnsi="国标仿宋-GB/T 2312" w:eastAsia="宋体" w:cs="Times New Roman"/>
                <w:kern w:val="2"/>
                <w:sz w:val="22"/>
                <w:szCs w:val="22"/>
                <w:highlight w:val="none"/>
              </w:rPr>
            </w:pPr>
            <w:r>
              <w:rPr>
                <w:rFonts w:hint="eastAsia" w:ascii="宋体" w:hAnsi="宋体" w:eastAsia="宋体" w:cs="宋体"/>
                <w:kern w:val="0"/>
                <w:sz w:val="22"/>
                <w:szCs w:val="22"/>
                <w:highlight w:val="none"/>
              </w:rPr>
              <w:t>工程渣土、工程垃圾、拆除垃圾、装修垃圾</w:t>
            </w:r>
          </w:p>
        </w:tc>
        <w:tc>
          <w:tcPr>
            <w:tcW w:w="213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280" w:lineRule="exact"/>
              <w:jc w:val="center"/>
              <w:textAlignment w:val="auto"/>
              <w:rPr>
                <w:rFonts w:hint="eastAsia" w:ascii="国标仿宋-GB/T 2312" w:hAnsi="国标仿宋-GB/T 2312" w:eastAsia="宋体" w:cs="Times New Roman"/>
                <w:kern w:val="2"/>
                <w:sz w:val="24"/>
                <w:szCs w:val="24"/>
                <w:highlight w:val="none"/>
              </w:rPr>
            </w:pPr>
            <w:r>
              <w:rPr>
                <w:rFonts w:ascii="国标仿宋-GB/T 2312" w:hAnsi="国标仿宋-GB/T 2312" w:eastAsia="Times New Roman" w:cs="Times New Roman"/>
                <w:kern w:val="0"/>
                <w:sz w:val="24"/>
                <w:szCs w:val="24"/>
                <w:highlight w:val="none"/>
              </w:rPr>
              <w:t>2</w:t>
            </w:r>
          </w:p>
        </w:tc>
        <w:tc>
          <w:tcPr>
            <w:tcW w:w="213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280" w:lineRule="exact"/>
              <w:jc w:val="center"/>
              <w:textAlignment w:val="auto"/>
              <w:rPr>
                <w:rFonts w:hint="eastAsia" w:ascii="国标仿宋-GB/T 2312" w:hAnsi="国标仿宋-GB/T 2312" w:eastAsia="宋体" w:cs="Times New Roman"/>
                <w:kern w:val="2"/>
                <w:sz w:val="24"/>
                <w:szCs w:val="24"/>
                <w:highlight w:val="none"/>
              </w:rPr>
            </w:pPr>
            <w:r>
              <w:rPr>
                <w:rFonts w:ascii="国标仿宋-GB/T 2312" w:hAnsi="国标仿宋-GB/T 2312" w:eastAsia="Times New Roman" w:cs="Times New Roman"/>
                <w:kern w:val="0"/>
                <w:sz w:val="24"/>
                <w:szCs w:val="24"/>
                <w:highlight w:val="none"/>
              </w:rPr>
              <w:t>0.2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1" w:hRule="atLeast"/>
        </w:trPr>
        <w:tc>
          <w:tcPr>
            <w:tcW w:w="213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280" w:lineRule="exact"/>
              <w:jc w:val="center"/>
              <w:textAlignment w:val="auto"/>
              <w:rPr>
                <w:rFonts w:hint="eastAsia" w:ascii="国标仿宋-GB/T 2312" w:hAnsi="国标仿宋-GB/T 2312" w:eastAsia="宋体" w:cs="Times New Roman"/>
                <w:kern w:val="2"/>
                <w:sz w:val="22"/>
                <w:szCs w:val="22"/>
                <w:highlight w:val="none"/>
              </w:rPr>
            </w:pPr>
            <w:r>
              <w:rPr>
                <w:rFonts w:hint="eastAsia" w:ascii="宋体" w:hAnsi="宋体" w:eastAsia="宋体" w:cs="宋体"/>
                <w:kern w:val="0"/>
                <w:sz w:val="22"/>
                <w:szCs w:val="22"/>
                <w:highlight w:val="none"/>
              </w:rPr>
              <w:t>本溪满族自治县建筑垃圾消纳场</w:t>
            </w:r>
          </w:p>
        </w:tc>
        <w:tc>
          <w:tcPr>
            <w:tcW w:w="213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280" w:lineRule="exact"/>
              <w:jc w:val="center"/>
              <w:textAlignment w:val="auto"/>
              <w:rPr>
                <w:rFonts w:hint="eastAsia" w:ascii="国标仿宋-GB/T 2312" w:hAnsi="国标仿宋-GB/T 2312" w:eastAsia="宋体" w:cs="Times New Roman"/>
                <w:kern w:val="2"/>
                <w:sz w:val="22"/>
                <w:szCs w:val="22"/>
                <w:highlight w:val="none"/>
              </w:rPr>
            </w:pPr>
            <w:r>
              <w:rPr>
                <w:rFonts w:hint="eastAsia" w:ascii="宋体" w:hAnsi="宋体" w:eastAsia="宋体" w:cs="宋体"/>
                <w:kern w:val="0"/>
                <w:sz w:val="22"/>
                <w:szCs w:val="22"/>
                <w:highlight w:val="none"/>
              </w:rPr>
              <w:t>工程渣土</w:t>
            </w:r>
          </w:p>
        </w:tc>
        <w:tc>
          <w:tcPr>
            <w:tcW w:w="213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280" w:lineRule="exact"/>
              <w:jc w:val="center"/>
              <w:textAlignment w:val="auto"/>
              <w:rPr>
                <w:rFonts w:hint="eastAsia" w:ascii="国标仿宋-GB/T 2312" w:hAnsi="国标仿宋-GB/T 2312" w:eastAsia="宋体" w:cs="Times New Roman"/>
                <w:kern w:val="2"/>
                <w:sz w:val="24"/>
                <w:szCs w:val="24"/>
                <w:highlight w:val="none"/>
              </w:rPr>
            </w:pPr>
            <w:r>
              <w:rPr>
                <w:rFonts w:ascii="国标仿宋-GB/T 2312" w:hAnsi="国标仿宋-GB/T 2312" w:eastAsia="Times New Roman" w:cs="Times New Roman"/>
                <w:kern w:val="0"/>
                <w:sz w:val="24"/>
                <w:szCs w:val="24"/>
                <w:highlight w:val="none"/>
              </w:rPr>
              <w:t>5</w:t>
            </w:r>
          </w:p>
        </w:tc>
        <w:tc>
          <w:tcPr>
            <w:tcW w:w="213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280" w:lineRule="exact"/>
              <w:jc w:val="center"/>
              <w:textAlignment w:val="auto"/>
              <w:rPr>
                <w:rFonts w:hint="eastAsia" w:ascii="国标仿宋-GB/T 2312" w:hAnsi="国标仿宋-GB/T 2312" w:eastAsia="宋体" w:cs="Times New Roman"/>
                <w:kern w:val="2"/>
                <w:sz w:val="24"/>
                <w:szCs w:val="24"/>
                <w:highlight w:val="none"/>
              </w:rPr>
            </w:pPr>
            <w:r>
              <w:rPr>
                <w:rFonts w:ascii="国标仿宋-GB/T 2312" w:hAnsi="国标仿宋-GB/T 2312" w:eastAsia="Times New Roman" w:cs="Times New Roman"/>
                <w:kern w:val="0"/>
                <w:sz w:val="24"/>
                <w:szCs w:val="24"/>
                <w:highlight w:val="none"/>
              </w:rPr>
              <w:t>0.2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3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280" w:lineRule="exact"/>
              <w:jc w:val="center"/>
              <w:textAlignment w:val="auto"/>
              <w:rPr>
                <w:rFonts w:hint="eastAsia" w:ascii="国标仿宋-GB/T 2312" w:hAnsi="国标仿宋-GB/T 2312" w:eastAsia="宋体" w:cs="Times New Roman"/>
                <w:kern w:val="2"/>
                <w:sz w:val="22"/>
                <w:szCs w:val="22"/>
                <w:highlight w:val="none"/>
              </w:rPr>
            </w:pPr>
            <w:r>
              <w:rPr>
                <w:rFonts w:hint="eastAsia" w:ascii="宋体" w:hAnsi="宋体" w:eastAsia="宋体" w:cs="宋体"/>
                <w:kern w:val="0"/>
                <w:sz w:val="22"/>
                <w:szCs w:val="22"/>
                <w:highlight w:val="none"/>
              </w:rPr>
              <w:t>彩北建设垃圾填埋场</w:t>
            </w:r>
          </w:p>
        </w:tc>
        <w:tc>
          <w:tcPr>
            <w:tcW w:w="213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280" w:lineRule="exact"/>
              <w:jc w:val="center"/>
              <w:textAlignment w:val="auto"/>
              <w:rPr>
                <w:rFonts w:hint="eastAsia" w:ascii="国标仿宋-GB/T 2312" w:hAnsi="国标仿宋-GB/T 2312" w:eastAsia="宋体" w:cs="Times New Roman"/>
                <w:kern w:val="2"/>
                <w:sz w:val="22"/>
                <w:szCs w:val="22"/>
                <w:highlight w:val="none"/>
              </w:rPr>
            </w:pPr>
            <w:r>
              <w:rPr>
                <w:rFonts w:hint="eastAsia" w:ascii="宋体" w:hAnsi="宋体" w:eastAsia="宋体" w:cs="宋体"/>
                <w:kern w:val="0"/>
                <w:sz w:val="22"/>
                <w:szCs w:val="22"/>
                <w:highlight w:val="none"/>
              </w:rPr>
              <w:t>工程渣土、工程垃圾、拆除垃圾、装修垃圾</w:t>
            </w:r>
          </w:p>
        </w:tc>
        <w:tc>
          <w:tcPr>
            <w:tcW w:w="213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280" w:lineRule="exact"/>
              <w:jc w:val="center"/>
              <w:textAlignment w:val="auto"/>
              <w:rPr>
                <w:rFonts w:hint="eastAsia" w:ascii="国标仿宋-GB/T 2312" w:hAnsi="国标仿宋-GB/T 2312" w:eastAsia="宋体" w:cs="Times New Roman"/>
                <w:kern w:val="2"/>
                <w:sz w:val="24"/>
                <w:szCs w:val="24"/>
                <w:highlight w:val="none"/>
              </w:rPr>
            </w:pPr>
            <w:r>
              <w:rPr>
                <w:rFonts w:ascii="国标仿宋-GB/T 2312" w:hAnsi="国标仿宋-GB/T 2312" w:eastAsia="Times New Roman" w:cs="Times New Roman"/>
                <w:kern w:val="0"/>
                <w:sz w:val="24"/>
                <w:szCs w:val="24"/>
                <w:highlight w:val="none"/>
              </w:rPr>
              <w:t>73</w:t>
            </w:r>
          </w:p>
        </w:tc>
        <w:tc>
          <w:tcPr>
            <w:tcW w:w="213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280" w:lineRule="exact"/>
              <w:jc w:val="center"/>
              <w:textAlignment w:val="auto"/>
              <w:rPr>
                <w:rFonts w:hint="eastAsia" w:ascii="国标仿宋-GB/T 2312" w:hAnsi="国标仿宋-GB/T 2312" w:eastAsia="宋体" w:cs="Times New Roman"/>
                <w:kern w:val="2"/>
                <w:sz w:val="24"/>
                <w:szCs w:val="24"/>
                <w:highlight w:val="none"/>
              </w:rPr>
            </w:pPr>
            <w:r>
              <w:rPr>
                <w:rFonts w:ascii="国标仿宋-GB/T 2312" w:hAnsi="国标仿宋-GB/T 2312" w:eastAsia="Times New Roman" w:cs="Times New Roman"/>
                <w:kern w:val="0"/>
                <w:sz w:val="24"/>
                <w:szCs w:val="24"/>
                <w:highlight w:val="none"/>
              </w:rPr>
              <w:t>1.4256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1" w:hRule="atLeast"/>
        </w:trPr>
        <w:tc>
          <w:tcPr>
            <w:tcW w:w="213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280" w:lineRule="exact"/>
              <w:jc w:val="center"/>
              <w:textAlignment w:val="auto"/>
              <w:rPr>
                <w:rFonts w:hint="eastAsia" w:ascii="国标仿宋-GB/T 2312" w:hAnsi="国标仿宋-GB/T 2312" w:eastAsia="宋体" w:cs="Times New Roman"/>
                <w:kern w:val="2"/>
                <w:sz w:val="22"/>
                <w:szCs w:val="22"/>
                <w:highlight w:val="none"/>
              </w:rPr>
            </w:pPr>
            <w:r>
              <w:rPr>
                <w:rFonts w:hint="eastAsia" w:ascii="宋体" w:hAnsi="宋体" w:eastAsia="宋体" w:cs="宋体"/>
                <w:kern w:val="0"/>
                <w:sz w:val="22"/>
                <w:szCs w:val="22"/>
                <w:highlight w:val="none"/>
              </w:rPr>
              <w:t>明山区上牛村建筑垃圾调配场</w:t>
            </w:r>
          </w:p>
        </w:tc>
        <w:tc>
          <w:tcPr>
            <w:tcW w:w="213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280" w:lineRule="exact"/>
              <w:jc w:val="center"/>
              <w:textAlignment w:val="auto"/>
              <w:rPr>
                <w:rFonts w:hint="eastAsia" w:ascii="国标仿宋-GB/T 2312" w:hAnsi="国标仿宋-GB/T 2312" w:eastAsia="宋体" w:cs="Times New Roman"/>
                <w:kern w:val="2"/>
                <w:sz w:val="22"/>
                <w:szCs w:val="22"/>
                <w:highlight w:val="none"/>
              </w:rPr>
            </w:pPr>
          </w:p>
        </w:tc>
        <w:tc>
          <w:tcPr>
            <w:tcW w:w="213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280" w:lineRule="exact"/>
              <w:jc w:val="center"/>
              <w:textAlignment w:val="auto"/>
              <w:rPr>
                <w:rFonts w:hint="eastAsia" w:ascii="国标仿宋-GB/T 2312" w:hAnsi="国标仿宋-GB/T 2312" w:eastAsia="宋体" w:cs="Times New Roman"/>
                <w:kern w:val="2"/>
                <w:sz w:val="24"/>
                <w:szCs w:val="24"/>
                <w:highlight w:val="none"/>
              </w:rPr>
            </w:pPr>
            <w:r>
              <w:rPr>
                <w:rFonts w:ascii="国标仿宋-GB/T 2312" w:hAnsi="国标仿宋-GB/T 2312" w:eastAsia="Times New Roman" w:cs="Times New Roman"/>
                <w:kern w:val="0"/>
                <w:sz w:val="24"/>
                <w:szCs w:val="24"/>
                <w:highlight w:val="none"/>
              </w:rPr>
              <w:t>65</w:t>
            </w:r>
          </w:p>
        </w:tc>
        <w:tc>
          <w:tcPr>
            <w:tcW w:w="213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280" w:lineRule="exact"/>
              <w:jc w:val="center"/>
              <w:textAlignment w:val="auto"/>
              <w:rPr>
                <w:rFonts w:hint="eastAsia" w:ascii="国标仿宋-GB/T 2312" w:hAnsi="国标仿宋-GB/T 2312" w:eastAsia="宋体" w:cs="Times New Roman"/>
                <w:kern w:val="2"/>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3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280" w:lineRule="exact"/>
              <w:jc w:val="center"/>
              <w:textAlignment w:val="auto"/>
              <w:rPr>
                <w:rFonts w:hint="eastAsia" w:ascii="国标仿宋-GB/T 2312" w:hAnsi="国标仿宋-GB/T 2312" w:eastAsia="宋体" w:cs="Times New Roman"/>
                <w:kern w:val="2"/>
                <w:sz w:val="22"/>
                <w:szCs w:val="22"/>
                <w:highlight w:val="none"/>
              </w:rPr>
            </w:pPr>
            <w:r>
              <w:rPr>
                <w:rFonts w:hint="eastAsia" w:ascii="宋体" w:hAnsi="宋体" w:eastAsia="宋体" w:cs="宋体"/>
                <w:kern w:val="0"/>
                <w:sz w:val="22"/>
                <w:szCs w:val="22"/>
                <w:highlight w:val="none"/>
              </w:rPr>
              <w:t>本溪市锦燃建筑垃圾处理有限公司</w:t>
            </w:r>
          </w:p>
        </w:tc>
        <w:tc>
          <w:tcPr>
            <w:tcW w:w="213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280" w:lineRule="exact"/>
              <w:jc w:val="center"/>
              <w:textAlignment w:val="auto"/>
              <w:rPr>
                <w:rFonts w:hint="eastAsia" w:ascii="国标仿宋-GB/T 2312" w:hAnsi="国标仿宋-GB/T 2312" w:eastAsia="宋体" w:cs="Times New Roman"/>
                <w:kern w:val="2"/>
                <w:sz w:val="22"/>
                <w:szCs w:val="22"/>
                <w:highlight w:val="none"/>
              </w:rPr>
            </w:pPr>
          </w:p>
        </w:tc>
        <w:tc>
          <w:tcPr>
            <w:tcW w:w="213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280" w:lineRule="exact"/>
              <w:jc w:val="center"/>
              <w:textAlignment w:val="auto"/>
              <w:rPr>
                <w:rFonts w:hint="eastAsia" w:ascii="国标仿宋-GB/T 2312" w:hAnsi="国标仿宋-GB/T 2312" w:eastAsia="宋体" w:cs="Times New Roman"/>
                <w:kern w:val="2"/>
                <w:sz w:val="24"/>
                <w:szCs w:val="24"/>
                <w:highlight w:val="none"/>
              </w:rPr>
            </w:pPr>
            <w:r>
              <w:rPr>
                <w:rFonts w:ascii="国标仿宋-GB/T 2312" w:hAnsi="国标仿宋-GB/T 2312" w:eastAsia="Times New Roman" w:cs="Times New Roman"/>
                <w:kern w:val="0"/>
                <w:sz w:val="24"/>
                <w:szCs w:val="24"/>
                <w:highlight w:val="none"/>
              </w:rPr>
              <w:t>3</w:t>
            </w:r>
          </w:p>
        </w:tc>
        <w:tc>
          <w:tcPr>
            <w:tcW w:w="213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280" w:lineRule="exact"/>
              <w:jc w:val="center"/>
              <w:textAlignment w:val="auto"/>
              <w:rPr>
                <w:rFonts w:hint="eastAsia" w:ascii="国标仿宋-GB/T 2312" w:hAnsi="国标仿宋-GB/T 2312" w:eastAsia="宋体" w:cs="Times New Roman"/>
                <w:kern w:val="2"/>
                <w:sz w:val="24"/>
                <w:szCs w:val="24"/>
                <w:highlight w:val="none"/>
              </w:rPr>
            </w:pPr>
            <w:r>
              <w:rPr>
                <w:rFonts w:ascii="国标仿宋-GB/T 2312" w:hAnsi="国标仿宋-GB/T 2312" w:eastAsia="Times New Roman" w:cs="Times New Roman"/>
                <w:kern w:val="0"/>
                <w:sz w:val="24"/>
                <w:szCs w:val="24"/>
                <w:highlight w:val="none"/>
              </w:rPr>
              <w:t>0.48</w:t>
            </w:r>
          </w:p>
        </w:tc>
      </w:tr>
    </w:tbl>
    <w:p>
      <w:pPr>
        <w:rPr>
          <w:rFonts w:ascii="国标仿宋-GB/T 2312" w:hAnsi="国标仿宋-GB/T 2312"/>
          <w:sz w:val="32"/>
          <w:szCs w:val="32"/>
          <w:highlight w:val="none"/>
        </w:rPr>
      </w:pP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jc w:val="both"/>
        <w:textAlignment w:val="auto"/>
        <w:rPr>
          <w:rFonts w:hint="eastAsia" w:ascii="黑体" w:hAnsi="黑体" w:eastAsia="黑体" w:cs="黑体"/>
          <w:b w:val="0"/>
          <w:bCs w:val="0"/>
          <w:sz w:val="32"/>
          <w:szCs w:val="32"/>
          <w:highlight w:val="none"/>
        </w:rPr>
      </w:pPr>
      <w:r>
        <w:rPr>
          <w:rFonts w:hint="eastAsia" w:ascii="黑体" w:hAnsi="黑体" w:eastAsia="黑体" w:cs="黑体"/>
          <w:sz w:val="32"/>
          <w:szCs w:val="32"/>
          <w:highlight w:val="none"/>
          <w:lang w:eastAsia="zh-CN"/>
        </w:rPr>
        <w:t>六</w:t>
      </w:r>
      <w:r>
        <w:rPr>
          <w:rFonts w:hint="eastAsia" w:ascii="黑体" w:hAnsi="黑体" w:eastAsia="黑体" w:cs="黑体"/>
          <w:sz w:val="32"/>
          <w:szCs w:val="32"/>
          <w:highlight w:val="none"/>
        </w:rPr>
        <w:t>、</w:t>
      </w:r>
      <w:r>
        <w:rPr>
          <w:rFonts w:hint="eastAsia" w:ascii="黑体" w:hAnsi="黑体" w:eastAsia="黑体" w:cs="黑体"/>
          <w:b w:val="0"/>
          <w:bCs w:val="0"/>
          <w:sz w:val="32"/>
          <w:szCs w:val="32"/>
          <w:highlight w:val="none"/>
        </w:rPr>
        <w:t>城</w:t>
      </w:r>
      <w:r>
        <w:rPr>
          <w:rFonts w:hint="eastAsia" w:ascii="黑体" w:hAnsi="黑体" w:eastAsia="黑体" w:cs="黑体"/>
          <w:b w:val="0"/>
          <w:bCs w:val="0"/>
          <w:sz w:val="32"/>
          <w:szCs w:val="32"/>
          <w:highlight w:val="none"/>
          <w:lang w:eastAsia="zh-CN"/>
        </w:rPr>
        <w:t>镇</w:t>
      </w:r>
      <w:r>
        <w:rPr>
          <w:rFonts w:hint="eastAsia" w:ascii="黑体" w:hAnsi="黑体" w:eastAsia="黑体" w:cs="黑体"/>
          <w:b w:val="0"/>
          <w:bCs w:val="0"/>
          <w:sz w:val="32"/>
          <w:szCs w:val="32"/>
          <w:highlight w:val="none"/>
        </w:rPr>
        <w:t>生活污水处理厂污泥</w:t>
      </w:r>
    </w:p>
    <w:p>
      <w:pPr>
        <w:keepNext w:val="0"/>
        <w:keepLines w:val="0"/>
        <w:pageBreakBefore w:val="0"/>
        <w:widowControl w:val="0"/>
        <w:kinsoku/>
        <w:wordWrap/>
        <w:overflowPunct/>
        <w:topLinePunct w:val="0"/>
        <w:autoSpaceDE/>
        <w:autoSpaceDN/>
        <w:bidi w:val="0"/>
        <w:adjustRightInd/>
        <w:snapToGrid/>
        <w:spacing w:line="578" w:lineRule="exact"/>
        <w:ind w:firstLine="643" w:firstLineChars="200"/>
        <w:textAlignment w:val="auto"/>
        <w:rPr>
          <w:rFonts w:hint="eastAsia" w:ascii="仿宋_GB2312" w:hAnsi="仿宋_GB2312" w:eastAsia="仿宋_GB2312" w:cs="仿宋_GB2312"/>
          <w:b/>
          <w:bCs/>
          <w:sz w:val="32"/>
          <w:szCs w:val="32"/>
          <w:highlight w:val="none"/>
          <w:lang w:eastAsia="zh-CN"/>
        </w:rPr>
      </w:pPr>
      <w:r>
        <w:rPr>
          <w:rFonts w:hint="eastAsia" w:ascii="仿宋_GB2312" w:hAnsi="仿宋_GB2312" w:eastAsia="仿宋_GB2312" w:cs="仿宋_GB2312"/>
          <w:b/>
          <w:bCs/>
          <w:sz w:val="32"/>
          <w:szCs w:val="32"/>
          <w:highlight w:val="none"/>
          <w:lang w:val="en-US" w:eastAsia="zh-CN"/>
        </w:rPr>
        <w:t>1.</w:t>
      </w:r>
      <w:r>
        <w:rPr>
          <w:rFonts w:hint="eastAsia" w:ascii="仿宋_GB2312" w:hAnsi="仿宋_GB2312" w:eastAsia="仿宋_GB2312" w:cs="仿宋_GB2312"/>
          <w:b/>
          <w:bCs/>
          <w:sz w:val="32"/>
          <w:szCs w:val="32"/>
          <w:highlight w:val="none"/>
        </w:rPr>
        <w:t>城</w:t>
      </w:r>
      <w:r>
        <w:rPr>
          <w:rFonts w:hint="eastAsia" w:ascii="仿宋_GB2312" w:hAnsi="仿宋_GB2312" w:eastAsia="仿宋_GB2312" w:cs="仿宋_GB2312"/>
          <w:b/>
          <w:bCs/>
          <w:sz w:val="32"/>
          <w:szCs w:val="32"/>
          <w:highlight w:val="none"/>
          <w:lang w:eastAsia="zh-CN"/>
        </w:rPr>
        <w:t>镇</w:t>
      </w:r>
      <w:r>
        <w:rPr>
          <w:rFonts w:hint="eastAsia" w:ascii="仿宋_GB2312" w:hAnsi="仿宋_GB2312" w:eastAsia="仿宋_GB2312" w:cs="仿宋_GB2312"/>
          <w:b/>
          <w:bCs/>
          <w:sz w:val="32"/>
          <w:szCs w:val="32"/>
          <w:highlight w:val="none"/>
        </w:rPr>
        <w:t>生活污水处理厂污泥</w:t>
      </w:r>
      <w:r>
        <w:rPr>
          <w:rFonts w:hint="eastAsia" w:ascii="仿宋_GB2312" w:hAnsi="仿宋_GB2312" w:eastAsia="仿宋_GB2312" w:cs="仿宋_GB2312"/>
          <w:b/>
          <w:bCs/>
          <w:sz w:val="32"/>
          <w:szCs w:val="32"/>
          <w:highlight w:val="none"/>
          <w:lang w:eastAsia="zh-CN"/>
        </w:rPr>
        <w:t>产生及处理情况</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_GB2312" w:hAnsi="仿宋_GB2312" w:eastAsia="仿宋_GB2312" w:cs="仿宋_GB2312"/>
          <w:color w:val="FF0000"/>
          <w:sz w:val="32"/>
          <w:szCs w:val="32"/>
          <w:highlight w:val="none"/>
        </w:rPr>
      </w:pPr>
      <w:r>
        <w:rPr>
          <w:rFonts w:hint="eastAsia" w:ascii="仿宋_GB2312" w:hAnsi="仿宋_GB2312" w:eastAsia="仿宋_GB2312" w:cs="仿宋_GB2312"/>
          <w:sz w:val="32"/>
          <w:szCs w:val="32"/>
          <w:highlight w:val="none"/>
        </w:rPr>
        <w:t>2025年，本溪市纳入统计的城</w:t>
      </w:r>
      <w:r>
        <w:rPr>
          <w:rFonts w:hint="eastAsia" w:ascii="仿宋_GB2312" w:hAnsi="仿宋_GB2312" w:eastAsia="仿宋_GB2312" w:cs="仿宋_GB2312"/>
          <w:sz w:val="32"/>
          <w:szCs w:val="32"/>
          <w:highlight w:val="none"/>
          <w:lang w:eastAsia="zh-CN"/>
        </w:rPr>
        <w:t>镇</w:t>
      </w:r>
      <w:r>
        <w:rPr>
          <w:rFonts w:hint="eastAsia" w:ascii="仿宋_GB2312" w:hAnsi="仿宋_GB2312" w:eastAsia="仿宋_GB2312" w:cs="仿宋_GB2312"/>
          <w:sz w:val="32"/>
          <w:szCs w:val="32"/>
          <w:highlight w:val="none"/>
        </w:rPr>
        <w:t>生活污水处理厂共7座，</w:t>
      </w:r>
      <w:r>
        <w:rPr>
          <w:rFonts w:hint="eastAsia" w:ascii="仿宋_GB2312" w:hAnsi="仿宋_GB2312" w:eastAsia="仿宋_GB2312" w:cs="仿宋_GB2312"/>
          <w:sz w:val="32"/>
          <w:szCs w:val="32"/>
          <w:highlight w:val="none"/>
          <w:lang w:eastAsia="zh-CN"/>
        </w:rPr>
        <w:t>年</w:t>
      </w:r>
      <w:r>
        <w:rPr>
          <w:rFonts w:hint="eastAsia" w:ascii="仿宋_GB2312" w:hAnsi="仿宋_GB2312" w:eastAsia="仿宋_GB2312" w:cs="仿宋_GB2312"/>
          <w:sz w:val="32"/>
          <w:szCs w:val="32"/>
          <w:highlight w:val="none"/>
        </w:rPr>
        <w:t>产生污泥</w:t>
      </w:r>
      <w:r>
        <w:rPr>
          <w:rFonts w:hint="eastAsia" w:ascii="仿宋_GB2312" w:hAnsi="仿宋_GB2312" w:eastAsia="仿宋_GB2312" w:cs="仿宋_GB2312"/>
          <w:sz w:val="32"/>
          <w:szCs w:val="32"/>
          <w:highlight w:val="none"/>
          <w:lang w:val="en-US" w:eastAsia="zh-CN"/>
        </w:rPr>
        <w:t>51438.58</w:t>
      </w:r>
      <w:r>
        <w:rPr>
          <w:rFonts w:hint="eastAsia" w:ascii="仿宋_GB2312" w:hAnsi="仿宋_GB2312" w:eastAsia="仿宋_GB2312" w:cs="仿宋_GB2312"/>
          <w:sz w:val="32"/>
          <w:szCs w:val="32"/>
          <w:highlight w:val="none"/>
        </w:rPr>
        <w:t>吨，</w:t>
      </w:r>
      <w:r>
        <w:rPr>
          <w:rFonts w:hint="eastAsia" w:ascii="仿宋_GB2312" w:hAnsi="仿宋_GB2312" w:eastAsia="仿宋_GB2312" w:cs="仿宋_GB2312"/>
          <w:color w:val="auto"/>
          <w:sz w:val="32"/>
          <w:szCs w:val="32"/>
          <w:highlight w:val="none"/>
          <w:lang w:eastAsia="zh-CN"/>
        </w:rPr>
        <w:t>处置量为</w:t>
      </w:r>
      <w:r>
        <w:rPr>
          <w:rFonts w:hint="eastAsia" w:ascii="仿宋_GB2312" w:hAnsi="仿宋_GB2312" w:eastAsia="仿宋_GB2312" w:cs="仿宋_GB2312"/>
          <w:color w:val="auto"/>
          <w:sz w:val="32"/>
          <w:szCs w:val="32"/>
          <w:highlight w:val="none"/>
          <w:lang w:val="en-US" w:eastAsia="zh-CN"/>
        </w:rPr>
        <w:t>51438.58</w:t>
      </w:r>
      <w:r>
        <w:rPr>
          <w:rFonts w:hint="eastAsia" w:ascii="仿宋_GB2312" w:hAnsi="仿宋_GB2312" w:eastAsia="仿宋_GB2312" w:cs="仿宋_GB2312"/>
          <w:color w:val="auto"/>
          <w:sz w:val="32"/>
          <w:szCs w:val="32"/>
          <w:highlight w:val="none"/>
        </w:rPr>
        <w:t>吨</w:t>
      </w:r>
      <w:r>
        <w:rPr>
          <w:rFonts w:hint="eastAsia" w:ascii="仿宋_GB2312" w:hAnsi="仿宋_GB2312" w:eastAsia="仿宋_GB2312" w:cs="仿宋_GB2312"/>
          <w:color w:val="auto"/>
          <w:sz w:val="32"/>
          <w:szCs w:val="32"/>
          <w:highlight w:val="none"/>
          <w:lang w:eastAsia="zh-CN"/>
        </w:rPr>
        <w:t>，处置率</w:t>
      </w:r>
      <w:r>
        <w:rPr>
          <w:rFonts w:hint="eastAsia" w:ascii="仿宋_GB2312" w:hAnsi="仿宋_GB2312" w:eastAsia="仿宋_GB2312" w:cs="仿宋_GB2312"/>
          <w:color w:val="auto"/>
          <w:sz w:val="32"/>
          <w:szCs w:val="32"/>
          <w:highlight w:val="none"/>
          <w:lang w:val="en-US" w:eastAsia="zh-CN"/>
        </w:rPr>
        <w:t>100%。</w:t>
      </w:r>
    </w:p>
    <w:p>
      <w:pPr>
        <w:keepNext w:val="0"/>
        <w:keepLines w:val="0"/>
        <w:pageBreakBefore w:val="0"/>
        <w:widowControl w:val="0"/>
        <w:kinsoku/>
        <w:wordWrap/>
        <w:overflowPunct/>
        <w:topLinePunct w:val="0"/>
        <w:autoSpaceDE/>
        <w:autoSpaceDN/>
        <w:bidi w:val="0"/>
        <w:adjustRightInd/>
        <w:snapToGrid/>
        <w:spacing w:line="578" w:lineRule="exact"/>
        <w:ind w:firstLine="643" w:firstLineChars="200"/>
        <w:textAlignment w:val="auto"/>
        <w:rPr>
          <w:rFonts w:hint="eastAsia" w:ascii="仿宋_GB2312" w:hAnsi="仿宋_GB2312" w:eastAsia="仿宋_GB2312" w:cs="仿宋_GB2312"/>
          <w:b/>
          <w:bCs/>
          <w:sz w:val="32"/>
          <w:szCs w:val="32"/>
          <w:highlight w:val="none"/>
        </w:rPr>
      </w:pPr>
      <w:r>
        <w:rPr>
          <w:rFonts w:hint="eastAsia" w:ascii="仿宋_GB2312" w:hAnsi="仿宋_GB2312" w:eastAsia="仿宋_GB2312" w:cs="仿宋_GB2312"/>
          <w:b/>
          <w:bCs/>
          <w:sz w:val="32"/>
          <w:szCs w:val="32"/>
          <w:highlight w:val="none"/>
          <w:lang w:val="en-US" w:eastAsia="zh-CN"/>
        </w:rPr>
        <w:t>2.</w:t>
      </w:r>
      <w:r>
        <w:rPr>
          <w:rFonts w:hint="eastAsia" w:ascii="仿宋_GB2312" w:hAnsi="仿宋_GB2312" w:eastAsia="仿宋_GB2312" w:cs="仿宋_GB2312"/>
          <w:b/>
          <w:bCs/>
          <w:sz w:val="32"/>
          <w:szCs w:val="32"/>
          <w:highlight w:val="none"/>
        </w:rPr>
        <w:t>污泥处</w:t>
      </w:r>
      <w:r>
        <w:rPr>
          <w:rFonts w:hint="eastAsia" w:ascii="仿宋_GB2312" w:hAnsi="仿宋_GB2312" w:eastAsia="仿宋_GB2312" w:cs="仿宋_GB2312"/>
          <w:b/>
          <w:bCs/>
          <w:sz w:val="32"/>
          <w:szCs w:val="32"/>
          <w:highlight w:val="none"/>
          <w:lang w:eastAsia="zh-CN"/>
        </w:rPr>
        <w:t>理设施</w:t>
      </w:r>
      <w:r>
        <w:rPr>
          <w:rFonts w:hint="eastAsia" w:ascii="仿宋_GB2312" w:hAnsi="仿宋_GB2312" w:eastAsia="仿宋_GB2312" w:cs="仿宋_GB2312"/>
          <w:b/>
          <w:bCs/>
          <w:sz w:val="32"/>
          <w:szCs w:val="32"/>
          <w:highlight w:val="none"/>
        </w:rPr>
        <w:t>情况</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default"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2025年，本市共有4家单位开展污泥处置活动，本市污泥处置能力为26.5</w:t>
      </w:r>
      <w:r>
        <w:rPr>
          <w:rFonts w:hint="eastAsia" w:ascii="仿宋_GB2312" w:hAnsi="仿宋_GB2312" w:eastAsia="仿宋_GB2312" w:cs="仿宋_GB2312"/>
          <w:color w:val="auto"/>
          <w:sz w:val="32"/>
          <w:szCs w:val="32"/>
          <w:highlight w:val="none"/>
          <w:lang w:val="en-US" w:eastAsia="zh-CN"/>
        </w:rPr>
        <w:t>万吨，</w:t>
      </w:r>
      <w:r>
        <w:rPr>
          <w:rFonts w:hint="eastAsia" w:ascii="仿宋_GB2312" w:hAnsi="仿宋_GB2312" w:eastAsia="仿宋_GB2312" w:cs="仿宋_GB2312"/>
          <w:sz w:val="32"/>
          <w:szCs w:val="32"/>
          <w:highlight w:val="none"/>
          <w:lang w:val="en-US" w:eastAsia="zh-CN"/>
        </w:rPr>
        <w:t>主要处置设施情况见表8。</w:t>
      </w:r>
    </w:p>
    <w:p>
      <w:pPr>
        <w:adjustRightInd w:val="0"/>
        <w:snapToGrid w:val="0"/>
        <w:spacing w:line="560" w:lineRule="exact"/>
        <w:jc w:val="center"/>
        <w:rPr>
          <w:rFonts w:hint="eastAsia" w:ascii="仿宋_GB2312" w:hAnsi="仿宋_GB2312" w:eastAsia="仿宋_GB2312" w:cs="仿宋_GB2312"/>
          <w:sz w:val="24"/>
          <w:szCs w:val="24"/>
          <w:highlight w:val="none"/>
          <w:lang w:val="en-US" w:eastAsia="zh-CN"/>
        </w:rPr>
      </w:pPr>
      <w:r>
        <w:rPr>
          <w:rFonts w:hint="eastAsia" w:ascii="宋体" w:hAnsi="宋体" w:eastAsia="宋体" w:cs="宋体"/>
          <w:b/>
          <w:bCs/>
          <w:sz w:val="24"/>
          <w:szCs w:val="24"/>
          <w:highlight w:val="none"/>
          <w:lang w:val="en-US" w:eastAsia="zh-CN"/>
        </w:rPr>
        <w:t>表8 污泥处置设施情况</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130"/>
        <w:gridCol w:w="2130"/>
        <w:gridCol w:w="2131"/>
        <w:gridCol w:w="213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3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280" w:lineRule="exact"/>
              <w:jc w:val="center"/>
              <w:textAlignment w:val="auto"/>
              <w:rPr>
                <w:rFonts w:hint="eastAsia" w:ascii="宋体" w:hAnsi="宋体" w:eastAsia="宋体" w:cs="宋体"/>
                <w:kern w:val="2"/>
                <w:sz w:val="20"/>
                <w:szCs w:val="20"/>
                <w:highlight w:val="none"/>
              </w:rPr>
            </w:pPr>
            <w:r>
              <w:rPr>
                <w:rFonts w:hint="eastAsia" w:ascii="宋体" w:hAnsi="宋体" w:eastAsia="宋体" w:cs="宋体"/>
                <w:kern w:val="0"/>
                <w:sz w:val="20"/>
                <w:szCs w:val="20"/>
                <w:highlight w:val="none"/>
              </w:rPr>
              <w:t>处</w:t>
            </w:r>
            <w:r>
              <w:rPr>
                <w:rFonts w:hint="eastAsia" w:ascii="宋体" w:hAnsi="宋体" w:eastAsia="宋体" w:cs="宋体"/>
                <w:kern w:val="0"/>
                <w:sz w:val="20"/>
                <w:szCs w:val="20"/>
                <w:highlight w:val="none"/>
                <w:lang w:eastAsia="zh-CN"/>
              </w:rPr>
              <w:t>置</w:t>
            </w:r>
            <w:r>
              <w:rPr>
                <w:rFonts w:hint="eastAsia" w:ascii="宋体" w:hAnsi="宋体" w:eastAsia="宋体" w:cs="宋体"/>
                <w:kern w:val="0"/>
                <w:sz w:val="20"/>
                <w:szCs w:val="20"/>
                <w:highlight w:val="none"/>
              </w:rPr>
              <w:t>设施</w:t>
            </w:r>
          </w:p>
          <w:p>
            <w:pPr>
              <w:keepNext w:val="0"/>
              <w:keepLines w:val="0"/>
              <w:pageBreakBefore w:val="0"/>
              <w:widowControl w:val="0"/>
              <w:kinsoku/>
              <w:wordWrap/>
              <w:overflowPunct/>
              <w:topLinePunct w:val="0"/>
              <w:autoSpaceDE/>
              <w:autoSpaceDN/>
              <w:bidi w:val="0"/>
              <w:adjustRightInd w:val="0"/>
              <w:snapToGrid w:val="0"/>
              <w:spacing w:line="280" w:lineRule="exact"/>
              <w:jc w:val="center"/>
              <w:textAlignment w:val="auto"/>
              <w:rPr>
                <w:rFonts w:hint="eastAsia" w:ascii="宋体" w:hAnsi="宋体" w:eastAsia="宋体" w:cs="宋体"/>
                <w:kern w:val="2"/>
                <w:sz w:val="20"/>
                <w:szCs w:val="20"/>
                <w:highlight w:val="none"/>
              </w:rPr>
            </w:pPr>
            <w:r>
              <w:rPr>
                <w:rFonts w:hint="eastAsia" w:ascii="宋体" w:hAnsi="宋体" w:eastAsia="宋体" w:cs="宋体"/>
                <w:kern w:val="0"/>
                <w:sz w:val="20"/>
                <w:szCs w:val="20"/>
                <w:highlight w:val="none"/>
              </w:rPr>
              <w:t>所属单位名称</w:t>
            </w:r>
          </w:p>
        </w:tc>
        <w:tc>
          <w:tcPr>
            <w:tcW w:w="213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280" w:lineRule="exact"/>
              <w:jc w:val="center"/>
              <w:textAlignment w:val="auto"/>
              <w:rPr>
                <w:rFonts w:hint="eastAsia" w:ascii="宋体" w:hAnsi="宋体" w:eastAsia="宋体" w:cs="宋体"/>
                <w:kern w:val="2"/>
                <w:sz w:val="20"/>
                <w:szCs w:val="20"/>
                <w:highlight w:val="none"/>
              </w:rPr>
            </w:pPr>
            <w:r>
              <w:rPr>
                <w:rFonts w:hint="eastAsia" w:ascii="宋体" w:hAnsi="宋体" w:eastAsia="宋体" w:cs="宋体"/>
                <w:kern w:val="0"/>
                <w:sz w:val="20"/>
                <w:szCs w:val="20"/>
                <w:highlight w:val="none"/>
              </w:rPr>
              <w:t>处</w:t>
            </w:r>
            <w:r>
              <w:rPr>
                <w:rFonts w:hint="eastAsia" w:ascii="宋体" w:hAnsi="宋体" w:eastAsia="宋体" w:cs="宋体"/>
                <w:kern w:val="0"/>
                <w:sz w:val="20"/>
                <w:szCs w:val="20"/>
                <w:highlight w:val="none"/>
                <w:lang w:eastAsia="zh-CN"/>
              </w:rPr>
              <w:t>置设施设备类型</w:t>
            </w:r>
          </w:p>
        </w:tc>
        <w:tc>
          <w:tcPr>
            <w:tcW w:w="213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280" w:lineRule="exact"/>
              <w:jc w:val="center"/>
              <w:textAlignment w:val="auto"/>
              <w:rPr>
                <w:rFonts w:hint="eastAsia" w:ascii="宋体" w:hAnsi="宋体" w:eastAsia="宋体" w:cs="宋体"/>
                <w:kern w:val="2"/>
                <w:sz w:val="20"/>
                <w:szCs w:val="20"/>
                <w:highlight w:val="none"/>
              </w:rPr>
            </w:pPr>
            <w:r>
              <w:rPr>
                <w:rFonts w:hint="eastAsia" w:ascii="宋体" w:hAnsi="宋体" w:eastAsia="宋体" w:cs="宋体"/>
                <w:kern w:val="0"/>
                <w:sz w:val="20"/>
                <w:szCs w:val="20"/>
                <w:highlight w:val="none"/>
              </w:rPr>
              <w:t>设计处</w:t>
            </w:r>
            <w:r>
              <w:rPr>
                <w:rFonts w:hint="eastAsia" w:ascii="宋体" w:hAnsi="宋体" w:eastAsia="宋体" w:cs="宋体"/>
                <w:kern w:val="0"/>
                <w:sz w:val="20"/>
                <w:szCs w:val="20"/>
                <w:highlight w:val="none"/>
                <w:lang w:eastAsia="zh-CN"/>
              </w:rPr>
              <w:t>置</w:t>
            </w:r>
            <w:r>
              <w:rPr>
                <w:rFonts w:hint="eastAsia" w:ascii="宋体" w:hAnsi="宋体" w:eastAsia="宋体" w:cs="宋体"/>
                <w:kern w:val="0"/>
                <w:sz w:val="20"/>
                <w:szCs w:val="20"/>
                <w:highlight w:val="none"/>
              </w:rPr>
              <w:t>能力</w:t>
            </w:r>
          </w:p>
          <w:p>
            <w:pPr>
              <w:keepNext w:val="0"/>
              <w:keepLines w:val="0"/>
              <w:pageBreakBefore w:val="0"/>
              <w:widowControl w:val="0"/>
              <w:kinsoku/>
              <w:wordWrap/>
              <w:overflowPunct/>
              <w:topLinePunct w:val="0"/>
              <w:autoSpaceDE/>
              <w:autoSpaceDN/>
              <w:bidi w:val="0"/>
              <w:adjustRightInd w:val="0"/>
              <w:snapToGrid w:val="0"/>
              <w:spacing w:line="280" w:lineRule="exact"/>
              <w:jc w:val="center"/>
              <w:textAlignment w:val="auto"/>
              <w:rPr>
                <w:rFonts w:hint="eastAsia" w:ascii="宋体" w:hAnsi="宋体" w:eastAsia="宋体" w:cs="宋体"/>
                <w:kern w:val="2"/>
                <w:sz w:val="20"/>
                <w:szCs w:val="20"/>
                <w:highlight w:val="none"/>
                <w:lang w:eastAsia="zh-CN"/>
              </w:rPr>
            </w:pPr>
            <w:r>
              <w:rPr>
                <w:rFonts w:hint="eastAsia" w:ascii="宋体" w:hAnsi="宋体" w:eastAsia="宋体" w:cs="宋体"/>
                <w:kern w:val="0"/>
                <w:sz w:val="20"/>
                <w:szCs w:val="20"/>
                <w:highlight w:val="none"/>
                <w:lang w:eastAsia="zh-CN"/>
              </w:rPr>
              <w:t>（</w:t>
            </w:r>
            <w:r>
              <w:rPr>
                <w:rFonts w:hint="eastAsia" w:ascii="宋体" w:hAnsi="宋体" w:eastAsia="宋体" w:cs="宋体"/>
                <w:kern w:val="0"/>
                <w:sz w:val="20"/>
                <w:szCs w:val="20"/>
                <w:highlight w:val="none"/>
              </w:rPr>
              <w:t>万吨</w:t>
            </w:r>
            <w:r>
              <w:rPr>
                <w:rFonts w:hint="eastAsia" w:ascii="宋体" w:hAnsi="宋体" w:eastAsia="宋体" w:cs="宋体"/>
                <w:kern w:val="0"/>
                <w:sz w:val="20"/>
                <w:szCs w:val="20"/>
                <w:highlight w:val="none"/>
                <w:lang w:eastAsia="zh-CN"/>
              </w:rPr>
              <w:t>）</w:t>
            </w:r>
          </w:p>
        </w:tc>
        <w:tc>
          <w:tcPr>
            <w:tcW w:w="213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280" w:lineRule="exact"/>
              <w:jc w:val="center"/>
              <w:textAlignment w:val="auto"/>
              <w:rPr>
                <w:rFonts w:hint="eastAsia" w:ascii="宋体" w:hAnsi="宋体" w:eastAsia="宋体" w:cs="宋体"/>
                <w:kern w:val="2"/>
                <w:sz w:val="20"/>
                <w:szCs w:val="20"/>
                <w:highlight w:val="none"/>
              </w:rPr>
            </w:pPr>
            <w:r>
              <w:rPr>
                <w:rFonts w:hint="eastAsia" w:ascii="宋体" w:hAnsi="宋体" w:eastAsia="宋体" w:cs="宋体"/>
                <w:kern w:val="0"/>
                <w:sz w:val="20"/>
                <w:szCs w:val="20"/>
                <w:highlight w:val="none"/>
              </w:rPr>
              <w:t>实际处</w:t>
            </w:r>
            <w:r>
              <w:rPr>
                <w:rFonts w:hint="eastAsia" w:ascii="宋体" w:hAnsi="宋体" w:eastAsia="宋体" w:cs="宋体"/>
                <w:kern w:val="0"/>
                <w:sz w:val="20"/>
                <w:szCs w:val="20"/>
                <w:highlight w:val="none"/>
                <w:lang w:eastAsia="zh-CN"/>
              </w:rPr>
              <w:t>置</w:t>
            </w:r>
            <w:r>
              <w:rPr>
                <w:rFonts w:hint="eastAsia" w:ascii="宋体" w:hAnsi="宋体" w:eastAsia="宋体" w:cs="宋体"/>
                <w:kern w:val="0"/>
                <w:sz w:val="20"/>
                <w:szCs w:val="20"/>
                <w:highlight w:val="none"/>
              </w:rPr>
              <w:t>量</w:t>
            </w:r>
          </w:p>
          <w:p>
            <w:pPr>
              <w:keepNext w:val="0"/>
              <w:keepLines w:val="0"/>
              <w:pageBreakBefore w:val="0"/>
              <w:widowControl w:val="0"/>
              <w:kinsoku/>
              <w:wordWrap/>
              <w:overflowPunct/>
              <w:topLinePunct w:val="0"/>
              <w:autoSpaceDE/>
              <w:autoSpaceDN/>
              <w:bidi w:val="0"/>
              <w:adjustRightInd w:val="0"/>
              <w:snapToGrid w:val="0"/>
              <w:spacing w:line="280" w:lineRule="exact"/>
              <w:jc w:val="center"/>
              <w:textAlignment w:val="auto"/>
              <w:rPr>
                <w:rFonts w:hint="eastAsia" w:ascii="宋体" w:hAnsi="宋体" w:eastAsia="宋体" w:cs="宋体"/>
                <w:kern w:val="2"/>
                <w:sz w:val="20"/>
                <w:szCs w:val="20"/>
                <w:highlight w:val="none"/>
                <w:lang w:eastAsia="zh-CN"/>
              </w:rPr>
            </w:pPr>
            <w:r>
              <w:rPr>
                <w:rFonts w:hint="eastAsia" w:ascii="宋体" w:hAnsi="宋体" w:eastAsia="宋体" w:cs="宋体"/>
                <w:kern w:val="0"/>
                <w:sz w:val="20"/>
                <w:szCs w:val="20"/>
                <w:highlight w:val="none"/>
                <w:lang w:eastAsia="zh-CN"/>
              </w:rPr>
              <w:t>（</w:t>
            </w:r>
            <w:r>
              <w:rPr>
                <w:rFonts w:hint="eastAsia" w:ascii="宋体" w:hAnsi="宋体" w:eastAsia="宋体" w:cs="宋体"/>
                <w:kern w:val="0"/>
                <w:sz w:val="20"/>
                <w:szCs w:val="20"/>
                <w:highlight w:val="none"/>
              </w:rPr>
              <w:t>万吨</w:t>
            </w:r>
            <w:r>
              <w:rPr>
                <w:rFonts w:hint="eastAsia" w:ascii="宋体" w:hAnsi="宋体" w:eastAsia="宋体" w:cs="宋体"/>
                <w:kern w:val="0"/>
                <w:sz w:val="20"/>
                <w:szCs w:val="20"/>
                <w:highlight w:val="none"/>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7" w:hRule="atLeast"/>
        </w:trPr>
        <w:tc>
          <w:tcPr>
            <w:tcW w:w="213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280" w:lineRule="exact"/>
              <w:jc w:val="center"/>
              <w:textAlignment w:val="auto"/>
              <w:rPr>
                <w:rFonts w:hint="eastAsia" w:ascii="宋体" w:hAnsi="宋体" w:eastAsia="宋体" w:cs="宋体"/>
                <w:color w:val="FF0000"/>
                <w:kern w:val="2"/>
                <w:sz w:val="20"/>
                <w:szCs w:val="20"/>
                <w:highlight w:val="none"/>
              </w:rPr>
            </w:pPr>
            <w:r>
              <w:rPr>
                <w:rFonts w:hint="eastAsia" w:ascii="宋体" w:hAnsi="宋体" w:eastAsia="宋体" w:cs="宋体"/>
                <w:color w:val="auto"/>
                <w:sz w:val="20"/>
                <w:szCs w:val="20"/>
                <w:highlight w:val="none"/>
              </w:rPr>
              <w:t>辽宁山水工源水泥有限公司</w:t>
            </w:r>
          </w:p>
        </w:tc>
        <w:tc>
          <w:tcPr>
            <w:tcW w:w="213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280" w:lineRule="exact"/>
              <w:jc w:val="center"/>
              <w:textAlignment w:val="auto"/>
              <w:rPr>
                <w:rFonts w:hint="eastAsia" w:ascii="宋体" w:hAnsi="宋体" w:eastAsia="宋体" w:cs="宋体"/>
                <w:kern w:val="2"/>
                <w:sz w:val="20"/>
                <w:szCs w:val="20"/>
                <w:highlight w:val="none"/>
                <w:lang w:eastAsia="zh-CN"/>
              </w:rPr>
            </w:pPr>
            <w:r>
              <w:rPr>
                <w:rFonts w:hint="eastAsia" w:ascii="宋体" w:hAnsi="宋体" w:eastAsia="宋体" w:cs="宋体"/>
                <w:kern w:val="2"/>
                <w:sz w:val="20"/>
                <w:szCs w:val="20"/>
                <w:highlight w:val="none"/>
                <w:lang w:eastAsia="zh-CN"/>
              </w:rPr>
              <w:t>焚烧</w:t>
            </w:r>
          </w:p>
        </w:tc>
        <w:tc>
          <w:tcPr>
            <w:tcW w:w="2131"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keepNext w:val="0"/>
              <w:keepLines w:val="0"/>
              <w:pageBreakBefore w:val="0"/>
              <w:widowControl w:val="0"/>
              <w:kinsoku/>
              <w:wordWrap/>
              <w:overflowPunct/>
              <w:topLinePunct w:val="0"/>
              <w:autoSpaceDE/>
              <w:autoSpaceDN/>
              <w:bidi w:val="0"/>
              <w:adjustRightInd w:val="0"/>
              <w:snapToGrid w:val="0"/>
              <w:spacing w:line="280" w:lineRule="exact"/>
              <w:jc w:val="center"/>
              <w:textAlignment w:val="auto"/>
              <w:rPr>
                <w:rFonts w:hint="eastAsia" w:ascii="宋体" w:hAnsi="宋体" w:eastAsia="宋体" w:cs="宋体"/>
                <w:color w:val="FF0000"/>
                <w:kern w:val="2"/>
                <w:sz w:val="24"/>
                <w:szCs w:val="24"/>
                <w:highlight w:val="none"/>
                <w:lang w:val="en-US" w:eastAsia="zh-CN" w:bidi="ar-SA"/>
              </w:rPr>
            </w:pPr>
            <w:r>
              <w:rPr>
                <w:rFonts w:hint="eastAsia" w:ascii="宋体" w:hAnsi="宋体" w:cs="宋体"/>
                <w:color w:val="000000"/>
                <w:kern w:val="2"/>
                <w:sz w:val="24"/>
                <w:szCs w:val="24"/>
                <w:highlight w:val="none"/>
                <w:lang w:val="en-US" w:eastAsia="zh-CN"/>
              </w:rPr>
              <w:t>5万吨/年</w:t>
            </w:r>
          </w:p>
        </w:tc>
        <w:tc>
          <w:tcPr>
            <w:tcW w:w="2131"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keepNext w:val="0"/>
              <w:keepLines w:val="0"/>
              <w:pageBreakBefore w:val="0"/>
              <w:widowControl w:val="0"/>
              <w:kinsoku/>
              <w:wordWrap/>
              <w:overflowPunct/>
              <w:topLinePunct w:val="0"/>
              <w:autoSpaceDE/>
              <w:autoSpaceDN/>
              <w:bidi w:val="0"/>
              <w:adjustRightInd w:val="0"/>
              <w:snapToGrid w:val="0"/>
              <w:spacing w:line="280" w:lineRule="exact"/>
              <w:jc w:val="center"/>
              <w:textAlignment w:val="auto"/>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仿宋_GB2312" w:hAnsi="仿宋_GB2312" w:eastAsia="仿宋_GB2312" w:cs="仿宋_GB2312"/>
                <w:color w:val="000000"/>
                <w:sz w:val="24"/>
                <w:szCs w:val="24"/>
                <w:highlight w:val="none"/>
                <w:lang w:val="en-US" w:eastAsia="zh-CN"/>
              </w:rPr>
              <w:t>3.98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3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280" w:lineRule="exact"/>
              <w:jc w:val="center"/>
              <w:textAlignment w:val="auto"/>
              <w:rPr>
                <w:rFonts w:hint="eastAsia" w:ascii="宋体" w:hAnsi="宋体" w:eastAsia="宋体" w:cs="宋体"/>
                <w:color w:val="FF0000"/>
                <w:kern w:val="2"/>
                <w:sz w:val="20"/>
                <w:szCs w:val="20"/>
                <w:highlight w:val="none"/>
              </w:rPr>
            </w:pPr>
            <w:r>
              <w:rPr>
                <w:rFonts w:hint="eastAsia" w:ascii="宋体" w:hAnsi="宋体" w:eastAsia="宋体" w:cs="宋体"/>
                <w:color w:val="auto"/>
                <w:sz w:val="20"/>
                <w:szCs w:val="20"/>
                <w:highlight w:val="none"/>
              </w:rPr>
              <w:t>辽宁燊鈢生态环境工程有限公司</w:t>
            </w:r>
          </w:p>
        </w:tc>
        <w:tc>
          <w:tcPr>
            <w:tcW w:w="213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280" w:lineRule="exact"/>
              <w:jc w:val="center"/>
              <w:textAlignment w:val="auto"/>
              <w:rPr>
                <w:rFonts w:hint="eastAsia" w:ascii="宋体" w:hAnsi="宋体" w:eastAsia="宋体" w:cs="宋体"/>
                <w:kern w:val="2"/>
                <w:sz w:val="20"/>
                <w:szCs w:val="20"/>
                <w:highlight w:val="none"/>
                <w:lang w:eastAsia="zh-CN"/>
              </w:rPr>
            </w:pPr>
            <w:r>
              <w:rPr>
                <w:rFonts w:hint="eastAsia" w:ascii="宋体" w:hAnsi="宋体" w:eastAsia="宋体" w:cs="宋体"/>
                <w:kern w:val="2"/>
                <w:sz w:val="20"/>
                <w:szCs w:val="20"/>
                <w:highlight w:val="none"/>
                <w:lang w:eastAsia="zh-CN"/>
              </w:rPr>
              <w:t>发酵堆肥+土地利用</w:t>
            </w:r>
          </w:p>
        </w:tc>
        <w:tc>
          <w:tcPr>
            <w:tcW w:w="2131"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keepNext w:val="0"/>
              <w:keepLines w:val="0"/>
              <w:pageBreakBefore w:val="0"/>
              <w:widowControl w:val="0"/>
              <w:kinsoku/>
              <w:wordWrap/>
              <w:overflowPunct/>
              <w:topLinePunct w:val="0"/>
              <w:autoSpaceDE/>
              <w:autoSpaceDN/>
              <w:bidi w:val="0"/>
              <w:adjustRightInd w:val="0"/>
              <w:snapToGrid w:val="0"/>
              <w:spacing w:line="280" w:lineRule="exact"/>
              <w:jc w:val="center"/>
              <w:textAlignment w:val="auto"/>
              <w:rPr>
                <w:rFonts w:hint="eastAsia" w:ascii="宋体" w:hAnsi="宋体" w:eastAsia="宋体" w:cs="宋体"/>
                <w:color w:val="FF0000"/>
                <w:kern w:val="2"/>
                <w:sz w:val="24"/>
                <w:szCs w:val="24"/>
                <w:highlight w:val="none"/>
                <w:lang w:val="en-US" w:eastAsia="zh-CN" w:bidi="ar-SA"/>
              </w:rPr>
            </w:pPr>
            <w:r>
              <w:rPr>
                <w:rFonts w:hint="eastAsia" w:ascii="宋体" w:hAnsi="宋体" w:cs="宋体"/>
                <w:color w:val="000000"/>
                <w:kern w:val="2"/>
                <w:sz w:val="24"/>
                <w:szCs w:val="24"/>
                <w:highlight w:val="none"/>
                <w:lang w:val="en-US" w:eastAsia="zh-CN"/>
              </w:rPr>
              <w:t>12.5万吨/年</w:t>
            </w:r>
          </w:p>
        </w:tc>
        <w:tc>
          <w:tcPr>
            <w:tcW w:w="2131"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keepNext w:val="0"/>
              <w:keepLines w:val="0"/>
              <w:pageBreakBefore w:val="0"/>
              <w:widowControl w:val="0"/>
              <w:kinsoku/>
              <w:wordWrap/>
              <w:overflowPunct/>
              <w:topLinePunct w:val="0"/>
              <w:autoSpaceDE/>
              <w:autoSpaceDN/>
              <w:bidi w:val="0"/>
              <w:adjustRightInd w:val="0"/>
              <w:snapToGrid w:val="0"/>
              <w:spacing w:line="280" w:lineRule="exact"/>
              <w:jc w:val="center"/>
              <w:textAlignment w:val="auto"/>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仿宋_GB2312" w:hAnsi="仿宋_GB2312" w:eastAsia="仿宋_GB2312" w:cs="仿宋_GB2312"/>
                <w:color w:val="000000"/>
                <w:sz w:val="24"/>
                <w:szCs w:val="24"/>
                <w:highlight w:val="none"/>
                <w:lang w:val="en-US" w:eastAsia="zh-CN"/>
              </w:rPr>
              <w:t>0.47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3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280" w:lineRule="exact"/>
              <w:jc w:val="center"/>
              <w:textAlignment w:val="auto"/>
              <w:rPr>
                <w:rFonts w:hint="eastAsia" w:ascii="宋体" w:hAnsi="宋体" w:eastAsia="宋体" w:cs="宋体"/>
                <w:color w:val="FF0000"/>
                <w:kern w:val="2"/>
                <w:sz w:val="20"/>
                <w:szCs w:val="20"/>
                <w:highlight w:val="none"/>
              </w:rPr>
            </w:pPr>
            <w:r>
              <w:rPr>
                <w:rFonts w:hint="eastAsia" w:ascii="宋体" w:hAnsi="宋体" w:eastAsia="宋体" w:cs="宋体"/>
                <w:color w:val="auto"/>
                <w:sz w:val="20"/>
                <w:szCs w:val="20"/>
                <w:highlight w:val="none"/>
              </w:rPr>
              <w:t>本溪满族自治县县城生活垃圾填埋场</w:t>
            </w:r>
          </w:p>
        </w:tc>
        <w:tc>
          <w:tcPr>
            <w:tcW w:w="213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280" w:lineRule="exact"/>
              <w:jc w:val="center"/>
              <w:textAlignment w:val="auto"/>
              <w:rPr>
                <w:rFonts w:hint="eastAsia" w:ascii="宋体" w:hAnsi="宋体" w:eastAsia="宋体" w:cs="宋体"/>
                <w:kern w:val="2"/>
                <w:sz w:val="20"/>
                <w:szCs w:val="20"/>
                <w:highlight w:val="none"/>
                <w:lang w:eastAsia="zh-CN"/>
              </w:rPr>
            </w:pPr>
            <w:r>
              <w:rPr>
                <w:rFonts w:hint="eastAsia" w:ascii="宋体" w:hAnsi="宋体" w:eastAsia="宋体" w:cs="宋体"/>
                <w:kern w:val="2"/>
                <w:sz w:val="20"/>
                <w:szCs w:val="20"/>
                <w:highlight w:val="none"/>
                <w:lang w:eastAsia="zh-CN"/>
              </w:rPr>
              <w:t>卫生填埋</w:t>
            </w:r>
          </w:p>
          <w:p>
            <w:pPr>
              <w:keepNext w:val="0"/>
              <w:keepLines w:val="0"/>
              <w:pageBreakBefore w:val="0"/>
              <w:widowControl w:val="0"/>
              <w:kinsoku/>
              <w:wordWrap/>
              <w:overflowPunct/>
              <w:topLinePunct w:val="0"/>
              <w:autoSpaceDE/>
              <w:autoSpaceDN/>
              <w:bidi w:val="0"/>
              <w:adjustRightInd w:val="0"/>
              <w:snapToGrid w:val="0"/>
              <w:spacing w:line="280" w:lineRule="exact"/>
              <w:jc w:val="center"/>
              <w:textAlignment w:val="auto"/>
              <w:rPr>
                <w:rFonts w:hint="eastAsia" w:ascii="宋体" w:hAnsi="宋体" w:eastAsia="宋体" w:cs="宋体"/>
                <w:kern w:val="2"/>
                <w:sz w:val="20"/>
                <w:szCs w:val="20"/>
                <w:highlight w:val="none"/>
                <w:lang w:eastAsia="zh-CN"/>
              </w:rPr>
            </w:pPr>
          </w:p>
        </w:tc>
        <w:tc>
          <w:tcPr>
            <w:tcW w:w="2131"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keepNext w:val="0"/>
              <w:keepLines w:val="0"/>
              <w:pageBreakBefore w:val="0"/>
              <w:widowControl w:val="0"/>
              <w:kinsoku/>
              <w:wordWrap/>
              <w:overflowPunct/>
              <w:topLinePunct w:val="0"/>
              <w:autoSpaceDE/>
              <w:autoSpaceDN/>
              <w:bidi w:val="0"/>
              <w:adjustRightInd w:val="0"/>
              <w:snapToGrid w:val="0"/>
              <w:spacing w:line="280" w:lineRule="exact"/>
              <w:jc w:val="center"/>
              <w:textAlignment w:val="auto"/>
              <w:rPr>
                <w:rFonts w:hint="eastAsia" w:ascii="宋体" w:hAnsi="宋体" w:eastAsia="宋体" w:cs="宋体"/>
                <w:color w:val="FF0000"/>
                <w:kern w:val="2"/>
                <w:sz w:val="24"/>
                <w:szCs w:val="24"/>
                <w:highlight w:val="none"/>
                <w:lang w:val="en-US" w:eastAsia="zh-CN" w:bidi="ar-SA"/>
              </w:rPr>
            </w:pPr>
            <w:r>
              <w:rPr>
                <w:rFonts w:hint="eastAsia" w:ascii="宋体" w:hAnsi="宋体" w:cs="宋体"/>
                <w:color w:val="000000"/>
                <w:kern w:val="2"/>
                <w:sz w:val="24"/>
                <w:szCs w:val="24"/>
                <w:highlight w:val="none"/>
                <w:lang w:val="en-US" w:eastAsia="zh-CN"/>
              </w:rPr>
              <w:t>4.3万吨/年</w:t>
            </w:r>
          </w:p>
        </w:tc>
        <w:tc>
          <w:tcPr>
            <w:tcW w:w="2131"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keepNext w:val="0"/>
              <w:keepLines w:val="0"/>
              <w:pageBreakBefore w:val="0"/>
              <w:widowControl w:val="0"/>
              <w:kinsoku/>
              <w:wordWrap/>
              <w:overflowPunct/>
              <w:topLinePunct w:val="0"/>
              <w:autoSpaceDE/>
              <w:autoSpaceDN/>
              <w:bidi w:val="0"/>
              <w:adjustRightInd w:val="0"/>
              <w:snapToGrid w:val="0"/>
              <w:spacing w:line="280" w:lineRule="exact"/>
              <w:jc w:val="center"/>
              <w:textAlignment w:val="auto"/>
              <w:rPr>
                <w:rFonts w:hint="eastAsia" w:ascii="宋体" w:hAnsi="宋体" w:eastAsia="宋体" w:cs="宋体"/>
                <w:color w:val="FF0000"/>
                <w:kern w:val="2"/>
                <w:sz w:val="24"/>
                <w:szCs w:val="24"/>
                <w:highlight w:val="none"/>
                <w:lang w:val="en-US" w:eastAsia="zh-CN" w:bidi="ar-SA"/>
              </w:rPr>
            </w:pPr>
            <w:r>
              <w:rPr>
                <w:rFonts w:hint="eastAsia" w:ascii="仿宋_GB2312" w:hAnsi="仿宋_GB2312" w:eastAsia="仿宋_GB2312" w:cs="仿宋_GB2312"/>
                <w:color w:val="000000"/>
                <w:sz w:val="24"/>
                <w:szCs w:val="24"/>
                <w:highlight w:val="none"/>
                <w:lang w:val="en-US" w:eastAsia="zh-CN"/>
              </w:rPr>
              <w:t>0.39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3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280" w:lineRule="exact"/>
              <w:jc w:val="center"/>
              <w:textAlignment w:val="auto"/>
              <w:rPr>
                <w:rFonts w:hint="eastAsia" w:ascii="宋体" w:hAnsi="宋体" w:eastAsia="宋体" w:cs="宋体"/>
                <w:kern w:val="2"/>
                <w:sz w:val="20"/>
                <w:szCs w:val="20"/>
                <w:highlight w:val="none"/>
              </w:rPr>
            </w:pPr>
            <w:r>
              <w:rPr>
                <w:rFonts w:hint="eastAsia" w:ascii="宋体" w:hAnsi="宋体" w:eastAsia="宋体" w:cs="宋体"/>
                <w:color w:val="auto"/>
                <w:sz w:val="20"/>
                <w:szCs w:val="20"/>
                <w:highlight w:val="none"/>
              </w:rPr>
              <w:t>桓仁满族自治县城发城市环境卫生管理有限公司</w:t>
            </w:r>
          </w:p>
        </w:tc>
        <w:tc>
          <w:tcPr>
            <w:tcW w:w="213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280" w:lineRule="exact"/>
              <w:jc w:val="center"/>
              <w:textAlignment w:val="auto"/>
              <w:rPr>
                <w:rFonts w:hint="eastAsia" w:ascii="宋体" w:hAnsi="宋体" w:eastAsia="宋体" w:cs="宋体"/>
                <w:kern w:val="2"/>
                <w:sz w:val="20"/>
                <w:szCs w:val="20"/>
                <w:highlight w:val="none"/>
                <w:lang w:eastAsia="zh-CN"/>
              </w:rPr>
            </w:pPr>
            <w:r>
              <w:rPr>
                <w:rFonts w:hint="eastAsia" w:ascii="宋体" w:hAnsi="宋体" w:eastAsia="宋体" w:cs="宋体"/>
                <w:kern w:val="2"/>
                <w:sz w:val="20"/>
                <w:szCs w:val="20"/>
                <w:highlight w:val="none"/>
                <w:lang w:eastAsia="zh-CN"/>
              </w:rPr>
              <w:t>卫生填埋</w:t>
            </w:r>
          </w:p>
        </w:tc>
        <w:tc>
          <w:tcPr>
            <w:tcW w:w="2131"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keepNext w:val="0"/>
              <w:keepLines w:val="0"/>
              <w:pageBreakBefore w:val="0"/>
              <w:widowControl w:val="0"/>
              <w:kinsoku/>
              <w:wordWrap/>
              <w:overflowPunct/>
              <w:topLinePunct w:val="0"/>
              <w:autoSpaceDE/>
              <w:autoSpaceDN/>
              <w:bidi w:val="0"/>
              <w:adjustRightInd w:val="0"/>
              <w:snapToGrid w:val="0"/>
              <w:spacing w:line="280" w:lineRule="exact"/>
              <w:jc w:val="center"/>
              <w:textAlignment w:val="auto"/>
              <w:rPr>
                <w:rFonts w:hint="eastAsia" w:ascii="宋体" w:hAnsi="宋体" w:eastAsia="宋体" w:cs="宋体"/>
                <w:color w:val="FF0000"/>
                <w:kern w:val="2"/>
                <w:sz w:val="24"/>
                <w:szCs w:val="24"/>
                <w:highlight w:val="none"/>
                <w:lang w:val="en-US" w:eastAsia="zh-CN" w:bidi="ar-SA"/>
              </w:rPr>
            </w:pPr>
            <w:r>
              <w:rPr>
                <w:rFonts w:hint="eastAsia" w:ascii="宋体" w:hAnsi="宋体" w:cs="宋体"/>
                <w:color w:val="000000"/>
                <w:kern w:val="2"/>
                <w:sz w:val="24"/>
                <w:szCs w:val="24"/>
                <w:highlight w:val="none"/>
                <w:lang w:val="en-US" w:eastAsia="zh-CN"/>
              </w:rPr>
              <w:t>4.7万吨/年</w:t>
            </w:r>
          </w:p>
        </w:tc>
        <w:tc>
          <w:tcPr>
            <w:tcW w:w="2131"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keepNext w:val="0"/>
              <w:keepLines w:val="0"/>
              <w:pageBreakBefore w:val="0"/>
              <w:widowControl w:val="0"/>
              <w:kinsoku/>
              <w:wordWrap/>
              <w:overflowPunct/>
              <w:topLinePunct w:val="0"/>
              <w:autoSpaceDE/>
              <w:autoSpaceDN/>
              <w:bidi w:val="0"/>
              <w:adjustRightInd w:val="0"/>
              <w:snapToGrid w:val="0"/>
              <w:spacing w:line="280" w:lineRule="exact"/>
              <w:jc w:val="center"/>
              <w:textAlignment w:val="auto"/>
              <w:rPr>
                <w:rFonts w:hint="eastAsia" w:ascii="宋体" w:hAnsi="宋体" w:eastAsia="宋体" w:cs="宋体"/>
                <w:color w:val="FF0000"/>
                <w:kern w:val="2"/>
                <w:sz w:val="24"/>
                <w:szCs w:val="24"/>
                <w:highlight w:val="none"/>
                <w:lang w:val="en-US" w:eastAsia="zh-CN" w:bidi="ar-SA"/>
              </w:rPr>
            </w:pPr>
            <w:r>
              <w:rPr>
                <w:rFonts w:hint="eastAsia" w:ascii="仿宋_GB2312" w:hAnsi="仿宋_GB2312" w:eastAsia="仿宋_GB2312" w:cs="仿宋_GB2312"/>
                <w:color w:val="000000"/>
                <w:sz w:val="24"/>
                <w:szCs w:val="24"/>
                <w:highlight w:val="none"/>
                <w:lang w:val="en-US" w:eastAsia="zh-CN"/>
              </w:rPr>
              <w:t>0.23</w:t>
            </w:r>
          </w:p>
        </w:tc>
      </w:tr>
    </w:tbl>
    <w:p>
      <w:pPr>
        <w:keepNext w:val="0"/>
        <w:keepLines w:val="0"/>
        <w:pageBreakBefore w:val="0"/>
        <w:widowControl w:val="0"/>
        <w:kinsoku/>
        <w:wordWrap/>
        <w:overflowPunct/>
        <w:topLinePunct w:val="0"/>
        <w:autoSpaceDE/>
        <w:autoSpaceDN/>
        <w:bidi w:val="0"/>
        <w:adjustRightInd/>
        <w:snapToGrid/>
        <w:spacing w:line="578" w:lineRule="exact"/>
        <w:ind w:firstLine="640" w:firstLineChars="200"/>
        <w:jc w:val="both"/>
        <w:textAlignment w:val="auto"/>
        <w:rPr>
          <w:rFonts w:hint="default" w:ascii="黑体" w:hAnsi="黑体" w:eastAsia="黑体" w:cs="黑体"/>
          <w:sz w:val="32"/>
          <w:szCs w:val="32"/>
          <w:highlight w:val="none"/>
          <w:lang w:val="en-US" w:eastAsia="zh-CN"/>
        </w:rPr>
      </w:pPr>
      <w:r>
        <w:rPr>
          <w:rFonts w:hint="eastAsia" w:ascii="黑体" w:hAnsi="黑体" w:eastAsia="黑体" w:cs="黑体"/>
          <w:sz w:val="32"/>
          <w:szCs w:val="32"/>
          <w:highlight w:val="none"/>
          <w:lang w:eastAsia="zh-CN"/>
        </w:rPr>
        <w:t>七</w:t>
      </w:r>
      <w:r>
        <w:rPr>
          <w:rFonts w:hint="eastAsia" w:ascii="黑体" w:hAnsi="黑体" w:eastAsia="黑体" w:cs="黑体"/>
          <w:sz w:val="32"/>
          <w:szCs w:val="32"/>
          <w:highlight w:val="none"/>
        </w:rPr>
        <w:t>、再生资源</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jc w:val="both"/>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2025年，本市快递企业一次性不可降解塑料制品使用量为0吨，一次性塑料制品回收量为0.3162吨。</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jc w:val="both"/>
        <w:textAlignment w:val="auto"/>
        <w:rPr>
          <w:rFonts w:hint="eastAsia" w:ascii="黑体" w:hAnsi="黑体" w:eastAsia="黑体" w:cs="黑体"/>
          <w:sz w:val="32"/>
          <w:szCs w:val="32"/>
          <w:highlight w:val="none"/>
        </w:rPr>
      </w:pPr>
      <w:r>
        <w:rPr>
          <w:rFonts w:hint="eastAsia" w:ascii="黑体" w:hAnsi="黑体" w:eastAsia="黑体" w:cs="黑体"/>
          <w:sz w:val="32"/>
          <w:szCs w:val="32"/>
          <w:highlight w:val="none"/>
          <w:lang w:val="en-US" w:eastAsia="zh-CN"/>
        </w:rPr>
        <w:t>八、</w:t>
      </w:r>
      <w:r>
        <w:rPr>
          <w:rFonts w:hint="eastAsia" w:ascii="黑体" w:hAnsi="黑体" w:eastAsia="黑体" w:cs="黑体"/>
          <w:sz w:val="32"/>
          <w:szCs w:val="32"/>
          <w:highlight w:val="none"/>
        </w:rPr>
        <w:t>农业固体废物</w:t>
      </w:r>
    </w:p>
    <w:p>
      <w:pPr>
        <w:keepNext w:val="0"/>
        <w:keepLines w:val="0"/>
        <w:pageBreakBefore w:val="0"/>
        <w:kinsoku/>
        <w:wordWrap/>
        <w:overflowPunct/>
        <w:topLinePunct w:val="0"/>
        <w:autoSpaceDE/>
        <w:autoSpaceDN/>
        <w:bidi w:val="0"/>
        <w:adjustRightInd/>
        <w:snapToGrid/>
        <w:spacing w:line="578" w:lineRule="exact"/>
        <w:ind w:firstLine="643" w:firstLineChars="200"/>
        <w:jc w:val="both"/>
        <w:textAlignment w:val="auto"/>
        <w:rPr>
          <w:rFonts w:hint="eastAsia" w:ascii="仿宋_GB2312" w:hAnsi="仿宋_GB2312" w:eastAsia="仿宋_GB2312" w:cs="仿宋_GB2312"/>
          <w:b/>
          <w:bCs/>
          <w:sz w:val="32"/>
          <w:szCs w:val="32"/>
          <w:highlight w:val="none"/>
        </w:rPr>
      </w:pPr>
      <w:r>
        <w:rPr>
          <w:rFonts w:hint="eastAsia" w:ascii="仿宋_GB2312" w:hAnsi="仿宋_GB2312" w:eastAsia="仿宋_GB2312" w:cs="仿宋_GB2312"/>
          <w:b/>
          <w:bCs/>
          <w:sz w:val="32"/>
          <w:szCs w:val="32"/>
          <w:highlight w:val="none"/>
          <w:lang w:val="en-US" w:eastAsia="zh-CN"/>
        </w:rPr>
        <w:t>1.</w:t>
      </w:r>
      <w:r>
        <w:rPr>
          <w:rFonts w:hint="eastAsia" w:ascii="仿宋_GB2312" w:hAnsi="仿宋_GB2312" w:eastAsia="仿宋_GB2312" w:cs="仿宋_GB2312"/>
          <w:b/>
          <w:bCs/>
          <w:sz w:val="32"/>
          <w:szCs w:val="32"/>
          <w:highlight w:val="none"/>
          <w:lang w:eastAsia="zh-CN"/>
        </w:rPr>
        <w:t>畜禽粪污产生及利用情况</w:t>
      </w:r>
    </w:p>
    <w:p>
      <w:pPr>
        <w:keepNext w:val="0"/>
        <w:keepLines w:val="0"/>
        <w:pageBreakBefore w:val="0"/>
        <w:kinsoku/>
        <w:wordWrap/>
        <w:overflowPunct/>
        <w:topLinePunct w:val="0"/>
        <w:autoSpaceDE/>
        <w:autoSpaceDN/>
        <w:bidi w:val="0"/>
        <w:adjustRightInd/>
        <w:snapToGrid/>
        <w:spacing w:line="578" w:lineRule="exact"/>
        <w:jc w:val="both"/>
        <w:textAlignment w:val="auto"/>
        <w:rPr>
          <w:rFonts w:hint="eastAsia" w:ascii="仿宋_GB2312" w:hAnsi="仿宋_GB2312" w:eastAsia="仿宋_GB2312" w:cs="仿宋_GB2312"/>
          <w:sz w:val="32"/>
          <w:szCs w:val="32"/>
          <w:highlight w:val="none"/>
          <w:lang w:eastAsia="zh-CN"/>
        </w:rPr>
      </w:pPr>
      <w:r>
        <w:rPr>
          <w:rFonts w:hint="eastAsia" w:ascii="仿宋_GB2312" w:hAnsi="仿宋_GB2312" w:eastAsia="仿宋_GB2312" w:cs="仿宋_GB2312"/>
          <w:sz w:val="32"/>
          <w:szCs w:val="32"/>
          <w:highlight w:val="none"/>
          <w:lang w:val="en-US" w:eastAsia="zh-CN"/>
        </w:rPr>
        <w:t>　　（1）2025年</w:t>
      </w:r>
      <w:r>
        <w:rPr>
          <w:rFonts w:hint="eastAsia" w:ascii="仿宋_GB2312" w:hAnsi="仿宋_GB2312" w:eastAsia="仿宋_GB2312" w:cs="仿宋_GB2312"/>
          <w:sz w:val="32"/>
          <w:szCs w:val="32"/>
          <w:highlight w:val="none"/>
        </w:rPr>
        <w:t>，</w:t>
      </w:r>
      <w:r>
        <w:rPr>
          <w:rFonts w:hint="eastAsia" w:ascii="仿宋_GB2312" w:hAnsi="仿宋_GB2312" w:eastAsia="仿宋_GB2312" w:cs="仿宋_GB2312"/>
          <w:sz w:val="32"/>
          <w:szCs w:val="32"/>
          <w:highlight w:val="none"/>
          <w:lang w:eastAsia="zh-CN"/>
        </w:rPr>
        <w:t>本</w:t>
      </w:r>
      <w:r>
        <w:rPr>
          <w:rFonts w:hint="eastAsia" w:ascii="仿宋_GB2312" w:hAnsi="仿宋_GB2312" w:eastAsia="仿宋_GB2312" w:cs="仿宋_GB2312"/>
          <w:sz w:val="32"/>
          <w:szCs w:val="32"/>
          <w:highlight w:val="none"/>
          <w:lang w:val="en-US" w:eastAsia="zh-CN"/>
        </w:rPr>
        <w:t>市畜禽粪污</w:t>
      </w:r>
      <w:r>
        <w:rPr>
          <w:rFonts w:hint="eastAsia" w:ascii="仿宋_GB2312" w:hAnsi="仿宋_GB2312" w:eastAsia="仿宋_GB2312" w:cs="仿宋_GB2312"/>
          <w:sz w:val="32"/>
          <w:szCs w:val="32"/>
          <w:highlight w:val="none"/>
          <w:lang w:eastAsia="zh-CN"/>
        </w:rPr>
        <w:t>产生量</w:t>
      </w:r>
      <w:r>
        <w:rPr>
          <w:rFonts w:hint="eastAsia" w:ascii="仿宋_GB2312" w:hAnsi="仿宋_GB2312" w:eastAsia="仿宋_GB2312" w:cs="仿宋_GB2312"/>
          <w:sz w:val="32"/>
          <w:szCs w:val="32"/>
          <w:highlight w:val="none"/>
          <w:lang w:val="en-US" w:eastAsia="zh-CN"/>
        </w:rPr>
        <w:t>210.77万吨</w:t>
      </w:r>
      <w:r>
        <w:rPr>
          <w:rFonts w:hint="eastAsia" w:ascii="仿宋_GB2312" w:hAnsi="仿宋_GB2312" w:eastAsia="仿宋_GB2312" w:cs="仿宋_GB2312"/>
          <w:sz w:val="32"/>
          <w:szCs w:val="32"/>
          <w:highlight w:val="none"/>
          <w:lang w:eastAsia="zh-CN"/>
        </w:rPr>
        <w:t>，利用量</w:t>
      </w:r>
      <w:r>
        <w:rPr>
          <w:rFonts w:hint="eastAsia" w:ascii="仿宋_GB2312" w:hAnsi="仿宋_GB2312" w:eastAsia="仿宋_GB2312" w:cs="仿宋_GB2312"/>
          <w:sz w:val="32"/>
          <w:szCs w:val="32"/>
          <w:highlight w:val="none"/>
          <w:lang w:val="en-US" w:eastAsia="zh-CN"/>
        </w:rPr>
        <w:t>178.34万吨</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综合利用率</w:t>
      </w:r>
      <w:r>
        <w:rPr>
          <w:rFonts w:hint="eastAsia" w:ascii="仿宋_GB2312" w:hAnsi="仿宋_GB2312" w:eastAsia="仿宋_GB2312" w:cs="仿宋_GB2312"/>
          <w:sz w:val="32"/>
          <w:szCs w:val="32"/>
          <w:highlight w:val="none"/>
          <w:lang w:eastAsia="zh-CN"/>
        </w:rPr>
        <w:t>为</w:t>
      </w:r>
      <w:r>
        <w:rPr>
          <w:rFonts w:hint="eastAsia" w:ascii="仿宋_GB2312" w:hAnsi="仿宋_GB2312" w:eastAsia="仿宋_GB2312" w:cs="仿宋_GB2312"/>
          <w:sz w:val="32"/>
          <w:szCs w:val="32"/>
          <w:highlight w:val="none"/>
          <w:lang w:val="en-US" w:eastAsia="zh-CN"/>
        </w:rPr>
        <w:t>84.62</w:t>
      </w:r>
      <w:r>
        <w:rPr>
          <w:rFonts w:hint="eastAsia" w:ascii="仿宋_GB2312" w:hAnsi="仿宋_GB2312" w:eastAsia="仿宋_GB2312" w:cs="仿宋_GB2312"/>
          <w:sz w:val="32"/>
          <w:szCs w:val="32"/>
          <w:highlight w:val="none"/>
        </w:rPr>
        <w:t>%</w:t>
      </w:r>
      <w:r>
        <w:rPr>
          <w:rFonts w:hint="eastAsia" w:ascii="仿宋_GB2312" w:hAnsi="仿宋_GB2312" w:eastAsia="仿宋_GB2312" w:cs="仿宋_GB2312"/>
          <w:sz w:val="32"/>
          <w:szCs w:val="32"/>
          <w:highlight w:val="none"/>
          <w:lang w:eastAsia="zh-CN"/>
        </w:rPr>
        <w:t>。</w:t>
      </w:r>
    </w:p>
    <w:p>
      <w:pPr>
        <w:keepNext w:val="0"/>
        <w:keepLines w:val="0"/>
        <w:pageBreakBefore w:val="0"/>
        <w:widowControl/>
        <w:kinsoku/>
        <w:wordWrap/>
        <w:overflowPunct/>
        <w:topLinePunct w:val="0"/>
        <w:autoSpaceDE/>
        <w:autoSpaceDN/>
        <w:bidi w:val="0"/>
        <w:adjustRightInd/>
        <w:snapToGrid/>
        <w:spacing w:line="578" w:lineRule="exact"/>
        <w:ind w:firstLine="641"/>
        <w:jc w:val="both"/>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（2）2025年，本市共有102家畜禽养殖场从事畜禽粪污处理活动，畜禽粪污处理能力为33.82万吨/年，主要处理设施情况见表9。</w:t>
      </w:r>
    </w:p>
    <w:p>
      <w:pPr>
        <w:ind w:firstLine="640"/>
        <w:jc w:val="center"/>
        <w:rPr>
          <w:rFonts w:hint="eastAsia" w:ascii="宋体" w:hAnsi="宋体" w:eastAsia="宋体" w:cs="宋体"/>
          <w:b/>
          <w:bCs/>
          <w:sz w:val="24"/>
          <w:szCs w:val="24"/>
          <w:highlight w:val="none"/>
          <w:lang w:val="en-US" w:eastAsia="zh-CN"/>
        </w:rPr>
      </w:pPr>
      <w:r>
        <w:rPr>
          <w:rFonts w:hint="eastAsia" w:ascii="宋体" w:hAnsi="宋体" w:eastAsia="宋体" w:cs="宋体"/>
          <w:b/>
          <w:bCs/>
          <w:sz w:val="24"/>
          <w:szCs w:val="24"/>
          <w:highlight w:val="none"/>
          <w:lang w:val="en-US" w:eastAsia="zh-CN"/>
        </w:rPr>
        <w:t>表9 畜禽粪污处理设施情况</w:t>
      </w:r>
    </w:p>
    <w:tbl>
      <w:tblPr>
        <w:tblStyle w:val="4"/>
        <w:tblW w:w="1040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70"/>
        <w:gridCol w:w="1694"/>
        <w:gridCol w:w="1060"/>
        <w:gridCol w:w="939"/>
        <w:gridCol w:w="892"/>
        <w:gridCol w:w="1077"/>
        <w:gridCol w:w="1231"/>
        <w:gridCol w:w="960"/>
        <w:gridCol w:w="1021"/>
        <w:gridCol w:w="96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4" w:hRule="atLeast"/>
          <w:tblHeader/>
          <w:jc w:val="center"/>
        </w:trPr>
        <w:tc>
          <w:tcPr>
            <w:tcW w:w="570" w:type="dxa"/>
            <w:vMerge w:val="restart"/>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b/>
                <w:bCs/>
                <w:i w:val="0"/>
                <w:iCs w:val="0"/>
                <w:color w:val="000000"/>
                <w:sz w:val="18"/>
                <w:szCs w:val="18"/>
                <w:highlight w:val="none"/>
                <w:u w:val="none"/>
              </w:rPr>
            </w:pPr>
            <w:r>
              <w:rPr>
                <w:rFonts w:hint="eastAsia" w:ascii="宋体" w:hAnsi="宋体" w:eastAsia="宋体" w:cs="宋体"/>
                <w:b/>
                <w:bCs/>
                <w:i w:val="0"/>
                <w:iCs w:val="0"/>
                <w:color w:val="000000"/>
                <w:kern w:val="0"/>
                <w:sz w:val="18"/>
                <w:szCs w:val="18"/>
                <w:highlight w:val="none"/>
                <w:u w:val="none"/>
                <w:lang w:val="en-US" w:eastAsia="zh-CN" w:bidi="ar"/>
              </w:rPr>
              <w:t>序号</w:t>
            </w:r>
          </w:p>
        </w:tc>
        <w:tc>
          <w:tcPr>
            <w:tcW w:w="1694" w:type="dxa"/>
            <w:vMerge w:val="restart"/>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b/>
                <w:bCs/>
                <w:i w:val="0"/>
                <w:iCs w:val="0"/>
                <w:color w:val="000000"/>
                <w:sz w:val="18"/>
                <w:szCs w:val="18"/>
                <w:highlight w:val="none"/>
                <w:u w:val="none"/>
              </w:rPr>
            </w:pPr>
            <w:r>
              <w:rPr>
                <w:rFonts w:hint="eastAsia" w:ascii="宋体" w:hAnsi="宋体" w:eastAsia="宋体" w:cs="宋体"/>
                <w:b/>
                <w:bCs/>
                <w:i w:val="0"/>
                <w:iCs w:val="0"/>
                <w:color w:val="000000"/>
                <w:kern w:val="0"/>
                <w:sz w:val="18"/>
                <w:szCs w:val="18"/>
                <w:highlight w:val="none"/>
                <w:u w:val="none"/>
                <w:lang w:val="en-US" w:eastAsia="zh-CN" w:bidi="ar"/>
              </w:rPr>
              <w:t>设施所属畜禽养殖场（户）名称</w:t>
            </w:r>
          </w:p>
        </w:tc>
        <w:tc>
          <w:tcPr>
            <w:tcW w:w="3968" w:type="dxa"/>
            <w:gridSpan w:val="4"/>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b/>
                <w:bCs/>
                <w:i w:val="0"/>
                <w:iCs w:val="0"/>
                <w:color w:val="000000"/>
                <w:sz w:val="18"/>
                <w:szCs w:val="18"/>
                <w:highlight w:val="none"/>
                <w:u w:val="none"/>
              </w:rPr>
            </w:pPr>
            <w:r>
              <w:rPr>
                <w:rFonts w:hint="eastAsia" w:ascii="宋体" w:hAnsi="宋体" w:eastAsia="宋体" w:cs="宋体"/>
                <w:b/>
                <w:bCs/>
                <w:i w:val="0"/>
                <w:iCs w:val="0"/>
                <w:color w:val="000000"/>
                <w:kern w:val="0"/>
                <w:sz w:val="18"/>
                <w:szCs w:val="18"/>
                <w:highlight w:val="none"/>
                <w:u w:val="none"/>
                <w:lang w:val="en-US" w:eastAsia="zh-CN" w:bidi="ar"/>
              </w:rPr>
              <w:t>处理设施类型</w:t>
            </w:r>
          </w:p>
        </w:tc>
        <w:tc>
          <w:tcPr>
            <w:tcW w:w="1231" w:type="dxa"/>
            <w:vMerge w:val="restart"/>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b/>
                <w:bCs/>
                <w:i w:val="0"/>
                <w:iCs w:val="0"/>
                <w:color w:val="000000"/>
                <w:sz w:val="18"/>
                <w:szCs w:val="18"/>
                <w:highlight w:val="none"/>
                <w:u w:val="none"/>
              </w:rPr>
            </w:pPr>
            <w:r>
              <w:rPr>
                <w:rFonts w:hint="eastAsia" w:ascii="宋体" w:hAnsi="宋体" w:eastAsia="宋体" w:cs="宋体"/>
                <w:b/>
                <w:bCs/>
                <w:i w:val="0"/>
                <w:iCs w:val="0"/>
                <w:color w:val="000000"/>
                <w:kern w:val="0"/>
                <w:sz w:val="18"/>
                <w:szCs w:val="18"/>
                <w:highlight w:val="none"/>
                <w:u w:val="none"/>
                <w:lang w:val="en-US" w:eastAsia="zh-CN" w:bidi="ar"/>
              </w:rPr>
              <w:t>处理粪污种类</w:t>
            </w:r>
          </w:p>
        </w:tc>
        <w:tc>
          <w:tcPr>
            <w:tcW w:w="960" w:type="dxa"/>
            <w:vMerge w:val="restart"/>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b/>
                <w:bCs/>
                <w:i w:val="0"/>
                <w:iCs w:val="0"/>
                <w:color w:val="000000"/>
                <w:sz w:val="18"/>
                <w:szCs w:val="18"/>
                <w:highlight w:val="none"/>
                <w:u w:val="none"/>
              </w:rPr>
            </w:pPr>
            <w:r>
              <w:rPr>
                <w:rFonts w:hint="eastAsia" w:ascii="宋体" w:hAnsi="宋体" w:eastAsia="宋体" w:cs="宋体"/>
                <w:b/>
                <w:bCs/>
                <w:i w:val="0"/>
                <w:iCs w:val="0"/>
                <w:color w:val="000000"/>
                <w:kern w:val="0"/>
                <w:sz w:val="18"/>
                <w:szCs w:val="18"/>
                <w:highlight w:val="none"/>
                <w:u w:val="none"/>
                <w:lang w:val="en-US" w:eastAsia="zh-CN" w:bidi="ar"/>
              </w:rPr>
              <w:t>粪污处理方式</w:t>
            </w:r>
          </w:p>
        </w:tc>
        <w:tc>
          <w:tcPr>
            <w:tcW w:w="1021" w:type="dxa"/>
            <w:vMerge w:val="restart"/>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b/>
                <w:bCs/>
                <w:i w:val="0"/>
                <w:iCs w:val="0"/>
                <w:color w:val="000000"/>
                <w:sz w:val="18"/>
                <w:szCs w:val="18"/>
                <w:highlight w:val="none"/>
                <w:u w:val="none"/>
              </w:rPr>
            </w:pPr>
            <w:r>
              <w:rPr>
                <w:rFonts w:hint="eastAsia" w:ascii="宋体" w:hAnsi="宋体" w:eastAsia="宋体" w:cs="宋体"/>
                <w:b/>
                <w:bCs/>
                <w:i w:val="0"/>
                <w:iCs w:val="0"/>
                <w:color w:val="000000"/>
                <w:kern w:val="0"/>
                <w:sz w:val="18"/>
                <w:szCs w:val="18"/>
                <w:highlight w:val="none"/>
                <w:u w:val="none"/>
                <w:lang w:val="en-US" w:eastAsia="zh-CN" w:bidi="ar"/>
              </w:rPr>
              <w:t>养殖场粪污产生总量（m</w:t>
            </w:r>
            <w:r>
              <w:rPr>
                <w:rFonts w:hint="eastAsia" w:ascii="宋体" w:hAnsi="宋体" w:eastAsia="宋体" w:cs="宋体"/>
                <w:b/>
                <w:bCs/>
                <w:i w:val="0"/>
                <w:iCs w:val="0"/>
                <w:color w:val="000000"/>
                <w:kern w:val="0"/>
                <w:sz w:val="18"/>
                <w:szCs w:val="18"/>
                <w:highlight w:val="none"/>
                <w:u w:val="none"/>
                <w:vertAlign w:val="superscript"/>
                <w:lang w:val="en-US" w:eastAsia="zh-CN" w:bidi="ar"/>
              </w:rPr>
              <w:t>3</w:t>
            </w:r>
            <w:r>
              <w:rPr>
                <w:rFonts w:hint="eastAsia" w:ascii="宋体" w:hAnsi="宋体" w:eastAsia="宋体" w:cs="宋体"/>
                <w:b/>
                <w:bCs/>
                <w:i w:val="0"/>
                <w:iCs w:val="0"/>
                <w:color w:val="000000"/>
                <w:kern w:val="0"/>
                <w:sz w:val="18"/>
                <w:szCs w:val="18"/>
                <w:highlight w:val="none"/>
                <w:u w:val="none"/>
                <w:lang w:val="en-US" w:eastAsia="zh-CN" w:bidi="ar"/>
              </w:rPr>
              <w:t>）</w:t>
            </w:r>
          </w:p>
        </w:tc>
        <w:tc>
          <w:tcPr>
            <w:tcW w:w="965" w:type="dxa"/>
            <w:vMerge w:val="restart"/>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b/>
                <w:bCs/>
                <w:i w:val="0"/>
                <w:iCs w:val="0"/>
                <w:color w:val="000000"/>
                <w:sz w:val="18"/>
                <w:szCs w:val="18"/>
                <w:highlight w:val="none"/>
                <w:u w:val="none"/>
              </w:rPr>
            </w:pPr>
            <w:r>
              <w:rPr>
                <w:rFonts w:hint="eastAsia" w:ascii="宋体" w:hAnsi="宋体" w:eastAsia="宋体" w:cs="宋体"/>
                <w:b/>
                <w:bCs/>
                <w:i w:val="0"/>
                <w:iCs w:val="0"/>
                <w:color w:val="000000"/>
                <w:kern w:val="0"/>
                <w:sz w:val="18"/>
                <w:szCs w:val="18"/>
                <w:highlight w:val="none"/>
                <w:u w:val="none"/>
                <w:lang w:val="en-US" w:eastAsia="zh-CN" w:bidi="ar"/>
              </w:rPr>
              <w:t>实际处理量（m</w:t>
            </w:r>
            <w:r>
              <w:rPr>
                <w:rFonts w:hint="eastAsia" w:ascii="宋体" w:hAnsi="宋体" w:eastAsia="宋体" w:cs="宋体"/>
                <w:b/>
                <w:bCs/>
                <w:i w:val="0"/>
                <w:iCs w:val="0"/>
                <w:color w:val="000000"/>
                <w:kern w:val="0"/>
                <w:sz w:val="18"/>
                <w:szCs w:val="18"/>
                <w:highlight w:val="none"/>
                <w:u w:val="none"/>
                <w:vertAlign w:val="superscript"/>
                <w:lang w:val="en-US" w:eastAsia="zh-CN" w:bidi="ar"/>
              </w:rPr>
              <w:t>3</w:t>
            </w:r>
            <w:r>
              <w:rPr>
                <w:rFonts w:hint="eastAsia" w:ascii="宋体" w:hAnsi="宋体" w:eastAsia="宋体" w:cs="宋体"/>
                <w:b/>
                <w:bCs/>
                <w:i w:val="0"/>
                <w:iCs w:val="0"/>
                <w:color w:val="000000"/>
                <w:kern w:val="0"/>
                <w:sz w:val="18"/>
                <w:szCs w:val="18"/>
                <w:highlight w:val="none"/>
                <w:u w:val="none"/>
                <w:lang w:val="en-US" w:eastAsia="zh-CN" w:bidi="ar"/>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5" w:hRule="atLeast"/>
          <w:tblHeader/>
          <w:jc w:val="center"/>
        </w:trPr>
        <w:tc>
          <w:tcPr>
            <w:tcW w:w="570" w:type="dxa"/>
            <w:vMerge w:val="continue"/>
            <w:noWrap/>
            <w:vAlign w:val="center"/>
          </w:tcPr>
          <w:p>
            <w:pPr>
              <w:keepNext w:val="0"/>
              <w:keepLines w:val="0"/>
              <w:pageBreakBefore w:val="0"/>
              <w:widowControl/>
              <w:kinsoku/>
              <w:wordWrap/>
              <w:overflowPunct/>
              <w:topLinePunct w:val="0"/>
              <w:autoSpaceDE/>
              <w:autoSpaceDN/>
              <w:bidi w:val="0"/>
              <w:adjustRightInd/>
              <w:snapToGrid/>
              <w:spacing w:line="220" w:lineRule="exact"/>
              <w:jc w:val="center"/>
              <w:rPr>
                <w:rFonts w:hint="eastAsia" w:ascii="宋体" w:hAnsi="宋体" w:eastAsia="宋体" w:cs="宋体"/>
                <w:b/>
                <w:bCs/>
                <w:i w:val="0"/>
                <w:iCs w:val="0"/>
                <w:color w:val="000000"/>
                <w:sz w:val="13"/>
                <w:szCs w:val="13"/>
                <w:highlight w:val="none"/>
                <w:u w:val="none"/>
              </w:rPr>
            </w:pPr>
          </w:p>
        </w:tc>
        <w:tc>
          <w:tcPr>
            <w:tcW w:w="1694" w:type="dxa"/>
            <w:vMerge w:val="continue"/>
            <w:noWrap w:val="0"/>
            <w:vAlign w:val="center"/>
          </w:tcPr>
          <w:p>
            <w:pPr>
              <w:keepNext w:val="0"/>
              <w:keepLines w:val="0"/>
              <w:pageBreakBefore w:val="0"/>
              <w:widowControl/>
              <w:kinsoku/>
              <w:wordWrap/>
              <w:overflowPunct/>
              <w:topLinePunct w:val="0"/>
              <w:autoSpaceDE/>
              <w:autoSpaceDN/>
              <w:bidi w:val="0"/>
              <w:adjustRightInd/>
              <w:snapToGrid/>
              <w:spacing w:line="220" w:lineRule="exact"/>
              <w:jc w:val="center"/>
              <w:rPr>
                <w:rFonts w:hint="eastAsia" w:ascii="宋体" w:hAnsi="宋体" w:eastAsia="宋体" w:cs="宋体"/>
                <w:b/>
                <w:bCs/>
                <w:i w:val="0"/>
                <w:iCs w:val="0"/>
                <w:color w:val="000000"/>
                <w:sz w:val="13"/>
                <w:szCs w:val="13"/>
                <w:highlight w:val="none"/>
                <w:u w:val="none"/>
              </w:rPr>
            </w:pPr>
          </w:p>
        </w:tc>
        <w:tc>
          <w:tcPr>
            <w:tcW w:w="1060"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b/>
                <w:bCs/>
                <w:i w:val="0"/>
                <w:iCs w:val="0"/>
                <w:color w:val="000000"/>
                <w:sz w:val="18"/>
                <w:szCs w:val="18"/>
                <w:highlight w:val="none"/>
                <w:u w:val="none"/>
              </w:rPr>
            </w:pPr>
            <w:r>
              <w:rPr>
                <w:rFonts w:hint="eastAsia" w:ascii="宋体" w:hAnsi="宋体" w:eastAsia="宋体" w:cs="宋体"/>
                <w:b/>
                <w:bCs/>
                <w:i w:val="0"/>
                <w:iCs w:val="0"/>
                <w:color w:val="000000"/>
                <w:kern w:val="0"/>
                <w:sz w:val="18"/>
                <w:szCs w:val="18"/>
                <w:highlight w:val="none"/>
                <w:u w:val="none"/>
                <w:lang w:val="en-US" w:eastAsia="zh-CN" w:bidi="ar"/>
              </w:rPr>
              <w:t>液体粪污贮存发酵设施容积（m</w:t>
            </w:r>
            <w:r>
              <w:rPr>
                <w:rFonts w:hint="eastAsia" w:ascii="宋体" w:hAnsi="宋体" w:eastAsia="宋体" w:cs="宋体"/>
                <w:b/>
                <w:bCs/>
                <w:i w:val="0"/>
                <w:iCs w:val="0"/>
                <w:color w:val="000000"/>
                <w:kern w:val="0"/>
                <w:sz w:val="18"/>
                <w:szCs w:val="18"/>
                <w:highlight w:val="none"/>
                <w:u w:val="none"/>
                <w:vertAlign w:val="superscript"/>
                <w:lang w:val="en-US" w:eastAsia="zh-CN" w:bidi="ar"/>
              </w:rPr>
              <w:t>3</w:t>
            </w:r>
            <w:r>
              <w:rPr>
                <w:rFonts w:hint="eastAsia" w:ascii="宋体" w:hAnsi="宋体" w:eastAsia="宋体" w:cs="宋体"/>
                <w:b/>
                <w:bCs/>
                <w:i w:val="0"/>
                <w:iCs w:val="0"/>
                <w:color w:val="000000"/>
                <w:kern w:val="0"/>
                <w:sz w:val="18"/>
                <w:szCs w:val="18"/>
                <w:highlight w:val="none"/>
                <w:u w:val="none"/>
                <w:lang w:val="en-US" w:eastAsia="zh-CN" w:bidi="ar"/>
              </w:rPr>
              <w:t>）</w:t>
            </w:r>
          </w:p>
        </w:tc>
        <w:tc>
          <w:tcPr>
            <w:tcW w:w="939"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b/>
                <w:bCs/>
                <w:i w:val="0"/>
                <w:iCs w:val="0"/>
                <w:color w:val="000000"/>
                <w:sz w:val="18"/>
                <w:szCs w:val="18"/>
                <w:highlight w:val="none"/>
                <w:u w:val="none"/>
              </w:rPr>
            </w:pPr>
            <w:r>
              <w:rPr>
                <w:rFonts w:hint="eastAsia" w:ascii="宋体" w:hAnsi="宋体" w:eastAsia="宋体" w:cs="宋体"/>
                <w:b/>
                <w:bCs/>
                <w:i w:val="0"/>
                <w:iCs w:val="0"/>
                <w:color w:val="000000"/>
                <w:kern w:val="0"/>
                <w:sz w:val="18"/>
                <w:szCs w:val="18"/>
                <w:highlight w:val="none"/>
                <w:u w:val="none"/>
                <w:lang w:val="en-US" w:eastAsia="zh-CN" w:bidi="ar"/>
              </w:rPr>
              <w:t>沼液贮存设施容积（m</w:t>
            </w:r>
            <w:r>
              <w:rPr>
                <w:rFonts w:hint="eastAsia" w:ascii="宋体" w:hAnsi="宋体" w:eastAsia="宋体" w:cs="宋体"/>
                <w:b/>
                <w:bCs/>
                <w:i w:val="0"/>
                <w:iCs w:val="0"/>
                <w:color w:val="000000"/>
                <w:kern w:val="0"/>
                <w:sz w:val="18"/>
                <w:szCs w:val="18"/>
                <w:highlight w:val="none"/>
                <w:u w:val="none"/>
                <w:vertAlign w:val="superscript"/>
                <w:lang w:val="en-US" w:eastAsia="zh-CN" w:bidi="ar"/>
              </w:rPr>
              <w:t>3</w:t>
            </w:r>
            <w:r>
              <w:rPr>
                <w:rFonts w:hint="eastAsia" w:ascii="宋体" w:hAnsi="宋体" w:eastAsia="宋体" w:cs="宋体"/>
                <w:b/>
                <w:bCs/>
                <w:i w:val="0"/>
                <w:iCs w:val="0"/>
                <w:color w:val="000000"/>
                <w:kern w:val="0"/>
                <w:sz w:val="18"/>
                <w:szCs w:val="18"/>
                <w:highlight w:val="none"/>
                <w:u w:val="none"/>
                <w:lang w:val="en-US" w:eastAsia="zh-CN" w:bidi="ar"/>
              </w:rPr>
              <w:t>）</w:t>
            </w:r>
          </w:p>
        </w:tc>
        <w:tc>
          <w:tcPr>
            <w:tcW w:w="892"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b/>
                <w:bCs/>
                <w:i w:val="0"/>
                <w:iCs w:val="0"/>
                <w:color w:val="000000"/>
                <w:sz w:val="18"/>
                <w:szCs w:val="18"/>
                <w:highlight w:val="none"/>
                <w:u w:val="none"/>
              </w:rPr>
            </w:pPr>
            <w:r>
              <w:rPr>
                <w:rFonts w:hint="eastAsia" w:ascii="宋体" w:hAnsi="宋体" w:eastAsia="宋体" w:cs="宋体"/>
                <w:b/>
                <w:bCs/>
                <w:i w:val="0"/>
                <w:iCs w:val="0"/>
                <w:color w:val="000000"/>
                <w:kern w:val="0"/>
                <w:sz w:val="18"/>
                <w:szCs w:val="18"/>
                <w:highlight w:val="none"/>
                <w:u w:val="none"/>
                <w:lang w:val="en-US" w:eastAsia="zh-CN" w:bidi="ar"/>
              </w:rPr>
              <w:t>贮存或沤肥设施面积（m</w:t>
            </w:r>
            <w:r>
              <w:rPr>
                <w:rFonts w:hint="eastAsia" w:ascii="宋体" w:hAnsi="宋体" w:eastAsia="宋体" w:cs="宋体"/>
                <w:b/>
                <w:bCs/>
                <w:i w:val="0"/>
                <w:iCs w:val="0"/>
                <w:color w:val="000000"/>
                <w:kern w:val="0"/>
                <w:sz w:val="18"/>
                <w:szCs w:val="18"/>
                <w:highlight w:val="none"/>
                <w:u w:val="none"/>
                <w:vertAlign w:val="superscript"/>
                <w:lang w:val="en-US" w:eastAsia="zh-CN" w:bidi="ar"/>
              </w:rPr>
              <w:t>2</w:t>
            </w:r>
            <w:r>
              <w:rPr>
                <w:rFonts w:hint="eastAsia" w:ascii="宋体" w:hAnsi="宋体" w:eastAsia="宋体" w:cs="宋体"/>
                <w:b/>
                <w:bCs/>
                <w:i w:val="0"/>
                <w:iCs w:val="0"/>
                <w:color w:val="000000"/>
                <w:kern w:val="0"/>
                <w:sz w:val="18"/>
                <w:szCs w:val="18"/>
                <w:highlight w:val="none"/>
                <w:u w:val="none"/>
                <w:lang w:val="en-US" w:eastAsia="zh-CN" w:bidi="ar"/>
              </w:rPr>
              <w:t>）</w:t>
            </w:r>
          </w:p>
        </w:tc>
        <w:tc>
          <w:tcPr>
            <w:tcW w:w="1077"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b/>
                <w:bCs/>
                <w:i w:val="0"/>
                <w:iCs w:val="0"/>
                <w:color w:val="000000"/>
                <w:sz w:val="18"/>
                <w:szCs w:val="18"/>
                <w:highlight w:val="none"/>
                <w:u w:val="none"/>
              </w:rPr>
            </w:pPr>
            <w:r>
              <w:rPr>
                <w:rFonts w:hint="eastAsia" w:ascii="宋体" w:hAnsi="宋体" w:eastAsia="宋体" w:cs="宋体"/>
                <w:b/>
                <w:bCs/>
                <w:i w:val="0"/>
                <w:iCs w:val="0"/>
                <w:color w:val="000000"/>
                <w:kern w:val="0"/>
                <w:sz w:val="18"/>
                <w:szCs w:val="18"/>
                <w:highlight w:val="none"/>
                <w:u w:val="none"/>
                <w:lang w:val="en-US" w:eastAsia="zh-CN" w:bidi="ar"/>
              </w:rPr>
              <w:t>条垛式（含覆膜）堆肥设施面积（m</w:t>
            </w:r>
            <w:r>
              <w:rPr>
                <w:rFonts w:hint="eastAsia" w:ascii="宋体" w:hAnsi="宋体" w:eastAsia="宋体" w:cs="宋体"/>
                <w:b/>
                <w:bCs/>
                <w:i w:val="0"/>
                <w:iCs w:val="0"/>
                <w:color w:val="000000"/>
                <w:kern w:val="0"/>
                <w:sz w:val="18"/>
                <w:szCs w:val="18"/>
                <w:highlight w:val="none"/>
                <w:u w:val="none"/>
                <w:vertAlign w:val="superscript"/>
                <w:lang w:val="en-US" w:eastAsia="zh-CN" w:bidi="ar"/>
              </w:rPr>
              <w:t>2</w:t>
            </w:r>
            <w:r>
              <w:rPr>
                <w:rFonts w:hint="eastAsia" w:ascii="宋体" w:hAnsi="宋体" w:eastAsia="宋体" w:cs="宋体"/>
                <w:b/>
                <w:bCs/>
                <w:i w:val="0"/>
                <w:iCs w:val="0"/>
                <w:color w:val="000000"/>
                <w:kern w:val="0"/>
                <w:sz w:val="18"/>
                <w:szCs w:val="18"/>
                <w:highlight w:val="none"/>
                <w:u w:val="none"/>
                <w:lang w:val="en-US" w:eastAsia="zh-CN" w:bidi="ar"/>
              </w:rPr>
              <w:t>）</w:t>
            </w:r>
          </w:p>
        </w:tc>
        <w:tc>
          <w:tcPr>
            <w:tcW w:w="1231" w:type="dxa"/>
            <w:vMerge w:val="continue"/>
            <w:noWrap/>
            <w:vAlign w:val="center"/>
          </w:tcPr>
          <w:p>
            <w:pPr>
              <w:keepNext w:val="0"/>
              <w:keepLines w:val="0"/>
              <w:pageBreakBefore w:val="0"/>
              <w:kinsoku/>
              <w:wordWrap/>
              <w:overflowPunct/>
              <w:topLinePunct w:val="0"/>
              <w:autoSpaceDE/>
              <w:autoSpaceDN/>
              <w:bidi w:val="0"/>
              <w:adjustRightInd/>
              <w:snapToGrid/>
              <w:spacing w:line="220" w:lineRule="exact"/>
              <w:jc w:val="center"/>
              <w:rPr>
                <w:rFonts w:hint="eastAsia" w:ascii="宋体" w:hAnsi="宋体" w:eastAsia="宋体" w:cs="宋体"/>
                <w:b/>
                <w:bCs/>
                <w:i w:val="0"/>
                <w:iCs w:val="0"/>
                <w:color w:val="000000"/>
                <w:sz w:val="13"/>
                <w:szCs w:val="13"/>
                <w:highlight w:val="none"/>
                <w:u w:val="none"/>
              </w:rPr>
            </w:pPr>
          </w:p>
        </w:tc>
        <w:tc>
          <w:tcPr>
            <w:tcW w:w="960" w:type="dxa"/>
            <w:vMerge w:val="continue"/>
            <w:noWrap/>
            <w:vAlign w:val="center"/>
          </w:tcPr>
          <w:p>
            <w:pPr>
              <w:keepNext w:val="0"/>
              <w:keepLines w:val="0"/>
              <w:pageBreakBefore w:val="0"/>
              <w:kinsoku/>
              <w:wordWrap/>
              <w:overflowPunct/>
              <w:topLinePunct w:val="0"/>
              <w:autoSpaceDE/>
              <w:autoSpaceDN/>
              <w:bidi w:val="0"/>
              <w:adjustRightInd/>
              <w:snapToGrid/>
              <w:spacing w:line="220" w:lineRule="exact"/>
              <w:jc w:val="center"/>
              <w:rPr>
                <w:rFonts w:hint="eastAsia" w:ascii="宋体" w:hAnsi="宋体" w:eastAsia="宋体" w:cs="宋体"/>
                <w:b/>
                <w:bCs/>
                <w:i w:val="0"/>
                <w:iCs w:val="0"/>
                <w:color w:val="000000"/>
                <w:sz w:val="13"/>
                <w:szCs w:val="13"/>
                <w:highlight w:val="none"/>
                <w:u w:val="none"/>
              </w:rPr>
            </w:pPr>
          </w:p>
        </w:tc>
        <w:tc>
          <w:tcPr>
            <w:tcW w:w="1021" w:type="dxa"/>
            <w:vMerge w:val="continue"/>
            <w:noWrap w:val="0"/>
            <w:vAlign w:val="center"/>
          </w:tcPr>
          <w:p>
            <w:pPr>
              <w:keepNext w:val="0"/>
              <w:keepLines w:val="0"/>
              <w:pageBreakBefore w:val="0"/>
              <w:kinsoku/>
              <w:wordWrap/>
              <w:overflowPunct/>
              <w:topLinePunct w:val="0"/>
              <w:autoSpaceDE/>
              <w:autoSpaceDN/>
              <w:bidi w:val="0"/>
              <w:adjustRightInd/>
              <w:snapToGrid/>
              <w:spacing w:line="220" w:lineRule="exact"/>
              <w:jc w:val="center"/>
              <w:rPr>
                <w:rFonts w:hint="eastAsia" w:ascii="宋体" w:hAnsi="宋体" w:eastAsia="宋体" w:cs="宋体"/>
                <w:b/>
                <w:bCs/>
                <w:i w:val="0"/>
                <w:iCs w:val="0"/>
                <w:color w:val="000000"/>
                <w:sz w:val="13"/>
                <w:szCs w:val="13"/>
                <w:highlight w:val="none"/>
                <w:u w:val="none"/>
              </w:rPr>
            </w:pPr>
          </w:p>
        </w:tc>
        <w:tc>
          <w:tcPr>
            <w:tcW w:w="965" w:type="dxa"/>
            <w:vMerge w:val="continue"/>
            <w:noWrap w:val="0"/>
            <w:vAlign w:val="center"/>
          </w:tcPr>
          <w:p>
            <w:pPr>
              <w:keepNext w:val="0"/>
              <w:keepLines w:val="0"/>
              <w:pageBreakBefore w:val="0"/>
              <w:kinsoku/>
              <w:wordWrap/>
              <w:overflowPunct/>
              <w:topLinePunct w:val="0"/>
              <w:autoSpaceDE/>
              <w:autoSpaceDN/>
              <w:bidi w:val="0"/>
              <w:adjustRightInd/>
              <w:snapToGrid/>
              <w:spacing w:line="220" w:lineRule="exact"/>
              <w:jc w:val="center"/>
              <w:rPr>
                <w:rFonts w:hint="eastAsia" w:ascii="宋体" w:hAnsi="宋体" w:eastAsia="宋体" w:cs="宋体"/>
                <w:b/>
                <w:bCs/>
                <w:i w:val="0"/>
                <w:iCs w:val="0"/>
                <w:color w:val="000000"/>
                <w:sz w:val="13"/>
                <w:szCs w:val="13"/>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exact"/>
          <w:jc w:val="center"/>
        </w:trPr>
        <w:tc>
          <w:tcPr>
            <w:tcW w:w="570"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1</w:t>
            </w:r>
          </w:p>
        </w:tc>
        <w:tc>
          <w:tcPr>
            <w:tcW w:w="1694"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本溪市康健种猪场</w:t>
            </w:r>
          </w:p>
        </w:tc>
        <w:tc>
          <w:tcPr>
            <w:tcW w:w="1060"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1500</w:t>
            </w:r>
          </w:p>
        </w:tc>
        <w:tc>
          <w:tcPr>
            <w:tcW w:w="939" w:type="dxa"/>
            <w:noWrap/>
            <w:vAlign w:val="center"/>
          </w:tcPr>
          <w:p>
            <w:pPr>
              <w:keepNext w:val="0"/>
              <w:keepLines w:val="0"/>
              <w:pageBreakBefore w:val="0"/>
              <w:kinsoku/>
              <w:wordWrap/>
              <w:overflowPunct/>
              <w:topLinePunct w:val="0"/>
              <w:autoSpaceDE/>
              <w:autoSpaceDN/>
              <w:bidi w:val="0"/>
              <w:adjustRightInd/>
              <w:snapToGrid/>
              <w:spacing w:line="220" w:lineRule="exact"/>
              <w:jc w:val="center"/>
              <w:rPr>
                <w:rFonts w:hint="eastAsia" w:ascii="宋体" w:hAnsi="宋体" w:eastAsia="宋体" w:cs="宋体"/>
                <w:i w:val="0"/>
                <w:iCs w:val="0"/>
                <w:color w:val="000000"/>
                <w:sz w:val="20"/>
                <w:szCs w:val="20"/>
                <w:highlight w:val="none"/>
                <w:u w:val="none"/>
              </w:rPr>
            </w:pPr>
          </w:p>
        </w:tc>
        <w:tc>
          <w:tcPr>
            <w:tcW w:w="892"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1540</w:t>
            </w:r>
          </w:p>
        </w:tc>
        <w:tc>
          <w:tcPr>
            <w:tcW w:w="1077" w:type="dxa"/>
            <w:noWrap/>
            <w:vAlign w:val="center"/>
          </w:tcPr>
          <w:p>
            <w:pPr>
              <w:keepNext w:val="0"/>
              <w:keepLines w:val="0"/>
              <w:pageBreakBefore w:val="0"/>
              <w:kinsoku/>
              <w:wordWrap/>
              <w:overflowPunct/>
              <w:topLinePunct w:val="0"/>
              <w:autoSpaceDE/>
              <w:autoSpaceDN/>
              <w:bidi w:val="0"/>
              <w:adjustRightInd/>
              <w:snapToGrid/>
              <w:spacing w:line="220" w:lineRule="exact"/>
              <w:jc w:val="center"/>
              <w:rPr>
                <w:rFonts w:hint="eastAsia" w:ascii="宋体" w:hAnsi="宋体" w:eastAsia="宋体" w:cs="宋体"/>
                <w:i w:val="0"/>
                <w:iCs w:val="0"/>
                <w:color w:val="000000"/>
                <w:sz w:val="20"/>
                <w:szCs w:val="20"/>
                <w:highlight w:val="none"/>
                <w:u w:val="none"/>
              </w:rPr>
            </w:pPr>
          </w:p>
        </w:tc>
        <w:tc>
          <w:tcPr>
            <w:tcW w:w="1231"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固体粪污和液体粪污</w:t>
            </w:r>
          </w:p>
        </w:tc>
        <w:tc>
          <w:tcPr>
            <w:tcW w:w="960"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还田利用</w:t>
            </w:r>
          </w:p>
        </w:tc>
        <w:tc>
          <w:tcPr>
            <w:tcW w:w="1021"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 xml:space="preserve">3650.00 </w:t>
            </w:r>
          </w:p>
        </w:tc>
        <w:tc>
          <w:tcPr>
            <w:tcW w:w="965"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 xml:space="preserve">3173.74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exact"/>
          <w:jc w:val="center"/>
        </w:trPr>
        <w:tc>
          <w:tcPr>
            <w:tcW w:w="570"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2</w:t>
            </w:r>
          </w:p>
        </w:tc>
        <w:tc>
          <w:tcPr>
            <w:tcW w:w="1694"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本溪美泰肉鸡养殖场</w:t>
            </w:r>
          </w:p>
        </w:tc>
        <w:tc>
          <w:tcPr>
            <w:tcW w:w="1060"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660</w:t>
            </w:r>
          </w:p>
        </w:tc>
        <w:tc>
          <w:tcPr>
            <w:tcW w:w="939" w:type="dxa"/>
            <w:noWrap/>
            <w:vAlign w:val="center"/>
          </w:tcPr>
          <w:p>
            <w:pPr>
              <w:keepNext w:val="0"/>
              <w:keepLines w:val="0"/>
              <w:pageBreakBefore w:val="0"/>
              <w:kinsoku/>
              <w:wordWrap/>
              <w:overflowPunct/>
              <w:topLinePunct w:val="0"/>
              <w:autoSpaceDE/>
              <w:autoSpaceDN/>
              <w:bidi w:val="0"/>
              <w:adjustRightInd/>
              <w:snapToGrid/>
              <w:spacing w:line="220" w:lineRule="exact"/>
              <w:jc w:val="center"/>
              <w:rPr>
                <w:rFonts w:hint="eastAsia" w:ascii="宋体" w:hAnsi="宋体" w:eastAsia="宋体" w:cs="宋体"/>
                <w:i w:val="0"/>
                <w:iCs w:val="0"/>
                <w:color w:val="000000"/>
                <w:sz w:val="20"/>
                <w:szCs w:val="20"/>
                <w:highlight w:val="none"/>
                <w:u w:val="none"/>
              </w:rPr>
            </w:pPr>
          </w:p>
        </w:tc>
        <w:tc>
          <w:tcPr>
            <w:tcW w:w="892"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1080</w:t>
            </w:r>
          </w:p>
        </w:tc>
        <w:tc>
          <w:tcPr>
            <w:tcW w:w="1077" w:type="dxa"/>
            <w:noWrap/>
            <w:vAlign w:val="center"/>
          </w:tcPr>
          <w:p>
            <w:pPr>
              <w:keepNext w:val="0"/>
              <w:keepLines w:val="0"/>
              <w:pageBreakBefore w:val="0"/>
              <w:kinsoku/>
              <w:wordWrap/>
              <w:overflowPunct/>
              <w:topLinePunct w:val="0"/>
              <w:autoSpaceDE/>
              <w:autoSpaceDN/>
              <w:bidi w:val="0"/>
              <w:adjustRightInd/>
              <w:snapToGrid/>
              <w:spacing w:line="220" w:lineRule="exact"/>
              <w:jc w:val="center"/>
              <w:rPr>
                <w:rFonts w:hint="eastAsia" w:ascii="宋体" w:hAnsi="宋体" w:eastAsia="宋体" w:cs="宋体"/>
                <w:i w:val="0"/>
                <w:iCs w:val="0"/>
                <w:color w:val="000000"/>
                <w:sz w:val="20"/>
                <w:szCs w:val="20"/>
                <w:highlight w:val="none"/>
                <w:u w:val="none"/>
              </w:rPr>
            </w:pPr>
          </w:p>
        </w:tc>
        <w:tc>
          <w:tcPr>
            <w:tcW w:w="1231"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固体粪污和液体粪污</w:t>
            </w:r>
          </w:p>
        </w:tc>
        <w:tc>
          <w:tcPr>
            <w:tcW w:w="960"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还田利用</w:t>
            </w:r>
          </w:p>
        </w:tc>
        <w:tc>
          <w:tcPr>
            <w:tcW w:w="1021"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 xml:space="preserve">5256.00 </w:t>
            </w:r>
          </w:p>
        </w:tc>
        <w:tc>
          <w:tcPr>
            <w:tcW w:w="965"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 xml:space="preserve">5017.74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exact"/>
          <w:jc w:val="center"/>
        </w:trPr>
        <w:tc>
          <w:tcPr>
            <w:tcW w:w="570"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3</w:t>
            </w:r>
          </w:p>
        </w:tc>
        <w:tc>
          <w:tcPr>
            <w:tcW w:w="1694"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本溪市亚星肉鸡养殖场</w:t>
            </w:r>
          </w:p>
        </w:tc>
        <w:tc>
          <w:tcPr>
            <w:tcW w:w="1060"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1500</w:t>
            </w:r>
          </w:p>
        </w:tc>
        <w:tc>
          <w:tcPr>
            <w:tcW w:w="939" w:type="dxa"/>
            <w:noWrap/>
            <w:vAlign w:val="center"/>
          </w:tcPr>
          <w:p>
            <w:pPr>
              <w:keepNext w:val="0"/>
              <w:keepLines w:val="0"/>
              <w:pageBreakBefore w:val="0"/>
              <w:kinsoku/>
              <w:wordWrap/>
              <w:overflowPunct/>
              <w:topLinePunct w:val="0"/>
              <w:autoSpaceDE/>
              <w:autoSpaceDN/>
              <w:bidi w:val="0"/>
              <w:adjustRightInd/>
              <w:snapToGrid/>
              <w:spacing w:line="220" w:lineRule="exact"/>
              <w:jc w:val="center"/>
              <w:rPr>
                <w:rFonts w:hint="eastAsia" w:ascii="宋体" w:hAnsi="宋体" w:eastAsia="宋体" w:cs="宋体"/>
                <w:i w:val="0"/>
                <w:iCs w:val="0"/>
                <w:color w:val="000000"/>
                <w:sz w:val="20"/>
                <w:szCs w:val="20"/>
                <w:highlight w:val="none"/>
                <w:u w:val="none"/>
              </w:rPr>
            </w:pPr>
          </w:p>
        </w:tc>
        <w:tc>
          <w:tcPr>
            <w:tcW w:w="892"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1260</w:t>
            </w:r>
          </w:p>
        </w:tc>
        <w:tc>
          <w:tcPr>
            <w:tcW w:w="1077" w:type="dxa"/>
            <w:noWrap/>
            <w:vAlign w:val="center"/>
          </w:tcPr>
          <w:p>
            <w:pPr>
              <w:keepNext w:val="0"/>
              <w:keepLines w:val="0"/>
              <w:pageBreakBefore w:val="0"/>
              <w:kinsoku/>
              <w:wordWrap/>
              <w:overflowPunct/>
              <w:topLinePunct w:val="0"/>
              <w:autoSpaceDE/>
              <w:autoSpaceDN/>
              <w:bidi w:val="0"/>
              <w:adjustRightInd/>
              <w:snapToGrid/>
              <w:spacing w:line="220" w:lineRule="exact"/>
              <w:jc w:val="center"/>
              <w:rPr>
                <w:rFonts w:hint="eastAsia" w:ascii="宋体" w:hAnsi="宋体" w:eastAsia="宋体" w:cs="宋体"/>
                <w:i w:val="0"/>
                <w:iCs w:val="0"/>
                <w:color w:val="000000"/>
                <w:sz w:val="20"/>
                <w:szCs w:val="20"/>
                <w:highlight w:val="none"/>
                <w:u w:val="none"/>
              </w:rPr>
            </w:pPr>
          </w:p>
        </w:tc>
        <w:tc>
          <w:tcPr>
            <w:tcW w:w="1231"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固体粪污和液体粪污</w:t>
            </w:r>
          </w:p>
        </w:tc>
        <w:tc>
          <w:tcPr>
            <w:tcW w:w="960"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还田利用</w:t>
            </w:r>
          </w:p>
        </w:tc>
        <w:tc>
          <w:tcPr>
            <w:tcW w:w="1021"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 xml:space="preserve">2336.00 </w:t>
            </w:r>
          </w:p>
        </w:tc>
        <w:tc>
          <w:tcPr>
            <w:tcW w:w="965"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 xml:space="preserve">2336.00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exact"/>
          <w:jc w:val="center"/>
        </w:trPr>
        <w:tc>
          <w:tcPr>
            <w:tcW w:w="570"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4</w:t>
            </w:r>
          </w:p>
        </w:tc>
        <w:tc>
          <w:tcPr>
            <w:tcW w:w="1694"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连山关镇博大养猪场</w:t>
            </w:r>
          </w:p>
        </w:tc>
        <w:tc>
          <w:tcPr>
            <w:tcW w:w="1060"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440</w:t>
            </w:r>
          </w:p>
        </w:tc>
        <w:tc>
          <w:tcPr>
            <w:tcW w:w="939" w:type="dxa"/>
            <w:noWrap/>
            <w:vAlign w:val="center"/>
          </w:tcPr>
          <w:p>
            <w:pPr>
              <w:keepNext w:val="0"/>
              <w:keepLines w:val="0"/>
              <w:pageBreakBefore w:val="0"/>
              <w:kinsoku/>
              <w:wordWrap/>
              <w:overflowPunct/>
              <w:topLinePunct w:val="0"/>
              <w:autoSpaceDE/>
              <w:autoSpaceDN/>
              <w:bidi w:val="0"/>
              <w:adjustRightInd/>
              <w:snapToGrid/>
              <w:spacing w:line="220" w:lineRule="exact"/>
              <w:jc w:val="center"/>
              <w:rPr>
                <w:rFonts w:hint="eastAsia" w:ascii="宋体" w:hAnsi="宋体" w:eastAsia="宋体" w:cs="宋体"/>
                <w:i w:val="0"/>
                <w:iCs w:val="0"/>
                <w:color w:val="000000"/>
                <w:sz w:val="20"/>
                <w:szCs w:val="20"/>
                <w:highlight w:val="none"/>
                <w:u w:val="none"/>
              </w:rPr>
            </w:pPr>
          </w:p>
        </w:tc>
        <w:tc>
          <w:tcPr>
            <w:tcW w:w="892"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280</w:t>
            </w:r>
          </w:p>
        </w:tc>
        <w:tc>
          <w:tcPr>
            <w:tcW w:w="1077" w:type="dxa"/>
            <w:noWrap/>
            <w:vAlign w:val="center"/>
          </w:tcPr>
          <w:p>
            <w:pPr>
              <w:keepNext w:val="0"/>
              <w:keepLines w:val="0"/>
              <w:pageBreakBefore w:val="0"/>
              <w:kinsoku/>
              <w:wordWrap/>
              <w:overflowPunct/>
              <w:topLinePunct w:val="0"/>
              <w:autoSpaceDE/>
              <w:autoSpaceDN/>
              <w:bidi w:val="0"/>
              <w:adjustRightInd/>
              <w:snapToGrid/>
              <w:spacing w:line="220" w:lineRule="exact"/>
              <w:jc w:val="center"/>
              <w:rPr>
                <w:rFonts w:hint="eastAsia" w:ascii="宋体" w:hAnsi="宋体" w:eastAsia="宋体" w:cs="宋体"/>
                <w:i w:val="0"/>
                <w:iCs w:val="0"/>
                <w:color w:val="000000"/>
                <w:sz w:val="20"/>
                <w:szCs w:val="20"/>
                <w:highlight w:val="none"/>
                <w:u w:val="none"/>
              </w:rPr>
            </w:pPr>
          </w:p>
        </w:tc>
        <w:tc>
          <w:tcPr>
            <w:tcW w:w="1231"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固体粪污和液体粪污</w:t>
            </w:r>
          </w:p>
        </w:tc>
        <w:tc>
          <w:tcPr>
            <w:tcW w:w="960"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还田利用</w:t>
            </w:r>
          </w:p>
        </w:tc>
        <w:tc>
          <w:tcPr>
            <w:tcW w:w="1021"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 xml:space="preserve">219.00 </w:t>
            </w:r>
          </w:p>
        </w:tc>
        <w:tc>
          <w:tcPr>
            <w:tcW w:w="965"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 xml:space="preserve">130.34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exact"/>
          <w:jc w:val="center"/>
        </w:trPr>
        <w:tc>
          <w:tcPr>
            <w:tcW w:w="570"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5</w:t>
            </w:r>
          </w:p>
        </w:tc>
        <w:tc>
          <w:tcPr>
            <w:tcW w:w="1694"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国安种猪场</w:t>
            </w:r>
          </w:p>
        </w:tc>
        <w:tc>
          <w:tcPr>
            <w:tcW w:w="1060"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2050</w:t>
            </w:r>
          </w:p>
        </w:tc>
        <w:tc>
          <w:tcPr>
            <w:tcW w:w="939" w:type="dxa"/>
            <w:noWrap/>
            <w:vAlign w:val="center"/>
          </w:tcPr>
          <w:p>
            <w:pPr>
              <w:keepNext w:val="0"/>
              <w:keepLines w:val="0"/>
              <w:pageBreakBefore w:val="0"/>
              <w:kinsoku/>
              <w:wordWrap/>
              <w:overflowPunct/>
              <w:topLinePunct w:val="0"/>
              <w:autoSpaceDE/>
              <w:autoSpaceDN/>
              <w:bidi w:val="0"/>
              <w:adjustRightInd/>
              <w:snapToGrid/>
              <w:spacing w:line="220" w:lineRule="exact"/>
              <w:jc w:val="center"/>
              <w:rPr>
                <w:rFonts w:hint="eastAsia" w:ascii="宋体" w:hAnsi="宋体" w:eastAsia="宋体" w:cs="宋体"/>
                <w:i w:val="0"/>
                <w:iCs w:val="0"/>
                <w:color w:val="000000"/>
                <w:sz w:val="20"/>
                <w:szCs w:val="20"/>
                <w:highlight w:val="none"/>
                <w:u w:val="none"/>
              </w:rPr>
            </w:pPr>
          </w:p>
        </w:tc>
        <w:tc>
          <w:tcPr>
            <w:tcW w:w="892"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500</w:t>
            </w:r>
          </w:p>
        </w:tc>
        <w:tc>
          <w:tcPr>
            <w:tcW w:w="1077" w:type="dxa"/>
            <w:noWrap/>
            <w:vAlign w:val="center"/>
          </w:tcPr>
          <w:p>
            <w:pPr>
              <w:keepNext w:val="0"/>
              <w:keepLines w:val="0"/>
              <w:pageBreakBefore w:val="0"/>
              <w:kinsoku/>
              <w:wordWrap/>
              <w:overflowPunct/>
              <w:topLinePunct w:val="0"/>
              <w:autoSpaceDE/>
              <w:autoSpaceDN/>
              <w:bidi w:val="0"/>
              <w:adjustRightInd/>
              <w:snapToGrid/>
              <w:spacing w:line="220" w:lineRule="exact"/>
              <w:jc w:val="center"/>
              <w:rPr>
                <w:rFonts w:hint="eastAsia" w:ascii="宋体" w:hAnsi="宋体" w:eastAsia="宋体" w:cs="宋体"/>
                <w:i w:val="0"/>
                <w:iCs w:val="0"/>
                <w:color w:val="000000"/>
                <w:sz w:val="20"/>
                <w:szCs w:val="20"/>
                <w:highlight w:val="none"/>
                <w:u w:val="none"/>
              </w:rPr>
            </w:pPr>
          </w:p>
        </w:tc>
        <w:tc>
          <w:tcPr>
            <w:tcW w:w="1231"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固体粪污和液体粪污</w:t>
            </w:r>
          </w:p>
        </w:tc>
        <w:tc>
          <w:tcPr>
            <w:tcW w:w="960"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还田利用</w:t>
            </w:r>
          </w:p>
        </w:tc>
        <w:tc>
          <w:tcPr>
            <w:tcW w:w="1021"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 xml:space="preserve">6551.75 </w:t>
            </w:r>
          </w:p>
        </w:tc>
        <w:tc>
          <w:tcPr>
            <w:tcW w:w="965"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 xml:space="preserve">5535.71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exact"/>
          <w:jc w:val="center"/>
        </w:trPr>
        <w:tc>
          <w:tcPr>
            <w:tcW w:w="570"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6</w:t>
            </w:r>
          </w:p>
        </w:tc>
        <w:tc>
          <w:tcPr>
            <w:tcW w:w="1694"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迎洋绒山羊养殖场</w:t>
            </w:r>
          </w:p>
        </w:tc>
        <w:tc>
          <w:tcPr>
            <w:tcW w:w="1060"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50</w:t>
            </w:r>
          </w:p>
        </w:tc>
        <w:tc>
          <w:tcPr>
            <w:tcW w:w="939" w:type="dxa"/>
            <w:noWrap/>
            <w:vAlign w:val="center"/>
          </w:tcPr>
          <w:p>
            <w:pPr>
              <w:keepNext w:val="0"/>
              <w:keepLines w:val="0"/>
              <w:pageBreakBefore w:val="0"/>
              <w:kinsoku/>
              <w:wordWrap/>
              <w:overflowPunct/>
              <w:topLinePunct w:val="0"/>
              <w:autoSpaceDE/>
              <w:autoSpaceDN/>
              <w:bidi w:val="0"/>
              <w:adjustRightInd/>
              <w:snapToGrid/>
              <w:spacing w:line="220" w:lineRule="exact"/>
              <w:jc w:val="center"/>
              <w:rPr>
                <w:rFonts w:hint="eastAsia" w:ascii="宋体" w:hAnsi="宋体" w:eastAsia="宋体" w:cs="宋体"/>
                <w:i w:val="0"/>
                <w:iCs w:val="0"/>
                <w:color w:val="000000"/>
                <w:sz w:val="20"/>
                <w:szCs w:val="20"/>
                <w:highlight w:val="none"/>
                <w:u w:val="none"/>
              </w:rPr>
            </w:pPr>
          </w:p>
        </w:tc>
        <w:tc>
          <w:tcPr>
            <w:tcW w:w="892"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150</w:t>
            </w:r>
          </w:p>
        </w:tc>
        <w:tc>
          <w:tcPr>
            <w:tcW w:w="1077" w:type="dxa"/>
            <w:noWrap/>
            <w:vAlign w:val="center"/>
          </w:tcPr>
          <w:p>
            <w:pPr>
              <w:keepNext w:val="0"/>
              <w:keepLines w:val="0"/>
              <w:pageBreakBefore w:val="0"/>
              <w:kinsoku/>
              <w:wordWrap/>
              <w:overflowPunct/>
              <w:topLinePunct w:val="0"/>
              <w:autoSpaceDE/>
              <w:autoSpaceDN/>
              <w:bidi w:val="0"/>
              <w:adjustRightInd/>
              <w:snapToGrid/>
              <w:spacing w:line="220" w:lineRule="exact"/>
              <w:jc w:val="center"/>
              <w:rPr>
                <w:rFonts w:hint="eastAsia" w:ascii="宋体" w:hAnsi="宋体" w:eastAsia="宋体" w:cs="宋体"/>
                <w:i w:val="0"/>
                <w:iCs w:val="0"/>
                <w:color w:val="000000"/>
                <w:sz w:val="20"/>
                <w:szCs w:val="20"/>
                <w:highlight w:val="none"/>
                <w:u w:val="none"/>
              </w:rPr>
            </w:pPr>
          </w:p>
        </w:tc>
        <w:tc>
          <w:tcPr>
            <w:tcW w:w="1231"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固体粪污和液体粪污</w:t>
            </w:r>
          </w:p>
        </w:tc>
        <w:tc>
          <w:tcPr>
            <w:tcW w:w="960"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还田利用</w:t>
            </w:r>
          </w:p>
        </w:tc>
        <w:tc>
          <w:tcPr>
            <w:tcW w:w="1021"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 xml:space="preserve">284.70 </w:t>
            </w:r>
          </w:p>
        </w:tc>
        <w:tc>
          <w:tcPr>
            <w:tcW w:w="965"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 xml:space="preserve">284.70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exact"/>
          <w:jc w:val="center"/>
        </w:trPr>
        <w:tc>
          <w:tcPr>
            <w:tcW w:w="570"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7</w:t>
            </w:r>
          </w:p>
        </w:tc>
        <w:tc>
          <w:tcPr>
            <w:tcW w:w="1694"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幸福种猪场</w:t>
            </w:r>
          </w:p>
        </w:tc>
        <w:tc>
          <w:tcPr>
            <w:tcW w:w="1060"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4800</w:t>
            </w:r>
          </w:p>
        </w:tc>
        <w:tc>
          <w:tcPr>
            <w:tcW w:w="939" w:type="dxa"/>
            <w:noWrap/>
            <w:vAlign w:val="center"/>
          </w:tcPr>
          <w:p>
            <w:pPr>
              <w:keepNext w:val="0"/>
              <w:keepLines w:val="0"/>
              <w:pageBreakBefore w:val="0"/>
              <w:kinsoku/>
              <w:wordWrap/>
              <w:overflowPunct/>
              <w:topLinePunct w:val="0"/>
              <w:autoSpaceDE/>
              <w:autoSpaceDN/>
              <w:bidi w:val="0"/>
              <w:adjustRightInd/>
              <w:snapToGrid/>
              <w:spacing w:line="220" w:lineRule="exact"/>
              <w:jc w:val="center"/>
              <w:rPr>
                <w:rFonts w:hint="eastAsia" w:ascii="宋体" w:hAnsi="宋体" w:eastAsia="宋体" w:cs="宋体"/>
                <w:i w:val="0"/>
                <w:iCs w:val="0"/>
                <w:color w:val="000000"/>
                <w:sz w:val="20"/>
                <w:szCs w:val="20"/>
                <w:highlight w:val="none"/>
                <w:u w:val="none"/>
              </w:rPr>
            </w:pPr>
          </w:p>
        </w:tc>
        <w:tc>
          <w:tcPr>
            <w:tcW w:w="892"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1400</w:t>
            </w:r>
          </w:p>
        </w:tc>
        <w:tc>
          <w:tcPr>
            <w:tcW w:w="1077" w:type="dxa"/>
            <w:noWrap/>
            <w:vAlign w:val="center"/>
          </w:tcPr>
          <w:p>
            <w:pPr>
              <w:keepNext w:val="0"/>
              <w:keepLines w:val="0"/>
              <w:pageBreakBefore w:val="0"/>
              <w:kinsoku/>
              <w:wordWrap/>
              <w:overflowPunct/>
              <w:topLinePunct w:val="0"/>
              <w:autoSpaceDE/>
              <w:autoSpaceDN/>
              <w:bidi w:val="0"/>
              <w:adjustRightInd/>
              <w:snapToGrid/>
              <w:spacing w:line="220" w:lineRule="exact"/>
              <w:jc w:val="center"/>
              <w:rPr>
                <w:rFonts w:hint="eastAsia" w:ascii="宋体" w:hAnsi="宋体" w:eastAsia="宋体" w:cs="宋体"/>
                <w:i w:val="0"/>
                <w:iCs w:val="0"/>
                <w:color w:val="000000"/>
                <w:sz w:val="20"/>
                <w:szCs w:val="20"/>
                <w:highlight w:val="none"/>
                <w:u w:val="none"/>
              </w:rPr>
            </w:pPr>
          </w:p>
        </w:tc>
        <w:tc>
          <w:tcPr>
            <w:tcW w:w="1231"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固体粪污和液体粪污</w:t>
            </w:r>
          </w:p>
        </w:tc>
        <w:tc>
          <w:tcPr>
            <w:tcW w:w="960"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还田利用</w:t>
            </w:r>
          </w:p>
        </w:tc>
        <w:tc>
          <w:tcPr>
            <w:tcW w:w="1021"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 xml:space="preserve">12621.71 </w:t>
            </w:r>
          </w:p>
        </w:tc>
        <w:tc>
          <w:tcPr>
            <w:tcW w:w="965"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 xml:space="preserve">10890.54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exact"/>
          <w:jc w:val="center"/>
        </w:trPr>
        <w:tc>
          <w:tcPr>
            <w:tcW w:w="570"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8</w:t>
            </w:r>
          </w:p>
        </w:tc>
        <w:tc>
          <w:tcPr>
            <w:tcW w:w="1694"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本溪县鼎盛养猪场</w:t>
            </w:r>
          </w:p>
        </w:tc>
        <w:tc>
          <w:tcPr>
            <w:tcW w:w="1060"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940</w:t>
            </w:r>
          </w:p>
        </w:tc>
        <w:tc>
          <w:tcPr>
            <w:tcW w:w="939" w:type="dxa"/>
            <w:noWrap/>
            <w:vAlign w:val="center"/>
          </w:tcPr>
          <w:p>
            <w:pPr>
              <w:keepNext w:val="0"/>
              <w:keepLines w:val="0"/>
              <w:pageBreakBefore w:val="0"/>
              <w:kinsoku/>
              <w:wordWrap/>
              <w:overflowPunct/>
              <w:topLinePunct w:val="0"/>
              <w:autoSpaceDE/>
              <w:autoSpaceDN/>
              <w:bidi w:val="0"/>
              <w:adjustRightInd/>
              <w:snapToGrid/>
              <w:spacing w:line="220" w:lineRule="exact"/>
              <w:jc w:val="center"/>
              <w:rPr>
                <w:rFonts w:hint="eastAsia" w:ascii="宋体" w:hAnsi="宋体" w:eastAsia="宋体" w:cs="宋体"/>
                <w:i w:val="0"/>
                <w:iCs w:val="0"/>
                <w:color w:val="000000"/>
                <w:sz w:val="20"/>
                <w:szCs w:val="20"/>
                <w:highlight w:val="none"/>
                <w:u w:val="none"/>
              </w:rPr>
            </w:pPr>
          </w:p>
        </w:tc>
        <w:tc>
          <w:tcPr>
            <w:tcW w:w="892"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200</w:t>
            </w:r>
          </w:p>
        </w:tc>
        <w:tc>
          <w:tcPr>
            <w:tcW w:w="1077" w:type="dxa"/>
            <w:noWrap/>
            <w:vAlign w:val="center"/>
          </w:tcPr>
          <w:p>
            <w:pPr>
              <w:keepNext w:val="0"/>
              <w:keepLines w:val="0"/>
              <w:pageBreakBefore w:val="0"/>
              <w:kinsoku/>
              <w:wordWrap/>
              <w:overflowPunct/>
              <w:topLinePunct w:val="0"/>
              <w:autoSpaceDE/>
              <w:autoSpaceDN/>
              <w:bidi w:val="0"/>
              <w:adjustRightInd/>
              <w:snapToGrid/>
              <w:spacing w:line="220" w:lineRule="exact"/>
              <w:jc w:val="center"/>
              <w:rPr>
                <w:rFonts w:hint="eastAsia" w:ascii="宋体" w:hAnsi="宋体" w:eastAsia="宋体" w:cs="宋体"/>
                <w:i w:val="0"/>
                <w:iCs w:val="0"/>
                <w:color w:val="000000"/>
                <w:sz w:val="20"/>
                <w:szCs w:val="20"/>
                <w:highlight w:val="none"/>
                <w:u w:val="none"/>
              </w:rPr>
            </w:pPr>
          </w:p>
        </w:tc>
        <w:tc>
          <w:tcPr>
            <w:tcW w:w="1231"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固体粪污和液体粪污</w:t>
            </w:r>
          </w:p>
        </w:tc>
        <w:tc>
          <w:tcPr>
            <w:tcW w:w="960"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还田利用</w:t>
            </w:r>
          </w:p>
        </w:tc>
        <w:tc>
          <w:tcPr>
            <w:tcW w:w="1021"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 xml:space="preserve">985.51 </w:t>
            </w:r>
          </w:p>
        </w:tc>
        <w:tc>
          <w:tcPr>
            <w:tcW w:w="965"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 xml:space="preserve">825.42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exact"/>
          <w:jc w:val="center"/>
        </w:trPr>
        <w:tc>
          <w:tcPr>
            <w:tcW w:w="570"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9</w:t>
            </w:r>
          </w:p>
        </w:tc>
        <w:tc>
          <w:tcPr>
            <w:tcW w:w="1694"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兴盛种猪场</w:t>
            </w:r>
          </w:p>
        </w:tc>
        <w:tc>
          <w:tcPr>
            <w:tcW w:w="1060"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1925</w:t>
            </w:r>
          </w:p>
        </w:tc>
        <w:tc>
          <w:tcPr>
            <w:tcW w:w="939" w:type="dxa"/>
            <w:noWrap/>
            <w:vAlign w:val="center"/>
          </w:tcPr>
          <w:p>
            <w:pPr>
              <w:keepNext w:val="0"/>
              <w:keepLines w:val="0"/>
              <w:pageBreakBefore w:val="0"/>
              <w:kinsoku/>
              <w:wordWrap/>
              <w:overflowPunct/>
              <w:topLinePunct w:val="0"/>
              <w:autoSpaceDE/>
              <w:autoSpaceDN/>
              <w:bidi w:val="0"/>
              <w:adjustRightInd/>
              <w:snapToGrid/>
              <w:spacing w:line="220" w:lineRule="exact"/>
              <w:jc w:val="center"/>
              <w:rPr>
                <w:rFonts w:hint="eastAsia" w:ascii="宋体" w:hAnsi="宋体" w:eastAsia="宋体" w:cs="宋体"/>
                <w:i w:val="0"/>
                <w:iCs w:val="0"/>
                <w:color w:val="000000"/>
                <w:sz w:val="20"/>
                <w:szCs w:val="20"/>
                <w:highlight w:val="none"/>
                <w:u w:val="none"/>
              </w:rPr>
            </w:pPr>
          </w:p>
        </w:tc>
        <w:tc>
          <w:tcPr>
            <w:tcW w:w="892"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396</w:t>
            </w:r>
          </w:p>
        </w:tc>
        <w:tc>
          <w:tcPr>
            <w:tcW w:w="1077" w:type="dxa"/>
            <w:noWrap/>
            <w:vAlign w:val="center"/>
          </w:tcPr>
          <w:p>
            <w:pPr>
              <w:keepNext w:val="0"/>
              <w:keepLines w:val="0"/>
              <w:pageBreakBefore w:val="0"/>
              <w:kinsoku/>
              <w:wordWrap/>
              <w:overflowPunct/>
              <w:topLinePunct w:val="0"/>
              <w:autoSpaceDE/>
              <w:autoSpaceDN/>
              <w:bidi w:val="0"/>
              <w:adjustRightInd/>
              <w:snapToGrid/>
              <w:spacing w:line="220" w:lineRule="exact"/>
              <w:jc w:val="center"/>
              <w:rPr>
                <w:rFonts w:hint="eastAsia" w:ascii="宋体" w:hAnsi="宋体" w:eastAsia="宋体" w:cs="宋体"/>
                <w:i w:val="0"/>
                <w:iCs w:val="0"/>
                <w:color w:val="000000"/>
                <w:sz w:val="20"/>
                <w:szCs w:val="20"/>
                <w:highlight w:val="none"/>
                <w:u w:val="none"/>
              </w:rPr>
            </w:pPr>
          </w:p>
        </w:tc>
        <w:tc>
          <w:tcPr>
            <w:tcW w:w="1231"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固体粪污和液体粪污</w:t>
            </w:r>
          </w:p>
        </w:tc>
        <w:tc>
          <w:tcPr>
            <w:tcW w:w="960"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还田利用</w:t>
            </w:r>
          </w:p>
        </w:tc>
        <w:tc>
          <w:tcPr>
            <w:tcW w:w="1021"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 xml:space="preserve">2317.75 </w:t>
            </w:r>
          </w:p>
        </w:tc>
        <w:tc>
          <w:tcPr>
            <w:tcW w:w="965"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 xml:space="preserve">1575.40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exact"/>
          <w:jc w:val="center"/>
        </w:trPr>
        <w:tc>
          <w:tcPr>
            <w:tcW w:w="570"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10</w:t>
            </w:r>
          </w:p>
        </w:tc>
        <w:tc>
          <w:tcPr>
            <w:tcW w:w="1694"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二宝养猪场</w:t>
            </w:r>
          </w:p>
        </w:tc>
        <w:tc>
          <w:tcPr>
            <w:tcW w:w="1060"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75</w:t>
            </w:r>
          </w:p>
        </w:tc>
        <w:tc>
          <w:tcPr>
            <w:tcW w:w="939" w:type="dxa"/>
            <w:noWrap/>
            <w:vAlign w:val="center"/>
          </w:tcPr>
          <w:p>
            <w:pPr>
              <w:keepNext w:val="0"/>
              <w:keepLines w:val="0"/>
              <w:pageBreakBefore w:val="0"/>
              <w:kinsoku/>
              <w:wordWrap/>
              <w:overflowPunct/>
              <w:topLinePunct w:val="0"/>
              <w:autoSpaceDE/>
              <w:autoSpaceDN/>
              <w:bidi w:val="0"/>
              <w:adjustRightInd/>
              <w:snapToGrid/>
              <w:spacing w:line="220" w:lineRule="exact"/>
              <w:jc w:val="center"/>
              <w:rPr>
                <w:rFonts w:hint="eastAsia" w:ascii="宋体" w:hAnsi="宋体" w:eastAsia="宋体" w:cs="宋体"/>
                <w:i w:val="0"/>
                <w:iCs w:val="0"/>
                <w:color w:val="000000"/>
                <w:sz w:val="20"/>
                <w:szCs w:val="20"/>
                <w:highlight w:val="none"/>
                <w:u w:val="none"/>
              </w:rPr>
            </w:pPr>
          </w:p>
        </w:tc>
        <w:tc>
          <w:tcPr>
            <w:tcW w:w="892"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150</w:t>
            </w:r>
          </w:p>
        </w:tc>
        <w:tc>
          <w:tcPr>
            <w:tcW w:w="1077" w:type="dxa"/>
            <w:noWrap/>
            <w:vAlign w:val="center"/>
          </w:tcPr>
          <w:p>
            <w:pPr>
              <w:keepNext w:val="0"/>
              <w:keepLines w:val="0"/>
              <w:pageBreakBefore w:val="0"/>
              <w:kinsoku/>
              <w:wordWrap/>
              <w:overflowPunct/>
              <w:topLinePunct w:val="0"/>
              <w:autoSpaceDE/>
              <w:autoSpaceDN/>
              <w:bidi w:val="0"/>
              <w:adjustRightInd/>
              <w:snapToGrid/>
              <w:spacing w:line="220" w:lineRule="exact"/>
              <w:jc w:val="center"/>
              <w:rPr>
                <w:rFonts w:hint="eastAsia" w:ascii="宋体" w:hAnsi="宋体" w:eastAsia="宋体" w:cs="宋体"/>
                <w:i w:val="0"/>
                <w:iCs w:val="0"/>
                <w:color w:val="000000"/>
                <w:sz w:val="20"/>
                <w:szCs w:val="20"/>
                <w:highlight w:val="none"/>
                <w:u w:val="none"/>
              </w:rPr>
            </w:pPr>
          </w:p>
        </w:tc>
        <w:tc>
          <w:tcPr>
            <w:tcW w:w="1231"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固体粪污和液体粪污</w:t>
            </w:r>
          </w:p>
        </w:tc>
        <w:tc>
          <w:tcPr>
            <w:tcW w:w="960"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还田利用</w:t>
            </w:r>
          </w:p>
        </w:tc>
        <w:tc>
          <w:tcPr>
            <w:tcW w:w="1021"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 xml:space="preserve">730.00 </w:t>
            </w:r>
          </w:p>
        </w:tc>
        <w:tc>
          <w:tcPr>
            <w:tcW w:w="965"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 xml:space="preserve">642.42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exact"/>
          <w:jc w:val="center"/>
        </w:trPr>
        <w:tc>
          <w:tcPr>
            <w:tcW w:w="570"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11</w:t>
            </w:r>
          </w:p>
        </w:tc>
        <w:tc>
          <w:tcPr>
            <w:tcW w:w="1694"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天源种猪场</w:t>
            </w:r>
          </w:p>
        </w:tc>
        <w:tc>
          <w:tcPr>
            <w:tcW w:w="1060"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180</w:t>
            </w:r>
          </w:p>
        </w:tc>
        <w:tc>
          <w:tcPr>
            <w:tcW w:w="939" w:type="dxa"/>
            <w:noWrap/>
            <w:vAlign w:val="center"/>
          </w:tcPr>
          <w:p>
            <w:pPr>
              <w:keepNext w:val="0"/>
              <w:keepLines w:val="0"/>
              <w:pageBreakBefore w:val="0"/>
              <w:kinsoku/>
              <w:wordWrap/>
              <w:overflowPunct/>
              <w:topLinePunct w:val="0"/>
              <w:autoSpaceDE/>
              <w:autoSpaceDN/>
              <w:bidi w:val="0"/>
              <w:adjustRightInd/>
              <w:snapToGrid/>
              <w:spacing w:line="220" w:lineRule="exact"/>
              <w:jc w:val="center"/>
              <w:rPr>
                <w:rFonts w:hint="eastAsia" w:ascii="宋体" w:hAnsi="宋体" w:eastAsia="宋体" w:cs="宋体"/>
                <w:i w:val="0"/>
                <w:iCs w:val="0"/>
                <w:color w:val="000000"/>
                <w:sz w:val="20"/>
                <w:szCs w:val="20"/>
                <w:highlight w:val="none"/>
                <w:u w:val="none"/>
              </w:rPr>
            </w:pPr>
          </w:p>
        </w:tc>
        <w:tc>
          <w:tcPr>
            <w:tcW w:w="892"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90</w:t>
            </w:r>
          </w:p>
        </w:tc>
        <w:tc>
          <w:tcPr>
            <w:tcW w:w="1077" w:type="dxa"/>
            <w:noWrap/>
            <w:vAlign w:val="center"/>
          </w:tcPr>
          <w:p>
            <w:pPr>
              <w:keepNext w:val="0"/>
              <w:keepLines w:val="0"/>
              <w:pageBreakBefore w:val="0"/>
              <w:kinsoku/>
              <w:wordWrap/>
              <w:overflowPunct/>
              <w:topLinePunct w:val="0"/>
              <w:autoSpaceDE/>
              <w:autoSpaceDN/>
              <w:bidi w:val="0"/>
              <w:adjustRightInd/>
              <w:snapToGrid/>
              <w:spacing w:line="220" w:lineRule="exact"/>
              <w:jc w:val="center"/>
              <w:rPr>
                <w:rFonts w:hint="eastAsia" w:ascii="宋体" w:hAnsi="宋体" w:eastAsia="宋体" w:cs="宋体"/>
                <w:i w:val="0"/>
                <w:iCs w:val="0"/>
                <w:color w:val="000000"/>
                <w:sz w:val="20"/>
                <w:szCs w:val="20"/>
                <w:highlight w:val="none"/>
                <w:u w:val="none"/>
              </w:rPr>
            </w:pPr>
          </w:p>
        </w:tc>
        <w:tc>
          <w:tcPr>
            <w:tcW w:w="1231"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固体粪污和液体粪污</w:t>
            </w:r>
          </w:p>
        </w:tc>
        <w:tc>
          <w:tcPr>
            <w:tcW w:w="960"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还田利用</w:t>
            </w:r>
          </w:p>
        </w:tc>
        <w:tc>
          <w:tcPr>
            <w:tcW w:w="1021"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 xml:space="preserve">1095.00 </w:t>
            </w:r>
          </w:p>
        </w:tc>
        <w:tc>
          <w:tcPr>
            <w:tcW w:w="965"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 xml:space="preserve">481.19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exact"/>
          <w:jc w:val="center"/>
        </w:trPr>
        <w:tc>
          <w:tcPr>
            <w:tcW w:w="570"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12</w:t>
            </w:r>
          </w:p>
        </w:tc>
        <w:tc>
          <w:tcPr>
            <w:tcW w:w="1694"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万顺达牛羊养殖基地</w:t>
            </w:r>
          </w:p>
        </w:tc>
        <w:tc>
          <w:tcPr>
            <w:tcW w:w="1060"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600</w:t>
            </w:r>
          </w:p>
        </w:tc>
        <w:tc>
          <w:tcPr>
            <w:tcW w:w="939" w:type="dxa"/>
            <w:noWrap/>
            <w:vAlign w:val="center"/>
          </w:tcPr>
          <w:p>
            <w:pPr>
              <w:keepNext w:val="0"/>
              <w:keepLines w:val="0"/>
              <w:pageBreakBefore w:val="0"/>
              <w:kinsoku/>
              <w:wordWrap/>
              <w:overflowPunct/>
              <w:topLinePunct w:val="0"/>
              <w:autoSpaceDE/>
              <w:autoSpaceDN/>
              <w:bidi w:val="0"/>
              <w:adjustRightInd/>
              <w:snapToGrid/>
              <w:spacing w:line="220" w:lineRule="exact"/>
              <w:jc w:val="center"/>
              <w:rPr>
                <w:rFonts w:hint="eastAsia" w:ascii="宋体" w:hAnsi="宋体" w:eastAsia="宋体" w:cs="宋体"/>
                <w:i w:val="0"/>
                <w:iCs w:val="0"/>
                <w:color w:val="000000"/>
                <w:sz w:val="20"/>
                <w:szCs w:val="20"/>
                <w:highlight w:val="none"/>
                <w:u w:val="none"/>
              </w:rPr>
            </w:pPr>
          </w:p>
        </w:tc>
        <w:tc>
          <w:tcPr>
            <w:tcW w:w="892"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700</w:t>
            </w:r>
          </w:p>
        </w:tc>
        <w:tc>
          <w:tcPr>
            <w:tcW w:w="1077" w:type="dxa"/>
            <w:noWrap/>
            <w:vAlign w:val="center"/>
          </w:tcPr>
          <w:p>
            <w:pPr>
              <w:keepNext w:val="0"/>
              <w:keepLines w:val="0"/>
              <w:pageBreakBefore w:val="0"/>
              <w:kinsoku/>
              <w:wordWrap/>
              <w:overflowPunct/>
              <w:topLinePunct w:val="0"/>
              <w:autoSpaceDE/>
              <w:autoSpaceDN/>
              <w:bidi w:val="0"/>
              <w:adjustRightInd/>
              <w:snapToGrid/>
              <w:spacing w:line="220" w:lineRule="exact"/>
              <w:jc w:val="center"/>
              <w:rPr>
                <w:rFonts w:hint="eastAsia" w:ascii="宋体" w:hAnsi="宋体" w:eastAsia="宋体" w:cs="宋体"/>
                <w:i w:val="0"/>
                <w:iCs w:val="0"/>
                <w:color w:val="000000"/>
                <w:sz w:val="20"/>
                <w:szCs w:val="20"/>
                <w:highlight w:val="none"/>
                <w:u w:val="none"/>
              </w:rPr>
            </w:pPr>
          </w:p>
        </w:tc>
        <w:tc>
          <w:tcPr>
            <w:tcW w:w="1231"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固体粪污和液体粪污</w:t>
            </w:r>
          </w:p>
        </w:tc>
        <w:tc>
          <w:tcPr>
            <w:tcW w:w="960"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还田利用</w:t>
            </w:r>
          </w:p>
        </w:tc>
        <w:tc>
          <w:tcPr>
            <w:tcW w:w="1021"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 xml:space="preserve">1149.75 </w:t>
            </w:r>
          </w:p>
        </w:tc>
        <w:tc>
          <w:tcPr>
            <w:tcW w:w="965"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 xml:space="preserve">1147.34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exact"/>
          <w:jc w:val="center"/>
        </w:trPr>
        <w:tc>
          <w:tcPr>
            <w:tcW w:w="570"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13</w:t>
            </w:r>
          </w:p>
        </w:tc>
        <w:tc>
          <w:tcPr>
            <w:tcW w:w="1694"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顺枫黑猪种猪场</w:t>
            </w:r>
          </w:p>
        </w:tc>
        <w:tc>
          <w:tcPr>
            <w:tcW w:w="1060"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600</w:t>
            </w:r>
          </w:p>
        </w:tc>
        <w:tc>
          <w:tcPr>
            <w:tcW w:w="939" w:type="dxa"/>
            <w:noWrap/>
            <w:vAlign w:val="center"/>
          </w:tcPr>
          <w:p>
            <w:pPr>
              <w:keepNext w:val="0"/>
              <w:keepLines w:val="0"/>
              <w:pageBreakBefore w:val="0"/>
              <w:kinsoku/>
              <w:wordWrap/>
              <w:overflowPunct/>
              <w:topLinePunct w:val="0"/>
              <w:autoSpaceDE/>
              <w:autoSpaceDN/>
              <w:bidi w:val="0"/>
              <w:adjustRightInd/>
              <w:snapToGrid/>
              <w:spacing w:line="220" w:lineRule="exact"/>
              <w:jc w:val="center"/>
              <w:rPr>
                <w:rFonts w:hint="eastAsia" w:ascii="宋体" w:hAnsi="宋体" w:eastAsia="宋体" w:cs="宋体"/>
                <w:i w:val="0"/>
                <w:iCs w:val="0"/>
                <w:color w:val="000000"/>
                <w:sz w:val="20"/>
                <w:szCs w:val="20"/>
                <w:highlight w:val="none"/>
                <w:u w:val="none"/>
              </w:rPr>
            </w:pPr>
          </w:p>
        </w:tc>
        <w:tc>
          <w:tcPr>
            <w:tcW w:w="892"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240</w:t>
            </w:r>
          </w:p>
        </w:tc>
        <w:tc>
          <w:tcPr>
            <w:tcW w:w="1077" w:type="dxa"/>
            <w:noWrap/>
            <w:vAlign w:val="center"/>
          </w:tcPr>
          <w:p>
            <w:pPr>
              <w:keepNext w:val="0"/>
              <w:keepLines w:val="0"/>
              <w:pageBreakBefore w:val="0"/>
              <w:kinsoku/>
              <w:wordWrap/>
              <w:overflowPunct/>
              <w:topLinePunct w:val="0"/>
              <w:autoSpaceDE/>
              <w:autoSpaceDN/>
              <w:bidi w:val="0"/>
              <w:adjustRightInd/>
              <w:snapToGrid/>
              <w:spacing w:line="220" w:lineRule="exact"/>
              <w:jc w:val="center"/>
              <w:rPr>
                <w:rFonts w:hint="eastAsia" w:ascii="宋体" w:hAnsi="宋体" w:eastAsia="宋体" w:cs="宋体"/>
                <w:i w:val="0"/>
                <w:iCs w:val="0"/>
                <w:color w:val="000000"/>
                <w:sz w:val="20"/>
                <w:szCs w:val="20"/>
                <w:highlight w:val="none"/>
                <w:u w:val="none"/>
              </w:rPr>
            </w:pPr>
          </w:p>
        </w:tc>
        <w:tc>
          <w:tcPr>
            <w:tcW w:w="1231"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固体粪污和液体粪污</w:t>
            </w:r>
          </w:p>
        </w:tc>
        <w:tc>
          <w:tcPr>
            <w:tcW w:w="960"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还田利用</w:t>
            </w:r>
          </w:p>
        </w:tc>
        <w:tc>
          <w:tcPr>
            <w:tcW w:w="1021"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 xml:space="preserve">547.51 </w:t>
            </w:r>
          </w:p>
        </w:tc>
        <w:tc>
          <w:tcPr>
            <w:tcW w:w="965"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 xml:space="preserve">368.33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exact"/>
          <w:jc w:val="center"/>
        </w:trPr>
        <w:tc>
          <w:tcPr>
            <w:tcW w:w="570"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14</w:t>
            </w:r>
          </w:p>
        </w:tc>
        <w:tc>
          <w:tcPr>
            <w:tcW w:w="1694"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荣兴养猪场</w:t>
            </w:r>
          </w:p>
        </w:tc>
        <w:tc>
          <w:tcPr>
            <w:tcW w:w="1060"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1890</w:t>
            </w:r>
          </w:p>
        </w:tc>
        <w:tc>
          <w:tcPr>
            <w:tcW w:w="939" w:type="dxa"/>
            <w:noWrap/>
            <w:vAlign w:val="center"/>
          </w:tcPr>
          <w:p>
            <w:pPr>
              <w:keepNext w:val="0"/>
              <w:keepLines w:val="0"/>
              <w:pageBreakBefore w:val="0"/>
              <w:kinsoku/>
              <w:wordWrap/>
              <w:overflowPunct/>
              <w:topLinePunct w:val="0"/>
              <w:autoSpaceDE/>
              <w:autoSpaceDN/>
              <w:bidi w:val="0"/>
              <w:adjustRightInd/>
              <w:snapToGrid/>
              <w:spacing w:line="220" w:lineRule="exact"/>
              <w:jc w:val="center"/>
              <w:rPr>
                <w:rFonts w:hint="eastAsia" w:ascii="宋体" w:hAnsi="宋体" w:eastAsia="宋体" w:cs="宋体"/>
                <w:i w:val="0"/>
                <w:iCs w:val="0"/>
                <w:color w:val="000000"/>
                <w:sz w:val="20"/>
                <w:szCs w:val="20"/>
                <w:highlight w:val="none"/>
                <w:u w:val="none"/>
              </w:rPr>
            </w:pPr>
          </w:p>
        </w:tc>
        <w:tc>
          <w:tcPr>
            <w:tcW w:w="892"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510</w:t>
            </w:r>
          </w:p>
        </w:tc>
        <w:tc>
          <w:tcPr>
            <w:tcW w:w="1077" w:type="dxa"/>
            <w:noWrap/>
            <w:vAlign w:val="center"/>
          </w:tcPr>
          <w:p>
            <w:pPr>
              <w:keepNext w:val="0"/>
              <w:keepLines w:val="0"/>
              <w:pageBreakBefore w:val="0"/>
              <w:kinsoku/>
              <w:wordWrap/>
              <w:overflowPunct/>
              <w:topLinePunct w:val="0"/>
              <w:autoSpaceDE/>
              <w:autoSpaceDN/>
              <w:bidi w:val="0"/>
              <w:adjustRightInd/>
              <w:snapToGrid/>
              <w:spacing w:line="220" w:lineRule="exact"/>
              <w:jc w:val="center"/>
              <w:rPr>
                <w:rFonts w:hint="eastAsia" w:ascii="宋体" w:hAnsi="宋体" w:eastAsia="宋体" w:cs="宋体"/>
                <w:i w:val="0"/>
                <w:iCs w:val="0"/>
                <w:color w:val="000000"/>
                <w:sz w:val="20"/>
                <w:szCs w:val="20"/>
                <w:highlight w:val="none"/>
                <w:u w:val="none"/>
              </w:rPr>
            </w:pPr>
          </w:p>
        </w:tc>
        <w:tc>
          <w:tcPr>
            <w:tcW w:w="1231"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固体粪污和液体粪污</w:t>
            </w:r>
          </w:p>
        </w:tc>
        <w:tc>
          <w:tcPr>
            <w:tcW w:w="960"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还田利用</w:t>
            </w:r>
          </w:p>
        </w:tc>
        <w:tc>
          <w:tcPr>
            <w:tcW w:w="1021"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 xml:space="preserve">2920.00 </w:t>
            </w:r>
          </w:p>
        </w:tc>
        <w:tc>
          <w:tcPr>
            <w:tcW w:w="965"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 xml:space="preserve">2846.10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exact"/>
          <w:jc w:val="center"/>
        </w:trPr>
        <w:tc>
          <w:tcPr>
            <w:tcW w:w="570"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15</w:t>
            </w:r>
          </w:p>
        </w:tc>
        <w:tc>
          <w:tcPr>
            <w:tcW w:w="1694"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兴旺养猪场</w:t>
            </w:r>
          </w:p>
        </w:tc>
        <w:tc>
          <w:tcPr>
            <w:tcW w:w="1060"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1400</w:t>
            </w:r>
          </w:p>
        </w:tc>
        <w:tc>
          <w:tcPr>
            <w:tcW w:w="939" w:type="dxa"/>
            <w:noWrap/>
            <w:vAlign w:val="center"/>
          </w:tcPr>
          <w:p>
            <w:pPr>
              <w:keepNext w:val="0"/>
              <w:keepLines w:val="0"/>
              <w:pageBreakBefore w:val="0"/>
              <w:kinsoku/>
              <w:wordWrap/>
              <w:overflowPunct/>
              <w:topLinePunct w:val="0"/>
              <w:autoSpaceDE/>
              <w:autoSpaceDN/>
              <w:bidi w:val="0"/>
              <w:adjustRightInd/>
              <w:snapToGrid/>
              <w:spacing w:line="220" w:lineRule="exact"/>
              <w:jc w:val="center"/>
              <w:rPr>
                <w:rFonts w:hint="eastAsia" w:ascii="宋体" w:hAnsi="宋体" w:eastAsia="宋体" w:cs="宋体"/>
                <w:i w:val="0"/>
                <w:iCs w:val="0"/>
                <w:color w:val="000000"/>
                <w:sz w:val="20"/>
                <w:szCs w:val="20"/>
                <w:highlight w:val="none"/>
                <w:u w:val="none"/>
              </w:rPr>
            </w:pPr>
          </w:p>
        </w:tc>
        <w:tc>
          <w:tcPr>
            <w:tcW w:w="892"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360</w:t>
            </w:r>
          </w:p>
        </w:tc>
        <w:tc>
          <w:tcPr>
            <w:tcW w:w="1077" w:type="dxa"/>
            <w:noWrap/>
            <w:vAlign w:val="center"/>
          </w:tcPr>
          <w:p>
            <w:pPr>
              <w:keepNext w:val="0"/>
              <w:keepLines w:val="0"/>
              <w:pageBreakBefore w:val="0"/>
              <w:kinsoku/>
              <w:wordWrap/>
              <w:overflowPunct/>
              <w:topLinePunct w:val="0"/>
              <w:autoSpaceDE/>
              <w:autoSpaceDN/>
              <w:bidi w:val="0"/>
              <w:adjustRightInd/>
              <w:snapToGrid/>
              <w:spacing w:line="220" w:lineRule="exact"/>
              <w:jc w:val="center"/>
              <w:rPr>
                <w:rFonts w:hint="eastAsia" w:ascii="宋体" w:hAnsi="宋体" w:eastAsia="宋体" w:cs="宋体"/>
                <w:i w:val="0"/>
                <w:iCs w:val="0"/>
                <w:color w:val="000000"/>
                <w:sz w:val="20"/>
                <w:szCs w:val="20"/>
                <w:highlight w:val="none"/>
                <w:u w:val="none"/>
              </w:rPr>
            </w:pPr>
          </w:p>
        </w:tc>
        <w:tc>
          <w:tcPr>
            <w:tcW w:w="1231"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固体粪污和液体粪污</w:t>
            </w:r>
          </w:p>
        </w:tc>
        <w:tc>
          <w:tcPr>
            <w:tcW w:w="960"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还田利用</w:t>
            </w:r>
          </w:p>
        </w:tc>
        <w:tc>
          <w:tcPr>
            <w:tcW w:w="1021"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 xml:space="preserve">1277.51 </w:t>
            </w:r>
          </w:p>
        </w:tc>
        <w:tc>
          <w:tcPr>
            <w:tcW w:w="965"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 xml:space="preserve">1147.26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exact"/>
          <w:jc w:val="center"/>
        </w:trPr>
        <w:tc>
          <w:tcPr>
            <w:tcW w:w="570"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16</w:t>
            </w:r>
          </w:p>
        </w:tc>
        <w:tc>
          <w:tcPr>
            <w:tcW w:w="1694"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隆跃养猪场</w:t>
            </w:r>
          </w:p>
        </w:tc>
        <w:tc>
          <w:tcPr>
            <w:tcW w:w="1060"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300</w:t>
            </w:r>
          </w:p>
        </w:tc>
        <w:tc>
          <w:tcPr>
            <w:tcW w:w="939" w:type="dxa"/>
            <w:noWrap/>
            <w:vAlign w:val="center"/>
          </w:tcPr>
          <w:p>
            <w:pPr>
              <w:keepNext w:val="0"/>
              <w:keepLines w:val="0"/>
              <w:pageBreakBefore w:val="0"/>
              <w:kinsoku/>
              <w:wordWrap/>
              <w:overflowPunct/>
              <w:topLinePunct w:val="0"/>
              <w:autoSpaceDE/>
              <w:autoSpaceDN/>
              <w:bidi w:val="0"/>
              <w:adjustRightInd/>
              <w:snapToGrid/>
              <w:spacing w:line="220" w:lineRule="exact"/>
              <w:jc w:val="center"/>
              <w:rPr>
                <w:rFonts w:hint="eastAsia" w:ascii="宋体" w:hAnsi="宋体" w:eastAsia="宋体" w:cs="宋体"/>
                <w:i w:val="0"/>
                <w:iCs w:val="0"/>
                <w:color w:val="000000"/>
                <w:sz w:val="20"/>
                <w:szCs w:val="20"/>
                <w:highlight w:val="none"/>
                <w:u w:val="none"/>
              </w:rPr>
            </w:pPr>
          </w:p>
        </w:tc>
        <w:tc>
          <w:tcPr>
            <w:tcW w:w="892"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250</w:t>
            </w:r>
          </w:p>
        </w:tc>
        <w:tc>
          <w:tcPr>
            <w:tcW w:w="1077" w:type="dxa"/>
            <w:noWrap/>
            <w:vAlign w:val="center"/>
          </w:tcPr>
          <w:p>
            <w:pPr>
              <w:keepNext w:val="0"/>
              <w:keepLines w:val="0"/>
              <w:pageBreakBefore w:val="0"/>
              <w:kinsoku/>
              <w:wordWrap/>
              <w:overflowPunct/>
              <w:topLinePunct w:val="0"/>
              <w:autoSpaceDE/>
              <w:autoSpaceDN/>
              <w:bidi w:val="0"/>
              <w:adjustRightInd/>
              <w:snapToGrid/>
              <w:spacing w:line="220" w:lineRule="exact"/>
              <w:jc w:val="center"/>
              <w:rPr>
                <w:rFonts w:hint="eastAsia" w:ascii="宋体" w:hAnsi="宋体" w:eastAsia="宋体" w:cs="宋体"/>
                <w:i w:val="0"/>
                <w:iCs w:val="0"/>
                <w:color w:val="000000"/>
                <w:sz w:val="20"/>
                <w:szCs w:val="20"/>
                <w:highlight w:val="none"/>
                <w:u w:val="none"/>
              </w:rPr>
            </w:pPr>
          </w:p>
        </w:tc>
        <w:tc>
          <w:tcPr>
            <w:tcW w:w="1231"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固体粪污和液体粪污</w:t>
            </w:r>
          </w:p>
        </w:tc>
        <w:tc>
          <w:tcPr>
            <w:tcW w:w="960"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还田利用</w:t>
            </w:r>
          </w:p>
        </w:tc>
        <w:tc>
          <w:tcPr>
            <w:tcW w:w="1021"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 xml:space="preserve">748.25 </w:t>
            </w:r>
          </w:p>
        </w:tc>
        <w:tc>
          <w:tcPr>
            <w:tcW w:w="965"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 xml:space="preserve">697.00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exact"/>
          <w:jc w:val="center"/>
        </w:trPr>
        <w:tc>
          <w:tcPr>
            <w:tcW w:w="570"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17</w:t>
            </w:r>
          </w:p>
        </w:tc>
        <w:tc>
          <w:tcPr>
            <w:tcW w:w="1694"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圣态种猪场</w:t>
            </w:r>
          </w:p>
        </w:tc>
        <w:tc>
          <w:tcPr>
            <w:tcW w:w="1060"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2080</w:t>
            </w:r>
          </w:p>
        </w:tc>
        <w:tc>
          <w:tcPr>
            <w:tcW w:w="939" w:type="dxa"/>
            <w:noWrap/>
            <w:vAlign w:val="center"/>
          </w:tcPr>
          <w:p>
            <w:pPr>
              <w:keepNext w:val="0"/>
              <w:keepLines w:val="0"/>
              <w:pageBreakBefore w:val="0"/>
              <w:kinsoku/>
              <w:wordWrap/>
              <w:overflowPunct/>
              <w:topLinePunct w:val="0"/>
              <w:autoSpaceDE/>
              <w:autoSpaceDN/>
              <w:bidi w:val="0"/>
              <w:adjustRightInd/>
              <w:snapToGrid/>
              <w:spacing w:line="220" w:lineRule="exact"/>
              <w:jc w:val="center"/>
              <w:rPr>
                <w:rFonts w:hint="eastAsia" w:ascii="宋体" w:hAnsi="宋体" w:eastAsia="宋体" w:cs="宋体"/>
                <w:i w:val="0"/>
                <w:iCs w:val="0"/>
                <w:color w:val="000000"/>
                <w:sz w:val="20"/>
                <w:szCs w:val="20"/>
                <w:highlight w:val="none"/>
                <w:u w:val="none"/>
              </w:rPr>
            </w:pPr>
          </w:p>
        </w:tc>
        <w:tc>
          <w:tcPr>
            <w:tcW w:w="892"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520</w:t>
            </w:r>
          </w:p>
        </w:tc>
        <w:tc>
          <w:tcPr>
            <w:tcW w:w="1077" w:type="dxa"/>
            <w:noWrap/>
            <w:vAlign w:val="center"/>
          </w:tcPr>
          <w:p>
            <w:pPr>
              <w:keepNext w:val="0"/>
              <w:keepLines w:val="0"/>
              <w:pageBreakBefore w:val="0"/>
              <w:kinsoku/>
              <w:wordWrap/>
              <w:overflowPunct/>
              <w:topLinePunct w:val="0"/>
              <w:autoSpaceDE/>
              <w:autoSpaceDN/>
              <w:bidi w:val="0"/>
              <w:adjustRightInd/>
              <w:snapToGrid/>
              <w:spacing w:line="220" w:lineRule="exact"/>
              <w:jc w:val="center"/>
              <w:rPr>
                <w:rFonts w:hint="eastAsia" w:ascii="宋体" w:hAnsi="宋体" w:eastAsia="宋体" w:cs="宋体"/>
                <w:i w:val="0"/>
                <w:iCs w:val="0"/>
                <w:color w:val="000000"/>
                <w:sz w:val="20"/>
                <w:szCs w:val="20"/>
                <w:highlight w:val="none"/>
                <w:u w:val="none"/>
              </w:rPr>
            </w:pPr>
          </w:p>
        </w:tc>
        <w:tc>
          <w:tcPr>
            <w:tcW w:w="1231"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固体粪污和液体粪污</w:t>
            </w:r>
          </w:p>
        </w:tc>
        <w:tc>
          <w:tcPr>
            <w:tcW w:w="960"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还田利用</w:t>
            </w:r>
          </w:p>
        </w:tc>
        <w:tc>
          <w:tcPr>
            <w:tcW w:w="1021"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 xml:space="preserve">1095.00 </w:t>
            </w:r>
          </w:p>
        </w:tc>
        <w:tc>
          <w:tcPr>
            <w:tcW w:w="965"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 xml:space="preserve">615.60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exact"/>
          <w:jc w:val="center"/>
        </w:trPr>
        <w:tc>
          <w:tcPr>
            <w:tcW w:w="570"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18</w:t>
            </w:r>
          </w:p>
        </w:tc>
        <w:tc>
          <w:tcPr>
            <w:tcW w:w="1694"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嘉汇种猪场</w:t>
            </w:r>
          </w:p>
        </w:tc>
        <w:tc>
          <w:tcPr>
            <w:tcW w:w="1060"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280</w:t>
            </w:r>
          </w:p>
        </w:tc>
        <w:tc>
          <w:tcPr>
            <w:tcW w:w="939" w:type="dxa"/>
            <w:noWrap/>
            <w:vAlign w:val="center"/>
          </w:tcPr>
          <w:p>
            <w:pPr>
              <w:keepNext w:val="0"/>
              <w:keepLines w:val="0"/>
              <w:pageBreakBefore w:val="0"/>
              <w:kinsoku/>
              <w:wordWrap/>
              <w:overflowPunct/>
              <w:topLinePunct w:val="0"/>
              <w:autoSpaceDE/>
              <w:autoSpaceDN/>
              <w:bidi w:val="0"/>
              <w:adjustRightInd/>
              <w:snapToGrid/>
              <w:spacing w:line="220" w:lineRule="exact"/>
              <w:jc w:val="center"/>
              <w:rPr>
                <w:rFonts w:hint="eastAsia" w:ascii="宋体" w:hAnsi="宋体" w:eastAsia="宋体" w:cs="宋体"/>
                <w:i w:val="0"/>
                <w:iCs w:val="0"/>
                <w:color w:val="000000"/>
                <w:sz w:val="20"/>
                <w:szCs w:val="20"/>
                <w:highlight w:val="none"/>
                <w:u w:val="none"/>
              </w:rPr>
            </w:pPr>
          </w:p>
        </w:tc>
        <w:tc>
          <w:tcPr>
            <w:tcW w:w="892"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112</w:t>
            </w:r>
          </w:p>
        </w:tc>
        <w:tc>
          <w:tcPr>
            <w:tcW w:w="1077" w:type="dxa"/>
            <w:noWrap/>
            <w:vAlign w:val="center"/>
          </w:tcPr>
          <w:p>
            <w:pPr>
              <w:keepNext w:val="0"/>
              <w:keepLines w:val="0"/>
              <w:pageBreakBefore w:val="0"/>
              <w:kinsoku/>
              <w:wordWrap/>
              <w:overflowPunct/>
              <w:topLinePunct w:val="0"/>
              <w:autoSpaceDE/>
              <w:autoSpaceDN/>
              <w:bidi w:val="0"/>
              <w:adjustRightInd/>
              <w:snapToGrid/>
              <w:spacing w:line="220" w:lineRule="exact"/>
              <w:jc w:val="center"/>
              <w:rPr>
                <w:rFonts w:hint="eastAsia" w:ascii="宋体" w:hAnsi="宋体" w:eastAsia="宋体" w:cs="宋体"/>
                <w:i w:val="0"/>
                <w:iCs w:val="0"/>
                <w:color w:val="000000"/>
                <w:sz w:val="20"/>
                <w:szCs w:val="20"/>
                <w:highlight w:val="none"/>
                <w:u w:val="none"/>
              </w:rPr>
            </w:pPr>
          </w:p>
        </w:tc>
        <w:tc>
          <w:tcPr>
            <w:tcW w:w="1231"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固体粪污和液体粪污</w:t>
            </w:r>
          </w:p>
        </w:tc>
        <w:tc>
          <w:tcPr>
            <w:tcW w:w="960"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还田利用</w:t>
            </w:r>
          </w:p>
        </w:tc>
        <w:tc>
          <w:tcPr>
            <w:tcW w:w="1021"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 xml:space="preserve">1635.20 </w:t>
            </w:r>
          </w:p>
        </w:tc>
        <w:tc>
          <w:tcPr>
            <w:tcW w:w="965"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 xml:space="preserve">770.04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5" w:hRule="exact"/>
          <w:jc w:val="center"/>
        </w:trPr>
        <w:tc>
          <w:tcPr>
            <w:tcW w:w="570"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19</w:t>
            </w:r>
          </w:p>
        </w:tc>
        <w:tc>
          <w:tcPr>
            <w:tcW w:w="1694"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本溪满族自治县小小绒山羊养殖场</w:t>
            </w:r>
          </w:p>
        </w:tc>
        <w:tc>
          <w:tcPr>
            <w:tcW w:w="1060"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10</w:t>
            </w:r>
          </w:p>
        </w:tc>
        <w:tc>
          <w:tcPr>
            <w:tcW w:w="939" w:type="dxa"/>
            <w:noWrap/>
            <w:vAlign w:val="center"/>
          </w:tcPr>
          <w:p>
            <w:pPr>
              <w:keepNext w:val="0"/>
              <w:keepLines w:val="0"/>
              <w:pageBreakBefore w:val="0"/>
              <w:kinsoku/>
              <w:wordWrap/>
              <w:overflowPunct/>
              <w:topLinePunct w:val="0"/>
              <w:autoSpaceDE/>
              <w:autoSpaceDN/>
              <w:bidi w:val="0"/>
              <w:adjustRightInd/>
              <w:snapToGrid/>
              <w:spacing w:line="220" w:lineRule="exact"/>
              <w:jc w:val="center"/>
              <w:rPr>
                <w:rFonts w:hint="eastAsia" w:ascii="宋体" w:hAnsi="宋体" w:eastAsia="宋体" w:cs="宋体"/>
                <w:i w:val="0"/>
                <w:iCs w:val="0"/>
                <w:color w:val="000000"/>
                <w:sz w:val="20"/>
                <w:szCs w:val="20"/>
                <w:highlight w:val="none"/>
                <w:u w:val="none"/>
              </w:rPr>
            </w:pPr>
          </w:p>
        </w:tc>
        <w:tc>
          <w:tcPr>
            <w:tcW w:w="892"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980</w:t>
            </w:r>
          </w:p>
        </w:tc>
        <w:tc>
          <w:tcPr>
            <w:tcW w:w="1077" w:type="dxa"/>
            <w:noWrap/>
            <w:vAlign w:val="center"/>
          </w:tcPr>
          <w:p>
            <w:pPr>
              <w:keepNext w:val="0"/>
              <w:keepLines w:val="0"/>
              <w:pageBreakBefore w:val="0"/>
              <w:kinsoku/>
              <w:wordWrap/>
              <w:overflowPunct/>
              <w:topLinePunct w:val="0"/>
              <w:autoSpaceDE/>
              <w:autoSpaceDN/>
              <w:bidi w:val="0"/>
              <w:adjustRightInd/>
              <w:snapToGrid/>
              <w:spacing w:line="220" w:lineRule="exact"/>
              <w:jc w:val="center"/>
              <w:rPr>
                <w:rFonts w:hint="eastAsia" w:ascii="宋体" w:hAnsi="宋体" w:eastAsia="宋体" w:cs="宋体"/>
                <w:i w:val="0"/>
                <w:iCs w:val="0"/>
                <w:color w:val="000000"/>
                <w:sz w:val="20"/>
                <w:szCs w:val="20"/>
                <w:highlight w:val="none"/>
                <w:u w:val="none"/>
              </w:rPr>
            </w:pPr>
          </w:p>
        </w:tc>
        <w:tc>
          <w:tcPr>
            <w:tcW w:w="1231"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固体粪污和液体粪污</w:t>
            </w:r>
          </w:p>
        </w:tc>
        <w:tc>
          <w:tcPr>
            <w:tcW w:w="960"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还田利用</w:t>
            </w:r>
          </w:p>
        </w:tc>
        <w:tc>
          <w:tcPr>
            <w:tcW w:w="1021"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 xml:space="preserve">569.40 </w:t>
            </w:r>
          </w:p>
        </w:tc>
        <w:tc>
          <w:tcPr>
            <w:tcW w:w="965"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 xml:space="preserve">567.97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exact"/>
          <w:jc w:val="center"/>
        </w:trPr>
        <w:tc>
          <w:tcPr>
            <w:tcW w:w="570"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20</w:t>
            </w:r>
          </w:p>
        </w:tc>
        <w:tc>
          <w:tcPr>
            <w:tcW w:w="1694"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彩霞蛋鸡场</w:t>
            </w:r>
          </w:p>
        </w:tc>
        <w:tc>
          <w:tcPr>
            <w:tcW w:w="1060" w:type="dxa"/>
            <w:noWrap/>
            <w:vAlign w:val="center"/>
          </w:tcPr>
          <w:p>
            <w:pPr>
              <w:keepNext w:val="0"/>
              <w:keepLines w:val="0"/>
              <w:pageBreakBefore w:val="0"/>
              <w:kinsoku/>
              <w:wordWrap/>
              <w:overflowPunct/>
              <w:topLinePunct w:val="0"/>
              <w:autoSpaceDE/>
              <w:autoSpaceDN/>
              <w:bidi w:val="0"/>
              <w:adjustRightInd/>
              <w:snapToGrid/>
              <w:spacing w:line="220" w:lineRule="exact"/>
              <w:jc w:val="center"/>
              <w:rPr>
                <w:rFonts w:hint="eastAsia" w:ascii="宋体" w:hAnsi="宋体" w:eastAsia="宋体" w:cs="宋体"/>
                <w:i w:val="0"/>
                <w:iCs w:val="0"/>
                <w:color w:val="000000"/>
                <w:sz w:val="20"/>
                <w:szCs w:val="20"/>
                <w:highlight w:val="none"/>
                <w:u w:val="none"/>
              </w:rPr>
            </w:pPr>
          </w:p>
        </w:tc>
        <w:tc>
          <w:tcPr>
            <w:tcW w:w="939" w:type="dxa"/>
            <w:noWrap/>
            <w:vAlign w:val="center"/>
          </w:tcPr>
          <w:p>
            <w:pPr>
              <w:keepNext w:val="0"/>
              <w:keepLines w:val="0"/>
              <w:pageBreakBefore w:val="0"/>
              <w:kinsoku/>
              <w:wordWrap/>
              <w:overflowPunct/>
              <w:topLinePunct w:val="0"/>
              <w:autoSpaceDE/>
              <w:autoSpaceDN/>
              <w:bidi w:val="0"/>
              <w:adjustRightInd/>
              <w:snapToGrid/>
              <w:spacing w:line="220" w:lineRule="exact"/>
              <w:jc w:val="center"/>
              <w:rPr>
                <w:rFonts w:hint="eastAsia" w:ascii="宋体" w:hAnsi="宋体" w:eastAsia="宋体" w:cs="宋体"/>
                <w:i w:val="0"/>
                <w:iCs w:val="0"/>
                <w:color w:val="000000"/>
                <w:sz w:val="20"/>
                <w:szCs w:val="20"/>
                <w:highlight w:val="none"/>
                <w:u w:val="none"/>
              </w:rPr>
            </w:pPr>
          </w:p>
        </w:tc>
        <w:tc>
          <w:tcPr>
            <w:tcW w:w="892"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300</w:t>
            </w:r>
          </w:p>
        </w:tc>
        <w:tc>
          <w:tcPr>
            <w:tcW w:w="1077" w:type="dxa"/>
            <w:noWrap/>
            <w:vAlign w:val="center"/>
          </w:tcPr>
          <w:p>
            <w:pPr>
              <w:keepNext w:val="0"/>
              <w:keepLines w:val="0"/>
              <w:pageBreakBefore w:val="0"/>
              <w:kinsoku/>
              <w:wordWrap/>
              <w:overflowPunct/>
              <w:topLinePunct w:val="0"/>
              <w:autoSpaceDE/>
              <w:autoSpaceDN/>
              <w:bidi w:val="0"/>
              <w:adjustRightInd/>
              <w:snapToGrid/>
              <w:spacing w:line="220" w:lineRule="exact"/>
              <w:jc w:val="center"/>
              <w:rPr>
                <w:rFonts w:hint="eastAsia" w:ascii="宋体" w:hAnsi="宋体" w:eastAsia="宋体" w:cs="宋体"/>
                <w:i w:val="0"/>
                <w:iCs w:val="0"/>
                <w:color w:val="000000"/>
                <w:sz w:val="20"/>
                <w:szCs w:val="20"/>
                <w:highlight w:val="none"/>
                <w:u w:val="none"/>
              </w:rPr>
            </w:pPr>
          </w:p>
        </w:tc>
        <w:tc>
          <w:tcPr>
            <w:tcW w:w="1231"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固体粪污</w:t>
            </w:r>
          </w:p>
        </w:tc>
        <w:tc>
          <w:tcPr>
            <w:tcW w:w="960"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还田利用</w:t>
            </w:r>
          </w:p>
        </w:tc>
        <w:tc>
          <w:tcPr>
            <w:tcW w:w="1021"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 xml:space="preserve">1284.80 </w:t>
            </w:r>
          </w:p>
        </w:tc>
        <w:tc>
          <w:tcPr>
            <w:tcW w:w="965"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 xml:space="preserve">608.79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exact"/>
          <w:jc w:val="center"/>
        </w:trPr>
        <w:tc>
          <w:tcPr>
            <w:tcW w:w="570"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21</w:t>
            </w:r>
          </w:p>
        </w:tc>
        <w:tc>
          <w:tcPr>
            <w:tcW w:w="1694"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育才种猪场</w:t>
            </w:r>
          </w:p>
        </w:tc>
        <w:tc>
          <w:tcPr>
            <w:tcW w:w="1060"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1800</w:t>
            </w:r>
          </w:p>
        </w:tc>
        <w:tc>
          <w:tcPr>
            <w:tcW w:w="939" w:type="dxa"/>
            <w:noWrap/>
            <w:vAlign w:val="center"/>
          </w:tcPr>
          <w:p>
            <w:pPr>
              <w:keepNext w:val="0"/>
              <w:keepLines w:val="0"/>
              <w:pageBreakBefore w:val="0"/>
              <w:kinsoku/>
              <w:wordWrap/>
              <w:overflowPunct/>
              <w:topLinePunct w:val="0"/>
              <w:autoSpaceDE/>
              <w:autoSpaceDN/>
              <w:bidi w:val="0"/>
              <w:adjustRightInd/>
              <w:snapToGrid/>
              <w:spacing w:line="220" w:lineRule="exact"/>
              <w:jc w:val="center"/>
              <w:rPr>
                <w:rFonts w:hint="eastAsia" w:ascii="宋体" w:hAnsi="宋体" w:eastAsia="宋体" w:cs="宋体"/>
                <w:i w:val="0"/>
                <w:iCs w:val="0"/>
                <w:color w:val="000000"/>
                <w:sz w:val="20"/>
                <w:szCs w:val="20"/>
                <w:highlight w:val="none"/>
                <w:u w:val="none"/>
              </w:rPr>
            </w:pPr>
          </w:p>
        </w:tc>
        <w:tc>
          <w:tcPr>
            <w:tcW w:w="892"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210</w:t>
            </w:r>
          </w:p>
        </w:tc>
        <w:tc>
          <w:tcPr>
            <w:tcW w:w="1077" w:type="dxa"/>
            <w:noWrap/>
            <w:vAlign w:val="center"/>
          </w:tcPr>
          <w:p>
            <w:pPr>
              <w:keepNext w:val="0"/>
              <w:keepLines w:val="0"/>
              <w:pageBreakBefore w:val="0"/>
              <w:kinsoku/>
              <w:wordWrap/>
              <w:overflowPunct/>
              <w:topLinePunct w:val="0"/>
              <w:autoSpaceDE/>
              <w:autoSpaceDN/>
              <w:bidi w:val="0"/>
              <w:adjustRightInd/>
              <w:snapToGrid/>
              <w:spacing w:line="220" w:lineRule="exact"/>
              <w:jc w:val="center"/>
              <w:rPr>
                <w:rFonts w:hint="eastAsia" w:ascii="宋体" w:hAnsi="宋体" w:eastAsia="宋体" w:cs="宋体"/>
                <w:i w:val="0"/>
                <w:iCs w:val="0"/>
                <w:color w:val="000000"/>
                <w:sz w:val="20"/>
                <w:szCs w:val="20"/>
                <w:highlight w:val="none"/>
                <w:u w:val="none"/>
              </w:rPr>
            </w:pPr>
          </w:p>
        </w:tc>
        <w:tc>
          <w:tcPr>
            <w:tcW w:w="1231"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固体粪污和液体粪污</w:t>
            </w:r>
          </w:p>
        </w:tc>
        <w:tc>
          <w:tcPr>
            <w:tcW w:w="960"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还田利用</w:t>
            </w:r>
          </w:p>
        </w:tc>
        <w:tc>
          <w:tcPr>
            <w:tcW w:w="1021"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 xml:space="preserve">2200.95 </w:t>
            </w:r>
          </w:p>
        </w:tc>
        <w:tc>
          <w:tcPr>
            <w:tcW w:w="965"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 xml:space="preserve">2170.55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exact"/>
          <w:jc w:val="center"/>
        </w:trPr>
        <w:tc>
          <w:tcPr>
            <w:tcW w:w="570"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22</w:t>
            </w:r>
          </w:p>
        </w:tc>
        <w:tc>
          <w:tcPr>
            <w:tcW w:w="1694"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鑫盈养猪场</w:t>
            </w:r>
          </w:p>
        </w:tc>
        <w:tc>
          <w:tcPr>
            <w:tcW w:w="1060"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90</w:t>
            </w:r>
          </w:p>
        </w:tc>
        <w:tc>
          <w:tcPr>
            <w:tcW w:w="939" w:type="dxa"/>
            <w:noWrap/>
            <w:vAlign w:val="center"/>
          </w:tcPr>
          <w:p>
            <w:pPr>
              <w:keepNext w:val="0"/>
              <w:keepLines w:val="0"/>
              <w:pageBreakBefore w:val="0"/>
              <w:kinsoku/>
              <w:wordWrap/>
              <w:overflowPunct/>
              <w:topLinePunct w:val="0"/>
              <w:autoSpaceDE/>
              <w:autoSpaceDN/>
              <w:bidi w:val="0"/>
              <w:adjustRightInd/>
              <w:snapToGrid/>
              <w:spacing w:line="220" w:lineRule="exact"/>
              <w:jc w:val="center"/>
              <w:rPr>
                <w:rFonts w:hint="eastAsia" w:ascii="宋体" w:hAnsi="宋体" w:eastAsia="宋体" w:cs="宋体"/>
                <w:i w:val="0"/>
                <w:iCs w:val="0"/>
                <w:color w:val="000000"/>
                <w:sz w:val="20"/>
                <w:szCs w:val="20"/>
                <w:highlight w:val="none"/>
                <w:u w:val="none"/>
              </w:rPr>
            </w:pPr>
          </w:p>
        </w:tc>
        <w:tc>
          <w:tcPr>
            <w:tcW w:w="892"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150</w:t>
            </w:r>
          </w:p>
        </w:tc>
        <w:tc>
          <w:tcPr>
            <w:tcW w:w="1077" w:type="dxa"/>
            <w:noWrap/>
            <w:vAlign w:val="center"/>
          </w:tcPr>
          <w:p>
            <w:pPr>
              <w:keepNext w:val="0"/>
              <w:keepLines w:val="0"/>
              <w:pageBreakBefore w:val="0"/>
              <w:kinsoku/>
              <w:wordWrap/>
              <w:overflowPunct/>
              <w:topLinePunct w:val="0"/>
              <w:autoSpaceDE/>
              <w:autoSpaceDN/>
              <w:bidi w:val="0"/>
              <w:adjustRightInd/>
              <w:snapToGrid/>
              <w:spacing w:line="220" w:lineRule="exact"/>
              <w:jc w:val="center"/>
              <w:rPr>
                <w:rFonts w:hint="eastAsia" w:ascii="宋体" w:hAnsi="宋体" w:eastAsia="宋体" w:cs="宋体"/>
                <w:i w:val="0"/>
                <w:iCs w:val="0"/>
                <w:color w:val="000000"/>
                <w:sz w:val="20"/>
                <w:szCs w:val="20"/>
                <w:highlight w:val="none"/>
                <w:u w:val="none"/>
              </w:rPr>
            </w:pPr>
          </w:p>
        </w:tc>
        <w:tc>
          <w:tcPr>
            <w:tcW w:w="1231"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固体粪污和液体粪污</w:t>
            </w:r>
          </w:p>
        </w:tc>
        <w:tc>
          <w:tcPr>
            <w:tcW w:w="960"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还田利用</w:t>
            </w:r>
          </w:p>
        </w:tc>
        <w:tc>
          <w:tcPr>
            <w:tcW w:w="1021"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 xml:space="preserve">0.00 </w:t>
            </w:r>
          </w:p>
        </w:tc>
        <w:tc>
          <w:tcPr>
            <w:tcW w:w="965"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 xml:space="preserve">0.00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exact"/>
          <w:jc w:val="center"/>
        </w:trPr>
        <w:tc>
          <w:tcPr>
            <w:tcW w:w="570"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23</w:t>
            </w:r>
          </w:p>
        </w:tc>
        <w:tc>
          <w:tcPr>
            <w:tcW w:w="1694"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高官镇成旺蛋鸡养殖场</w:t>
            </w:r>
          </w:p>
        </w:tc>
        <w:tc>
          <w:tcPr>
            <w:tcW w:w="1060" w:type="dxa"/>
            <w:noWrap/>
            <w:vAlign w:val="center"/>
          </w:tcPr>
          <w:p>
            <w:pPr>
              <w:keepNext w:val="0"/>
              <w:keepLines w:val="0"/>
              <w:pageBreakBefore w:val="0"/>
              <w:kinsoku/>
              <w:wordWrap/>
              <w:overflowPunct/>
              <w:topLinePunct w:val="0"/>
              <w:autoSpaceDE/>
              <w:autoSpaceDN/>
              <w:bidi w:val="0"/>
              <w:adjustRightInd/>
              <w:snapToGrid/>
              <w:spacing w:line="220" w:lineRule="exact"/>
              <w:jc w:val="center"/>
              <w:rPr>
                <w:rFonts w:hint="eastAsia" w:ascii="宋体" w:hAnsi="宋体" w:eastAsia="宋体" w:cs="宋体"/>
                <w:i w:val="0"/>
                <w:iCs w:val="0"/>
                <w:color w:val="000000"/>
                <w:sz w:val="20"/>
                <w:szCs w:val="20"/>
                <w:highlight w:val="none"/>
                <w:u w:val="none"/>
              </w:rPr>
            </w:pPr>
          </w:p>
        </w:tc>
        <w:tc>
          <w:tcPr>
            <w:tcW w:w="939" w:type="dxa"/>
            <w:noWrap/>
            <w:vAlign w:val="center"/>
          </w:tcPr>
          <w:p>
            <w:pPr>
              <w:keepNext w:val="0"/>
              <w:keepLines w:val="0"/>
              <w:pageBreakBefore w:val="0"/>
              <w:kinsoku/>
              <w:wordWrap/>
              <w:overflowPunct/>
              <w:topLinePunct w:val="0"/>
              <w:autoSpaceDE/>
              <w:autoSpaceDN/>
              <w:bidi w:val="0"/>
              <w:adjustRightInd/>
              <w:snapToGrid/>
              <w:spacing w:line="220" w:lineRule="exact"/>
              <w:jc w:val="center"/>
              <w:rPr>
                <w:rFonts w:hint="eastAsia" w:ascii="宋体" w:hAnsi="宋体" w:eastAsia="宋体" w:cs="宋体"/>
                <w:i w:val="0"/>
                <w:iCs w:val="0"/>
                <w:color w:val="000000"/>
                <w:sz w:val="20"/>
                <w:szCs w:val="20"/>
                <w:highlight w:val="none"/>
                <w:u w:val="none"/>
              </w:rPr>
            </w:pPr>
          </w:p>
        </w:tc>
        <w:tc>
          <w:tcPr>
            <w:tcW w:w="892"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160</w:t>
            </w:r>
          </w:p>
        </w:tc>
        <w:tc>
          <w:tcPr>
            <w:tcW w:w="1077" w:type="dxa"/>
            <w:noWrap/>
            <w:vAlign w:val="center"/>
          </w:tcPr>
          <w:p>
            <w:pPr>
              <w:keepNext w:val="0"/>
              <w:keepLines w:val="0"/>
              <w:pageBreakBefore w:val="0"/>
              <w:kinsoku/>
              <w:wordWrap/>
              <w:overflowPunct/>
              <w:topLinePunct w:val="0"/>
              <w:autoSpaceDE/>
              <w:autoSpaceDN/>
              <w:bidi w:val="0"/>
              <w:adjustRightInd/>
              <w:snapToGrid/>
              <w:spacing w:line="220" w:lineRule="exact"/>
              <w:jc w:val="center"/>
              <w:rPr>
                <w:rFonts w:hint="eastAsia" w:ascii="宋体" w:hAnsi="宋体" w:eastAsia="宋体" w:cs="宋体"/>
                <w:i w:val="0"/>
                <w:iCs w:val="0"/>
                <w:color w:val="000000"/>
                <w:sz w:val="20"/>
                <w:szCs w:val="20"/>
                <w:highlight w:val="none"/>
                <w:u w:val="none"/>
              </w:rPr>
            </w:pPr>
          </w:p>
        </w:tc>
        <w:tc>
          <w:tcPr>
            <w:tcW w:w="1231"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固体粪污</w:t>
            </w:r>
          </w:p>
        </w:tc>
        <w:tc>
          <w:tcPr>
            <w:tcW w:w="960"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还田利用</w:t>
            </w:r>
          </w:p>
        </w:tc>
        <w:tc>
          <w:tcPr>
            <w:tcW w:w="1021"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 xml:space="preserve">584.00 </w:t>
            </w:r>
          </w:p>
        </w:tc>
        <w:tc>
          <w:tcPr>
            <w:tcW w:w="965"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 xml:space="preserve">501.23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exact"/>
          <w:jc w:val="center"/>
        </w:trPr>
        <w:tc>
          <w:tcPr>
            <w:tcW w:w="570"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24</w:t>
            </w:r>
          </w:p>
        </w:tc>
        <w:tc>
          <w:tcPr>
            <w:tcW w:w="1694"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永旺种羊场</w:t>
            </w:r>
          </w:p>
        </w:tc>
        <w:tc>
          <w:tcPr>
            <w:tcW w:w="1060"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50</w:t>
            </w:r>
          </w:p>
        </w:tc>
        <w:tc>
          <w:tcPr>
            <w:tcW w:w="939" w:type="dxa"/>
            <w:noWrap/>
            <w:vAlign w:val="center"/>
          </w:tcPr>
          <w:p>
            <w:pPr>
              <w:keepNext w:val="0"/>
              <w:keepLines w:val="0"/>
              <w:pageBreakBefore w:val="0"/>
              <w:kinsoku/>
              <w:wordWrap/>
              <w:overflowPunct/>
              <w:topLinePunct w:val="0"/>
              <w:autoSpaceDE/>
              <w:autoSpaceDN/>
              <w:bidi w:val="0"/>
              <w:adjustRightInd/>
              <w:snapToGrid/>
              <w:spacing w:line="220" w:lineRule="exact"/>
              <w:jc w:val="center"/>
              <w:rPr>
                <w:rFonts w:hint="eastAsia" w:ascii="宋体" w:hAnsi="宋体" w:eastAsia="宋体" w:cs="宋体"/>
                <w:i w:val="0"/>
                <w:iCs w:val="0"/>
                <w:color w:val="000000"/>
                <w:sz w:val="20"/>
                <w:szCs w:val="20"/>
                <w:highlight w:val="none"/>
                <w:u w:val="none"/>
              </w:rPr>
            </w:pPr>
          </w:p>
        </w:tc>
        <w:tc>
          <w:tcPr>
            <w:tcW w:w="892"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200</w:t>
            </w:r>
          </w:p>
        </w:tc>
        <w:tc>
          <w:tcPr>
            <w:tcW w:w="1077" w:type="dxa"/>
            <w:noWrap/>
            <w:vAlign w:val="center"/>
          </w:tcPr>
          <w:p>
            <w:pPr>
              <w:keepNext w:val="0"/>
              <w:keepLines w:val="0"/>
              <w:pageBreakBefore w:val="0"/>
              <w:kinsoku/>
              <w:wordWrap/>
              <w:overflowPunct/>
              <w:topLinePunct w:val="0"/>
              <w:autoSpaceDE/>
              <w:autoSpaceDN/>
              <w:bidi w:val="0"/>
              <w:adjustRightInd/>
              <w:snapToGrid/>
              <w:spacing w:line="220" w:lineRule="exact"/>
              <w:jc w:val="center"/>
              <w:rPr>
                <w:rFonts w:hint="eastAsia" w:ascii="宋体" w:hAnsi="宋体" w:eastAsia="宋体" w:cs="宋体"/>
                <w:i w:val="0"/>
                <w:iCs w:val="0"/>
                <w:color w:val="000000"/>
                <w:sz w:val="20"/>
                <w:szCs w:val="20"/>
                <w:highlight w:val="none"/>
                <w:u w:val="none"/>
              </w:rPr>
            </w:pPr>
          </w:p>
        </w:tc>
        <w:tc>
          <w:tcPr>
            <w:tcW w:w="1231"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固体粪污和液体粪污</w:t>
            </w:r>
          </w:p>
        </w:tc>
        <w:tc>
          <w:tcPr>
            <w:tcW w:w="960"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还田利用</w:t>
            </w:r>
          </w:p>
        </w:tc>
        <w:tc>
          <w:tcPr>
            <w:tcW w:w="1021"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 xml:space="preserve">379.60 </w:t>
            </w:r>
          </w:p>
        </w:tc>
        <w:tc>
          <w:tcPr>
            <w:tcW w:w="965"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 xml:space="preserve">224.46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exact"/>
          <w:jc w:val="center"/>
        </w:trPr>
        <w:tc>
          <w:tcPr>
            <w:tcW w:w="570"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25</w:t>
            </w:r>
          </w:p>
        </w:tc>
        <w:tc>
          <w:tcPr>
            <w:tcW w:w="1694"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和缘养鸡场</w:t>
            </w:r>
          </w:p>
        </w:tc>
        <w:tc>
          <w:tcPr>
            <w:tcW w:w="1060" w:type="dxa"/>
            <w:noWrap/>
            <w:vAlign w:val="center"/>
          </w:tcPr>
          <w:p>
            <w:pPr>
              <w:keepNext w:val="0"/>
              <w:keepLines w:val="0"/>
              <w:pageBreakBefore w:val="0"/>
              <w:kinsoku/>
              <w:wordWrap/>
              <w:overflowPunct/>
              <w:topLinePunct w:val="0"/>
              <w:autoSpaceDE/>
              <w:autoSpaceDN/>
              <w:bidi w:val="0"/>
              <w:adjustRightInd/>
              <w:snapToGrid/>
              <w:spacing w:line="220" w:lineRule="exact"/>
              <w:jc w:val="center"/>
              <w:rPr>
                <w:rFonts w:hint="eastAsia" w:ascii="宋体" w:hAnsi="宋体" w:eastAsia="宋体" w:cs="宋体"/>
                <w:i w:val="0"/>
                <w:iCs w:val="0"/>
                <w:color w:val="000000"/>
                <w:sz w:val="20"/>
                <w:szCs w:val="20"/>
                <w:highlight w:val="none"/>
                <w:u w:val="none"/>
              </w:rPr>
            </w:pPr>
          </w:p>
        </w:tc>
        <w:tc>
          <w:tcPr>
            <w:tcW w:w="939" w:type="dxa"/>
            <w:noWrap/>
            <w:vAlign w:val="center"/>
          </w:tcPr>
          <w:p>
            <w:pPr>
              <w:keepNext w:val="0"/>
              <w:keepLines w:val="0"/>
              <w:pageBreakBefore w:val="0"/>
              <w:kinsoku/>
              <w:wordWrap/>
              <w:overflowPunct/>
              <w:topLinePunct w:val="0"/>
              <w:autoSpaceDE/>
              <w:autoSpaceDN/>
              <w:bidi w:val="0"/>
              <w:adjustRightInd/>
              <w:snapToGrid/>
              <w:spacing w:line="220" w:lineRule="exact"/>
              <w:jc w:val="center"/>
              <w:rPr>
                <w:rFonts w:hint="eastAsia" w:ascii="宋体" w:hAnsi="宋体" w:eastAsia="宋体" w:cs="宋体"/>
                <w:i w:val="0"/>
                <w:iCs w:val="0"/>
                <w:color w:val="000000"/>
                <w:sz w:val="20"/>
                <w:szCs w:val="20"/>
                <w:highlight w:val="none"/>
                <w:u w:val="none"/>
              </w:rPr>
            </w:pPr>
          </w:p>
        </w:tc>
        <w:tc>
          <w:tcPr>
            <w:tcW w:w="892"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345</w:t>
            </w:r>
          </w:p>
        </w:tc>
        <w:tc>
          <w:tcPr>
            <w:tcW w:w="1077" w:type="dxa"/>
            <w:noWrap/>
            <w:vAlign w:val="center"/>
          </w:tcPr>
          <w:p>
            <w:pPr>
              <w:keepNext w:val="0"/>
              <w:keepLines w:val="0"/>
              <w:pageBreakBefore w:val="0"/>
              <w:kinsoku/>
              <w:wordWrap/>
              <w:overflowPunct/>
              <w:topLinePunct w:val="0"/>
              <w:autoSpaceDE/>
              <w:autoSpaceDN/>
              <w:bidi w:val="0"/>
              <w:adjustRightInd/>
              <w:snapToGrid/>
              <w:spacing w:line="220" w:lineRule="exact"/>
              <w:jc w:val="center"/>
              <w:rPr>
                <w:rFonts w:hint="eastAsia" w:ascii="宋体" w:hAnsi="宋体" w:eastAsia="宋体" w:cs="宋体"/>
                <w:i w:val="0"/>
                <w:iCs w:val="0"/>
                <w:color w:val="000000"/>
                <w:sz w:val="20"/>
                <w:szCs w:val="20"/>
                <w:highlight w:val="none"/>
                <w:u w:val="none"/>
              </w:rPr>
            </w:pPr>
          </w:p>
        </w:tc>
        <w:tc>
          <w:tcPr>
            <w:tcW w:w="1231"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固体粪污</w:t>
            </w:r>
          </w:p>
        </w:tc>
        <w:tc>
          <w:tcPr>
            <w:tcW w:w="960"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还田利用</w:t>
            </w:r>
          </w:p>
        </w:tc>
        <w:tc>
          <w:tcPr>
            <w:tcW w:w="1021"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 xml:space="preserve">584.00 </w:t>
            </w:r>
          </w:p>
        </w:tc>
        <w:tc>
          <w:tcPr>
            <w:tcW w:w="965"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 xml:space="preserve">544.63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exact"/>
          <w:jc w:val="center"/>
        </w:trPr>
        <w:tc>
          <w:tcPr>
            <w:tcW w:w="570"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26</w:t>
            </w:r>
          </w:p>
        </w:tc>
        <w:tc>
          <w:tcPr>
            <w:tcW w:w="1694"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华艳蛋鸡场</w:t>
            </w:r>
          </w:p>
        </w:tc>
        <w:tc>
          <w:tcPr>
            <w:tcW w:w="1060" w:type="dxa"/>
            <w:noWrap/>
            <w:vAlign w:val="center"/>
          </w:tcPr>
          <w:p>
            <w:pPr>
              <w:keepNext w:val="0"/>
              <w:keepLines w:val="0"/>
              <w:pageBreakBefore w:val="0"/>
              <w:kinsoku/>
              <w:wordWrap/>
              <w:overflowPunct/>
              <w:topLinePunct w:val="0"/>
              <w:autoSpaceDE/>
              <w:autoSpaceDN/>
              <w:bidi w:val="0"/>
              <w:adjustRightInd/>
              <w:snapToGrid/>
              <w:spacing w:line="220" w:lineRule="exact"/>
              <w:jc w:val="center"/>
              <w:rPr>
                <w:rFonts w:hint="eastAsia" w:ascii="宋体" w:hAnsi="宋体" w:eastAsia="宋体" w:cs="宋体"/>
                <w:i w:val="0"/>
                <w:iCs w:val="0"/>
                <w:color w:val="000000"/>
                <w:sz w:val="20"/>
                <w:szCs w:val="20"/>
                <w:highlight w:val="none"/>
                <w:u w:val="none"/>
              </w:rPr>
            </w:pPr>
          </w:p>
        </w:tc>
        <w:tc>
          <w:tcPr>
            <w:tcW w:w="939" w:type="dxa"/>
            <w:noWrap/>
            <w:vAlign w:val="center"/>
          </w:tcPr>
          <w:p>
            <w:pPr>
              <w:keepNext w:val="0"/>
              <w:keepLines w:val="0"/>
              <w:pageBreakBefore w:val="0"/>
              <w:kinsoku/>
              <w:wordWrap/>
              <w:overflowPunct/>
              <w:topLinePunct w:val="0"/>
              <w:autoSpaceDE/>
              <w:autoSpaceDN/>
              <w:bidi w:val="0"/>
              <w:adjustRightInd/>
              <w:snapToGrid/>
              <w:spacing w:line="220" w:lineRule="exact"/>
              <w:jc w:val="center"/>
              <w:rPr>
                <w:rFonts w:hint="eastAsia" w:ascii="宋体" w:hAnsi="宋体" w:eastAsia="宋体" w:cs="宋体"/>
                <w:i w:val="0"/>
                <w:iCs w:val="0"/>
                <w:color w:val="000000"/>
                <w:sz w:val="20"/>
                <w:szCs w:val="20"/>
                <w:highlight w:val="none"/>
                <w:u w:val="none"/>
              </w:rPr>
            </w:pPr>
          </w:p>
        </w:tc>
        <w:tc>
          <w:tcPr>
            <w:tcW w:w="892"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450</w:t>
            </w:r>
          </w:p>
        </w:tc>
        <w:tc>
          <w:tcPr>
            <w:tcW w:w="1077" w:type="dxa"/>
            <w:noWrap/>
            <w:vAlign w:val="center"/>
          </w:tcPr>
          <w:p>
            <w:pPr>
              <w:keepNext w:val="0"/>
              <w:keepLines w:val="0"/>
              <w:pageBreakBefore w:val="0"/>
              <w:kinsoku/>
              <w:wordWrap/>
              <w:overflowPunct/>
              <w:topLinePunct w:val="0"/>
              <w:autoSpaceDE/>
              <w:autoSpaceDN/>
              <w:bidi w:val="0"/>
              <w:adjustRightInd/>
              <w:snapToGrid/>
              <w:spacing w:line="220" w:lineRule="exact"/>
              <w:jc w:val="center"/>
              <w:rPr>
                <w:rFonts w:hint="eastAsia" w:ascii="宋体" w:hAnsi="宋体" w:eastAsia="宋体" w:cs="宋体"/>
                <w:i w:val="0"/>
                <w:iCs w:val="0"/>
                <w:color w:val="000000"/>
                <w:sz w:val="20"/>
                <w:szCs w:val="20"/>
                <w:highlight w:val="none"/>
                <w:u w:val="none"/>
              </w:rPr>
            </w:pPr>
          </w:p>
        </w:tc>
        <w:tc>
          <w:tcPr>
            <w:tcW w:w="1231"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固体粪污</w:t>
            </w:r>
          </w:p>
        </w:tc>
        <w:tc>
          <w:tcPr>
            <w:tcW w:w="960"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还田利用</w:t>
            </w:r>
          </w:p>
        </w:tc>
        <w:tc>
          <w:tcPr>
            <w:tcW w:w="1021"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 xml:space="preserve">0.00 </w:t>
            </w:r>
          </w:p>
        </w:tc>
        <w:tc>
          <w:tcPr>
            <w:tcW w:w="965"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 xml:space="preserve">0.00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exact"/>
          <w:jc w:val="center"/>
        </w:trPr>
        <w:tc>
          <w:tcPr>
            <w:tcW w:w="570"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27</w:t>
            </w:r>
          </w:p>
        </w:tc>
        <w:tc>
          <w:tcPr>
            <w:tcW w:w="1694"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泰利种猪场</w:t>
            </w:r>
          </w:p>
        </w:tc>
        <w:tc>
          <w:tcPr>
            <w:tcW w:w="1060"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60</w:t>
            </w:r>
          </w:p>
        </w:tc>
        <w:tc>
          <w:tcPr>
            <w:tcW w:w="939" w:type="dxa"/>
            <w:noWrap/>
            <w:vAlign w:val="center"/>
          </w:tcPr>
          <w:p>
            <w:pPr>
              <w:keepNext w:val="0"/>
              <w:keepLines w:val="0"/>
              <w:pageBreakBefore w:val="0"/>
              <w:kinsoku/>
              <w:wordWrap/>
              <w:overflowPunct/>
              <w:topLinePunct w:val="0"/>
              <w:autoSpaceDE/>
              <w:autoSpaceDN/>
              <w:bidi w:val="0"/>
              <w:adjustRightInd/>
              <w:snapToGrid/>
              <w:spacing w:line="220" w:lineRule="exact"/>
              <w:jc w:val="center"/>
              <w:rPr>
                <w:rFonts w:hint="eastAsia" w:ascii="宋体" w:hAnsi="宋体" w:eastAsia="宋体" w:cs="宋体"/>
                <w:i w:val="0"/>
                <w:iCs w:val="0"/>
                <w:color w:val="000000"/>
                <w:sz w:val="20"/>
                <w:szCs w:val="20"/>
                <w:highlight w:val="none"/>
                <w:u w:val="none"/>
              </w:rPr>
            </w:pPr>
          </w:p>
        </w:tc>
        <w:tc>
          <w:tcPr>
            <w:tcW w:w="892"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120</w:t>
            </w:r>
          </w:p>
        </w:tc>
        <w:tc>
          <w:tcPr>
            <w:tcW w:w="1077" w:type="dxa"/>
            <w:noWrap/>
            <w:vAlign w:val="center"/>
          </w:tcPr>
          <w:p>
            <w:pPr>
              <w:keepNext w:val="0"/>
              <w:keepLines w:val="0"/>
              <w:pageBreakBefore w:val="0"/>
              <w:kinsoku/>
              <w:wordWrap/>
              <w:overflowPunct/>
              <w:topLinePunct w:val="0"/>
              <w:autoSpaceDE/>
              <w:autoSpaceDN/>
              <w:bidi w:val="0"/>
              <w:adjustRightInd/>
              <w:snapToGrid/>
              <w:spacing w:line="220" w:lineRule="exact"/>
              <w:jc w:val="center"/>
              <w:rPr>
                <w:rFonts w:hint="eastAsia" w:ascii="宋体" w:hAnsi="宋体" w:eastAsia="宋体" w:cs="宋体"/>
                <w:i w:val="0"/>
                <w:iCs w:val="0"/>
                <w:color w:val="000000"/>
                <w:sz w:val="20"/>
                <w:szCs w:val="20"/>
                <w:highlight w:val="none"/>
                <w:u w:val="none"/>
              </w:rPr>
            </w:pPr>
          </w:p>
        </w:tc>
        <w:tc>
          <w:tcPr>
            <w:tcW w:w="1231"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固体粪污和液体粪污</w:t>
            </w:r>
          </w:p>
        </w:tc>
        <w:tc>
          <w:tcPr>
            <w:tcW w:w="960"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还田利用</w:t>
            </w:r>
          </w:p>
        </w:tc>
        <w:tc>
          <w:tcPr>
            <w:tcW w:w="1021"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 xml:space="preserve">730.00 </w:t>
            </w:r>
          </w:p>
        </w:tc>
        <w:tc>
          <w:tcPr>
            <w:tcW w:w="965"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 xml:space="preserve">397.14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exact"/>
          <w:jc w:val="center"/>
        </w:trPr>
        <w:tc>
          <w:tcPr>
            <w:tcW w:w="570"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28</w:t>
            </w:r>
          </w:p>
        </w:tc>
        <w:tc>
          <w:tcPr>
            <w:tcW w:w="1694"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园兴种猪场</w:t>
            </w:r>
          </w:p>
        </w:tc>
        <w:tc>
          <w:tcPr>
            <w:tcW w:w="1060"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1800</w:t>
            </w:r>
          </w:p>
        </w:tc>
        <w:tc>
          <w:tcPr>
            <w:tcW w:w="939" w:type="dxa"/>
            <w:noWrap/>
            <w:vAlign w:val="center"/>
          </w:tcPr>
          <w:p>
            <w:pPr>
              <w:keepNext w:val="0"/>
              <w:keepLines w:val="0"/>
              <w:pageBreakBefore w:val="0"/>
              <w:kinsoku/>
              <w:wordWrap/>
              <w:overflowPunct/>
              <w:topLinePunct w:val="0"/>
              <w:autoSpaceDE/>
              <w:autoSpaceDN/>
              <w:bidi w:val="0"/>
              <w:adjustRightInd/>
              <w:snapToGrid/>
              <w:spacing w:line="220" w:lineRule="exact"/>
              <w:jc w:val="center"/>
              <w:rPr>
                <w:rFonts w:hint="eastAsia" w:ascii="宋体" w:hAnsi="宋体" w:eastAsia="宋体" w:cs="宋体"/>
                <w:i w:val="0"/>
                <w:iCs w:val="0"/>
                <w:color w:val="000000"/>
                <w:sz w:val="20"/>
                <w:szCs w:val="20"/>
                <w:highlight w:val="none"/>
                <w:u w:val="none"/>
              </w:rPr>
            </w:pPr>
          </w:p>
        </w:tc>
        <w:tc>
          <w:tcPr>
            <w:tcW w:w="892"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160</w:t>
            </w:r>
          </w:p>
        </w:tc>
        <w:tc>
          <w:tcPr>
            <w:tcW w:w="1077" w:type="dxa"/>
            <w:noWrap/>
            <w:vAlign w:val="center"/>
          </w:tcPr>
          <w:p>
            <w:pPr>
              <w:keepNext w:val="0"/>
              <w:keepLines w:val="0"/>
              <w:pageBreakBefore w:val="0"/>
              <w:kinsoku/>
              <w:wordWrap/>
              <w:overflowPunct/>
              <w:topLinePunct w:val="0"/>
              <w:autoSpaceDE/>
              <w:autoSpaceDN/>
              <w:bidi w:val="0"/>
              <w:adjustRightInd/>
              <w:snapToGrid/>
              <w:spacing w:line="220" w:lineRule="exact"/>
              <w:jc w:val="center"/>
              <w:rPr>
                <w:rFonts w:hint="eastAsia" w:ascii="宋体" w:hAnsi="宋体" w:eastAsia="宋体" w:cs="宋体"/>
                <w:i w:val="0"/>
                <w:iCs w:val="0"/>
                <w:color w:val="000000"/>
                <w:sz w:val="20"/>
                <w:szCs w:val="20"/>
                <w:highlight w:val="none"/>
                <w:u w:val="none"/>
              </w:rPr>
            </w:pPr>
          </w:p>
        </w:tc>
        <w:tc>
          <w:tcPr>
            <w:tcW w:w="1231"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固体粪污和液体粪污</w:t>
            </w:r>
          </w:p>
        </w:tc>
        <w:tc>
          <w:tcPr>
            <w:tcW w:w="960"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还田利用</w:t>
            </w:r>
          </w:p>
        </w:tc>
        <w:tc>
          <w:tcPr>
            <w:tcW w:w="1021"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 xml:space="preserve">1463.65 </w:t>
            </w:r>
          </w:p>
        </w:tc>
        <w:tc>
          <w:tcPr>
            <w:tcW w:w="965"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 xml:space="preserve">1456.79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7" w:hRule="exact"/>
          <w:jc w:val="center"/>
        </w:trPr>
        <w:tc>
          <w:tcPr>
            <w:tcW w:w="570"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29</w:t>
            </w:r>
          </w:p>
        </w:tc>
        <w:tc>
          <w:tcPr>
            <w:tcW w:w="1694"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辽宁皮埃西农业科技有限公司</w:t>
            </w:r>
          </w:p>
        </w:tc>
        <w:tc>
          <w:tcPr>
            <w:tcW w:w="1060"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100000</w:t>
            </w:r>
          </w:p>
        </w:tc>
        <w:tc>
          <w:tcPr>
            <w:tcW w:w="939" w:type="dxa"/>
            <w:noWrap/>
            <w:vAlign w:val="center"/>
          </w:tcPr>
          <w:p>
            <w:pPr>
              <w:keepNext w:val="0"/>
              <w:keepLines w:val="0"/>
              <w:pageBreakBefore w:val="0"/>
              <w:kinsoku/>
              <w:wordWrap/>
              <w:overflowPunct/>
              <w:topLinePunct w:val="0"/>
              <w:autoSpaceDE/>
              <w:autoSpaceDN/>
              <w:bidi w:val="0"/>
              <w:adjustRightInd/>
              <w:snapToGrid/>
              <w:spacing w:line="220" w:lineRule="exact"/>
              <w:jc w:val="center"/>
              <w:rPr>
                <w:rFonts w:hint="eastAsia" w:ascii="宋体" w:hAnsi="宋体" w:eastAsia="宋体" w:cs="宋体"/>
                <w:i w:val="0"/>
                <w:iCs w:val="0"/>
                <w:color w:val="000000"/>
                <w:sz w:val="20"/>
                <w:szCs w:val="20"/>
                <w:highlight w:val="none"/>
                <w:u w:val="none"/>
              </w:rPr>
            </w:pPr>
          </w:p>
        </w:tc>
        <w:tc>
          <w:tcPr>
            <w:tcW w:w="892"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6000</w:t>
            </w:r>
          </w:p>
        </w:tc>
        <w:tc>
          <w:tcPr>
            <w:tcW w:w="1077" w:type="dxa"/>
            <w:noWrap/>
            <w:vAlign w:val="center"/>
          </w:tcPr>
          <w:p>
            <w:pPr>
              <w:keepNext w:val="0"/>
              <w:keepLines w:val="0"/>
              <w:pageBreakBefore w:val="0"/>
              <w:kinsoku/>
              <w:wordWrap/>
              <w:overflowPunct/>
              <w:topLinePunct w:val="0"/>
              <w:autoSpaceDE/>
              <w:autoSpaceDN/>
              <w:bidi w:val="0"/>
              <w:adjustRightInd/>
              <w:snapToGrid/>
              <w:spacing w:line="220" w:lineRule="exact"/>
              <w:jc w:val="center"/>
              <w:rPr>
                <w:rFonts w:hint="eastAsia" w:ascii="宋体" w:hAnsi="宋体" w:eastAsia="宋体" w:cs="宋体"/>
                <w:i w:val="0"/>
                <w:iCs w:val="0"/>
                <w:color w:val="000000"/>
                <w:sz w:val="20"/>
                <w:szCs w:val="20"/>
                <w:highlight w:val="none"/>
                <w:u w:val="none"/>
              </w:rPr>
            </w:pPr>
          </w:p>
        </w:tc>
        <w:tc>
          <w:tcPr>
            <w:tcW w:w="1231"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固体粪污和液体粪污</w:t>
            </w:r>
          </w:p>
        </w:tc>
        <w:tc>
          <w:tcPr>
            <w:tcW w:w="960"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还田利用</w:t>
            </w:r>
          </w:p>
        </w:tc>
        <w:tc>
          <w:tcPr>
            <w:tcW w:w="1021"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 xml:space="preserve">36500.00 </w:t>
            </w:r>
          </w:p>
        </w:tc>
        <w:tc>
          <w:tcPr>
            <w:tcW w:w="965"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 xml:space="preserve">28653.41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exact"/>
          <w:jc w:val="center"/>
        </w:trPr>
        <w:tc>
          <w:tcPr>
            <w:tcW w:w="570"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30</w:t>
            </w:r>
          </w:p>
        </w:tc>
        <w:tc>
          <w:tcPr>
            <w:tcW w:w="1694"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刘仁敏养猪场</w:t>
            </w:r>
          </w:p>
        </w:tc>
        <w:tc>
          <w:tcPr>
            <w:tcW w:w="1060"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32</w:t>
            </w:r>
          </w:p>
        </w:tc>
        <w:tc>
          <w:tcPr>
            <w:tcW w:w="939" w:type="dxa"/>
            <w:noWrap/>
            <w:vAlign w:val="center"/>
          </w:tcPr>
          <w:p>
            <w:pPr>
              <w:keepNext w:val="0"/>
              <w:keepLines w:val="0"/>
              <w:pageBreakBefore w:val="0"/>
              <w:kinsoku/>
              <w:wordWrap/>
              <w:overflowPunct/>
              <w:topLinePunct w:val="0"/>
              <w:autoSpaceDE/>
              <w:autoSpaceDN/>
              <w:bidi w:val="0"/>
              <w:adjustRightInd/>
              <w:snapToGrid/>
              <w:spacing w:line="220" w:lineRule="exact"/>
              <w:jc w:val="center"/>
              <w:rPr>
                <w:rFonts w:hint="eastAsia" w:ascii="宋体" w:hAnsi="宋体" w:eastAsia="宋体" w:cs="宋体"/>
                <w:i w:val="0"/>
                <w:iCs w:val="0"/>
                <w:color w:val="000000"/>
                <w:sz w:val="20"/>
                <w:szCs w:val="20"/>
                <w:highlight w:val="none"/>
                <w:u w:val="none"/>
              </w:rPr>
            </w:pPr>
          </w:p>
        </w:tc>
        <w:tc>
          <w:tcPr>
            <w:tcW w:w="892"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140</w:t>
            </w:r>
          </w:p>
        </w:tc>
        <w:tc>
          <w:tcPr>
            <w:tcW w:w="1077" w:type="dxa"/>
            <w:noWrap/>
            <w:vAlign w:val="center"/>
          </w:tcPr>
          <w:p>
            <w:pPr>
              <w:keepNext w:val="0"/>
              <w:keepLines w:val="0"/>
              <w:pageBreakBefore w:val="0"/>
              <w:kinsoku/>
              <w:wordWrap/>
              <w:overflowPunct/>
              <w:topLinePunct w:val="0"/>
              <w:autoSpaceDE/>
              <w:autoSpaceDN/>
              <w:bidi w:val="0"/>
              <w:adjustRightInd/>
              <w:snapToGrid/>
              <w:spacing w:line="220" w:lineRule="exact"/>
              <w:jc w:val="center"/>
              <w:rPr>
                <w:rFonts w:hint="eastAsia" w:ascii="宋体" w:hAnsi="宋体" w:eastAsia="宋体" w:cs="宋体"/>
                <w:i w:val="0"/>
                <w:iCs w:val="0"/>
                <w:color w:val="000000"/>
                <w:sz w:val="20"/>
                <w:szCs w:val="20"/>
                <w:highlight w:val="none"/>
                <w:u w:val="none"/>
              </w:rPr>
            </w:pPr>
          </w:p>
        </w:tc>
        <w:tc>
          <w:tcPr>
            <w:tcW w:w="1231"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固体粪污和液体粪污</w:t>
            </w:r>
          </w:p>
        </w:tc>
        <w:tc>
          <w:tcPr>
            <w:tcW w:w="960"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还田利用</w:t>
            </w:r>
          </w:p>
        </w:tc>
        <w:tc>
          <w:tcPr>
            <w:tcW w:w="1021"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 xml:space="preserve">638.75 </w:t>
            </w:r>
          </w:p>
        </w:tc>
        <w:tc>
          <w:tcPr>
            <w:tcW w:w="965"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 xml:space="preserve">267.27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exact"/>
          <w:jc w:val="center"/>
        </w:trPr>
        <w:tc>
          <w:tcPr>
            <w:tcW w:w="570"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31</w:t>
            </w:r>
          </w:p>
        </w:tc>
        <w:tc>
          <w:tcPr>
            <w:tcW w:w="1694"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榆树种猪场</w:t>
            </w:r>
          </w:p>
        </w:tc>
        <w:tc>
          <w:tcPr>
            <w:tcW w:w="1060"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300</w:t>
            </w:r>
          </w:p>
        </w:tc>
        <w:tc>
          <w:tcPr>
            <w:tcW w:w="939" w:type="dxa"/>
            <w:noWrap/>
            <w:vAlign w:val="center"/>
          </w:tcPr>
          <w:p>
            <w:pPr>
              <w:keepNext w:val="0"/>
              <w:keepLines w:val="0"/>
              <w:pageBreakBefore w:val="0"/>
              <w:kinsoku/>
              <w:wordWrap/>
              <w:overflowPunct/>
              <w:topLinePunct w:val="0"/>
              <w:autoSpaceDE/>
              <w:autoSpaceDN/>
              <w:bidi w:val="0"/>
              <w:adjustRightInd/>
              <w:snapToGrid/>
              <w:spacing w:line="220" w:lineRule="exact"/>
              <w:jc w:val="center"/>
              <w:rPr>
                <w:rFonts w:hint="eastAsia" w:ascii="宋体" w:hAnsi="宋体" w:eastAsia="宋体" w:cs="宋体"/>
                <w:i w:val="0"/>
                <w:iCs w:val="0"/>
                <w:color w:val="000000"/>
                <w:sz w:val="20"/>
                <w:szCs w:val="20"/>
                <w:highlight w:val="none"/>
                <w:u w:val="none"/>
              </w:rPr>
            </w:pPr>
          </w:p>
        </w:tc>
        <w:tc>
          <w:tcPr>
            <w:tcW w:w="892"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400</w:t>
            </w:r>
          </w:p>
        </w:tc>
        <w:tc>
          <w:tcPr>
            <w:tcW w:w="1077" w:type="dxa"/>
            <w:noWrap/>
            <w:vAlign w:val="center"/>
          </w:tcPr>
          <w:p>
            <w:pPr>
              <w:keepNext w:val="0"/>
              <w:keepLines w:val="0"/>
              <w:pageBreakBefore w:val="0"/>
              <w:kinsoku/>
              <w:wordWrap/>
              <w:overflowPunct/>
              <w:topLinePunct w:val="0"/>
              <w:autoSpaceDE/>
              <w:autoSpaceDN/>
              <w:bidi w:val="0"/>
              <w:adjustRightInd/>
              <w:snapToGrid/>
              <w:spacing w:line="220" w:lineRule="exact"/>
              <w:jc w:val="center"/>
              <w:rPr>
                <w:rFonts w:hint="eastAsia" w:ascii="宋体" w:hAnsi="宋体" w:eastAsia="宋体" w:cs="宋体"/>
                <w:i w:val="0"/>
                <w:iCs w:val="0"/>
                <w:color w:val="000000"/>
                <w:sz w:val="20"/>
                <w:szCs w:val="20"/>
                <w:highlight w:val="none"/>
                <w:u w:val="none"/>
              </w:rPr>
            </w:pPr>
          </w:p>
        </w:tc>
        <w:tc>
          <w:tcPr>
            <w:tcW w:w="1231"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固体粪污和液体粪污</w:t>
            </w:r>
          </w:p>
        </w:tc>
        <w:tc>
          <w:tcPr>
            <w:tcW w:w="960"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还田利用</w:t>
            </w:r>
          </w:p>
        </w:tc>
        <w:tc>
          <w:tcPr>
            <w:tcW w:w="1021"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 xml:space="preserve">1825.00 </w:t>
            </w:r>
          </w:p>
        </w:tc>
        <w:tc>
          <w:tcPr>
            <w:tcW w:w="965"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 xml:space="preserve">1755.58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3" w:hRule="exact"/>
          <w:jc w:val="center"/>
        </w:trPr>
        <w:tc>
          <w:tcPr>
            <w:tcW w:w="570"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32</w:t>
            </w:r>
          </w:p>
        </w:tc>
        <w:tc>
          <w:tcPr>
            <w:tcW w:w="1694"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本溪满族自治县小市镇志国养殖场</w:t>
            </w:r>
          </w:p>
        </w:tc>
        <w:tc>
          <w:tcPr>
            <w:tcW w:w="1060"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192</w:t>
            </w:r>
          </w:p>
        </w:tc>
        <w:tc>
          <w:tcPr>
            <w:tcW w:w="939" w:type="dxa"/>
            <w:noWrap/>
            <w:vAlign w:val="center"/>
          </w:tcPr>
          <w:p>
            <w:pPr>
              <w:keepNext w:val="0"/>
              <w:keepLines w:val="0"/>
              <w:pageBreakBefore w:val="0"/>
              <w:kinsoku/>
              <w:wordWrap/>
              <w:overflowPunct/>
              <w:topLinePunct w:val="0"/>
              <w:autoSpaceDE/>
              <w:autoSpaceDN/>
              <w:bidi w:val="0"/>
              <w:adjustRightInd/>
              <w:snapToGrid/>
              <w:spacing w:line="220" w:lineRule="exact"/>
              <w:jc w:val="center"/>
              <w:rPr>
                <w:rFonts w:hint="eastAsia" w:ascii="宋体" w:hAnsi="宋体" w:eastAsia="宋体" w:cs="宋体"/>
                <w:i w:val="0"/>
                <w:iCs w:val="0"/>
                <w:color w:val="000000"/>
                <w:sz w:val="20"/>
                <w:szCs w:val="20"/>
                <w:highlight w:val="none"/>
                <w:u w:val="none"/>
              </w:rPr>
            </w:pPr>
          </w:p>
        </w:tc>
        <w:tc>
          <w:tcPr>
            <w:tcW w:w="892"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400</w:t>
            </w:r>
          </w:p>
        </w:tc>
        <w:tc>
          <w:tcPr>
            <w:tcW w:w="1077" w:type="dxa"/>
            <w:noWrap/>
            <w:vAlign w:val="center"/>
          </w:tcPr>
          <w:p>
            <w:pPr>
              <w:keepNext w:val="0"/>
              <w:keepLines w:val="0"/>
              <w:pageBreakBefore w:val="0"/>
              <w:kinsoku/>
              <w:wordWrap/>
              <w:overflowPunct/>
              <w:topLinePunct w:val="0"/>
              <w:autoSpaceDE/>
              <w:autoSpaceDN/>
              <w:bidi w:val="0"/>
              <w:adjustRightInd/>
              <w:snapToGrid/>
              <w:spacing w:line="220" w:lineRule="exact"/>
              <w:jc w:val="center"/>
              <w:rPr>
                <w:rFonts w:hint="eastAsia" w:ascii="宋体" w:hAnsi="宋体" w:eastAsia="宋体" w:cs="宋体"/>
                <w:i w:val="0"/>
                <w:iCs w:val="0"/>
                <w:color w:val="000000"/>
                <w:sz w:val="20"/>
                <w:szCs w:val="20"/>
                <w:highlight w:val="none"/>
                <w:u w:val="none"/>
              </w:rPr>
            </w:pPr>
          </w:p>
        </w:tc>
        <w:tc>
          <w:tcPr>
            <w:tcW w:w="1231"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固体粪污和液体粪污</w:t>
            </w:r>
          </w:p>
        </w:tc>
        <w:tc>
          <w:tcPr>
            <w:tcW w:w="960"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还田利用</w:t>
            </w:r>
          </w:p>
        </w:tc>
        <w:tc>
          <w:tcPr>
            <w:tcW w:w="1021"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 xml:space="preserve">4588.05 </w:t>
            </w:r>
          </w:p>
        </w:tc>
        <w:tc>
          <w:tcPr>
            <w:tcW w:w="965"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 xml:space="preserve">1787.36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exact"/>
          <w:jc w:val="center"/>
        </w:trPr>
        <w:tc>
          <w:tcPr>
            <w:tcW w:w="570"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33</w:t>
            </w:r>
          </w:p>
        </w:tc>
        <w:tc>
          <w:tcPr>
            <w:tcW w:w="1694"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祁家堡巨刚养鸡场</w:t>
            </w:r>
          </w:p>
        </w:tc>
        <w:tc>
          <w:tcPr>
            <w:tcW w:w="1060" w:type="dxa"/>
            <w:noWrap/>
            <w:vAlign w:val="center"/>
          </w:tcPr>
          <w:p>
            <w:pPr>
              <w:keepNext w:val="0"/>
              <w:keepLines w:val="0"/>
              <w:pageBreakBefore w:val="0"/>
              <w:kinsoku/>
              <w:wordWrap/>
              <w:overflowPunct/>
              <w:topLinePunct w:val="0"/>
              <w:autoSpaceDE/>
              <w:autoSpaceDN/>
              <w:bidi w:val="0"/>
              <w:adjustRightInd/>
              <w:snapToGrid/>
              <w:spacing w:line="220" w:lineRule="exact"/>
              <w:jc w:val="center"/>
              <w:rPr>
                <w:rFonts w:hint="eastAsia" w:ascii="宋体" w:hAnsi="宋体" w:eastAsia="宋体" w:cs="宋体"/>
                <w:i w:val="0"/>
                <w:iCs w:val="0"/>
                <w:color w:val="000000"/>
                <w:sz w:val="20"/>
                <w:szCs w:val="20"/>
                <w:highlight w:val="none"/>
                <w:u w:val="none"/>
              </w:rPr>
            </w:pPr>
          </w:p>
        </w:tc>
        <w:tc>
          <w:tcPr>
            <w:tcW w:w="939" w:type="dxa"/>
            <w:noWrap/>
            <w:vAlign w:val="center"/>
          </w:tcPr>
          <w:p>
            <w:pPr>
              <w:keepNext w:val="0"/>
              <w:keepLines w:val="0"/>
              <w:pageBreakBefore w:val="0"/>
              <w:kinsoku/>
              <w:wordWrap/>
              <w:overflowPunct/>
              <w:topLinePunct w:val="0"/>
              <w:autoSpaceDE/>
              <w:autoSpaceDN/>
              <w:bidi w:val="0"/>
              <w:adjustRightInd/>
              <w:snapToGrid/>
              <w:spacing w:line="220" w:lineRule="exact"/>
              <w:jc w:val="center"/>
              <w:rPr>
                <w:rFonts w:hint="eastAsia" w:ascii="宋体" w:hAnsi="宋体" w:eastAsia="宋体" w:cs="宋体"/>
                <w:i w:val="0"/>
                <w:iCs w:val="0"/>
                <w:color w:val="000000"/>
                <w:sz w:val="20"/>
                <w:szCs w:val="20"/>
                <w:highlight w:val="none"/>
                <w:u w:val="none"/>
              </w:rPr>
            </w:pPr>
          </w:p>
        </w:tc>
        <w:tc>
          <w:tcPr>
            <w:tcW w:w="892"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400</w:t>
            </w:r>
          </w:p>
        </w:tc>
        <w:tc>
          <w:tcPr>
            <w:tcW w:w="1077" w:type="dxa"/>
            <w:noWrap/>
            <w:vAlign w:val="center"/>
          </w:tcPr>
          <w:p>
            <w:pPr>
              <w:keepNext w:val="0"/>
              <w:keepLines w:val="0"/>
              <w:pageBreakBefore w:val="0"/>
              <w:kinsoku/>
              <w:wordWrap/>
              <w:overflowPunct/>
              <w:topLinePunct w:val="0"/>
              <w:autoSpaceDE/>
              <w:autoSpaceDN/>
              <w:bidi w:val="0"/>
              <w:adjustRightInd/>
              <w:snapToGrid/>
              <w:spacing w:line="220" w:lineRule="exact"/>
              <w:jc w:val="center"/>
              <w:rPr>
                <w:rFonts w:hint="eastAsia" w:ascii="宋体" w:hAnsi="宋体" w:eastAsia="宋体" w:cs="宋体"/>
                <w:i w:val="0"/>
                <w:iCs w:val="0"/>
                <w:color w:val="000000"/>
                <w:sz w:val="20"/>
                <w:szCs w:val="20"/>
                <w:highlight w:val="none"/>
                <w:u w:val="none"/>
              </w:rPr>
            </w:pPr>
          </w:p>
        </w:tc>
        <w:tc>
          <w:tcPr>
            <w:tcW w:w="1231"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固体粪污</w:t>
            </w:r>
          </w:p>
        </w:tc>
        <w:tc>
          <w:tcPr>
            <w:tcW w:w="960"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还田利用</w:t>
            </w:r>
          </w:p>
        </w:tc>
        <w:tc>
          <w:tcPr>
            <w:tcW w:w="1021"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 xml:space="preserve">876.00 </w:t>
            </w:r>
          </w:p>
        </w:tc>
        <w:tc>
          <w:tcPr>
            <w:tcW w:w="965"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 xml:space="preserve">366.57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exact"/>
          <w:jc w:val="center"/>
        </w:trPr>
        <w:tc>
          <w:tcPr>
            <w:tcW w:w="570"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34</w:t>
            </w:r>
          </w:p>
        </w:tc>
        <w:tc>
          <w:tcPr>
            <w:tcW w:w="1694"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本溪县顺盈种猪场</w:t>
            </w:r>
          </w:p>
        </w:tc>
        <w:tc>
          <w:tcPr>
            <w:tcW w:w="1060"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7530</w:t>
            </w:r>
          </w:p>
        </w:tc>
        <w:tc>
          <w:tcPr>
            <w:tcW w:w="939" w:type="dxa"/>
            <w:noWrap/>
            <w:vAlign w:val="center"/>
          </w:tcPr>
          <w:p>
            <w:pPr>
              <w:keepNext w:val="0"/>
              <w:keepLines w:val="0"/>
              <w:pageBreakBefore w:val="0"/>
              <w:kinsoku/>
              <w:wordWrap/>
              <w:overflowPunct/>
              <w:topLinePunct w:val="0"/>
              <w:autoSpaceDE/>
              <w:autoSpaceDN/>
              <w:bidi w:val="0"/>
              <w:adjustRightInd/>
              <w:snapToGrid/>
              <w:spacing w:line="220" w:lineRule="exact"/>
              <w:jc w:val="center"/>
              <w:rPr>
                <w:rFonts w:hint="eastAsia" w:ascii="宋体" w:hAnsi="宋体" w:eastAsia="宋体" w:cs="宋体"/>
                <w:i w:val="0"/>
                <w:iCs w:val="0"/>
                <w:color w:val="000000"/>
                <w:sz w:val="20"/>
                <w:szCs w:val="20"/>
                <w:highlight w:val="none"/>
                <w:u w:val="none"/>
              </w:rPr>
            </w:pPr>
          </w:p>
        </w:tc>
        <w:tc>
          <w:tcPr>
            <w:tcW w:w="892"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2100</w:t>
            </w:r>
          </w:p>
        </w:tc>
        <w:tc>
          <w:tcPr>
            <w:tcW w:w="1077" w:type="dxa"/>
            <w:noWrap/>
            <w:vAlign w:val="center"/>
          </w:tcPr>
          <w:p>
            <w:pPr>
              <w:keepNext w:val="0"/>
              <w:keepLines w:val="0"/>
              <w:pageBreakBefore w:val="0"/>
              <w:kinsoku/>
              <w:wordWrap/>
              <w:overflowPunct/>
              <w:topLinePunct w:val="0"/>
              <w:autoSpaceDE/>
              <w:autoSpaceDN/>
              <w:bidi w:val="0"/>
              <w:adjustRightInd/>
              <w:snapToGrid/>
              <w:spacing w:line="220" w:lineRule="exact"/>
              <w:jc w:val="center"/>
              <w:rPr>
                <w:rFonts w:hint="eastAsia" w:ascii="宋体" w:hAnsi="宋体" w:eastAsia="宋体" w:cs="宋体"/>
                <w:i w:val="0"/>
                <w:iCs w:val="0"/>
                <w:color w:val="000000"/>
                <w:sz w:val="20"/>
                <w:szCs w:val="20"/>
                <w:highlight w:val="none"/>
                <w:u w:val="none"/>
              </w:rPr>
            </w:pPr>
          </w:p>
        </w:tc>
        <w:tc>
          <w:tcPr>
            <w:tcW w:w="1231"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固体粪污和液体粪污</w:t>
            </w:r>
          </w:p>
        </w:tc>
        <w:tc>
          <w:tcPr>
            <w:tcW w:w="960"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还田利用</w:t>
            </w:r>
          </w:p>
        </w:tc>
        <w:tc>
          <w:tcPr>
            <w:tcW w:w="1021"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 xml:space="preserve">21053.20 </w:t>
            </w:r>
          </w:p>
        </w:tc>
        <w:tc>
          <w:tcPr>
            <w:tcW w:w="965"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 xml:space="preserve">15235.55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exact"/>
          <w:jc w:val="center"/>
        </w:trPr>
        <w:tc>
          <w:tcPr>
            <w:tcW w:w="570"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35</w:t>
            </w:r>
          </w:p>
        </w:tc>
        <w:tc>
          <w:tcPr>
            <w:tcW w:w="1694"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盛兴养猪场</w:t>
            </w:r>
          </w:p>
        </w:tc>
        <w:tc>
          <w:tcPr>
            <w:tcW w:w="1060"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4000</w:t>
            </w:r>
          </w:p>
        </w:tc>
        <w:tc>
          <w:tcPr>
            <w:tcW w:w="939" w:type="dxa"/>
            <w:noWrap/>
            <w:vAlign w:val="center"/>
          </w:tcPr>
          <w:p>
            <w:pPr>
              <w:keepNext w:val="0"/>
              <w:keepLines w:val="0"/>
              <w:pageBreakBefore w:val="0"/>
              <w:kinsoku/>
              <w:wordWrap/>
              <w:overflowPunct/>
              <w:topLinePunct w:val="0"/>
              <w:autoSpaceDE/>
              <w:autoSpaceDN/>
              <w:bidi w:val="0"/>
              <w:adjustRightInd/>
              <w:snapToGrid/>
              <w:spacing w:line="220" w:lineRule="exact"/>
              <w:jc w:val="center"/>
              <w:rPr>
                <w:rFonts w:hint="eastAsia" w:ascii="宋体" w:hAnsi="宋体" w:eastAsia="宋体" w:cs="宋体"/>
                <w:i w:val="0"/>
                <w:iCs w:val="0"/>
                <w:color w:val="000000"/>
                <w:sz w:val="20"/>
                <w:szCs w:val="20"/>
                <w:highlight w:val="none"/>
                <w:u w:val="none"/>
              </w:rPr>
            </w:pPr>
          </w:p>
        </w:tc>
        <w:tc>
          <w:tcPr>
            <w:tcW w:w="892"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440</w:t>
            </w:r>
          </w:p>
        </w:tc>
        <w:tc>
          <w:tcPr>
            <w:tcW w:w="1077" w:type="dxa"/>
            <w:noWrap/>
            <w:vAlign w:val="center"/>
          </w:tcPr>
          <w:p>
            <w:pPr>
              <w:keepNext w:val="0"/>
              <w:keepLines w:val="0"/>
              <w:pageBreakBefore w:val="0"/>
              <w:kinsoku/>
              <w:wordWrap/>
              <w:overflowPunct/>
              <w:topLinePunct w:val="0"/>
              <w:autoSpaceDE/>
              <w:autoSpaceDN/>
              <w:bidi w:val="0"/>
              <w:adjustRightInd/>
              <w:snapToGrid/>
              <w:spacing w:line="220" w:lineRule="exact"/>
              <w:jc w:val="center"/>
              <w:rPr>
                <w:rFonts w:hint="eastAsia" w:ascii="宋体" w:hAnsi="宋体" w:eastAsia="宋体" w:cs="宋体"/>
                <w:i w:val="0"/>
                <w:iCs w:val="0"/>
                <w:color w:val="000000"/>
                <w:sz w:val="20"/>
                <w:szCs w:val="20"/>
                <w:highlight w:val="none"/>
                <w:u w:val="none"/>
              </w:rPr>
            </w:pPr>
          </w:p>
        </w:tc>
        <w:tc>
          <w:tcPr>
            <w:tcW w:w="1231"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固体粪污和液体粪污</w:t>
            </w:r>
          </w:p>
        </w:tc>
        <w:tc>
          <w:tcPr>
            <w:tcW w:w="960"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还田利用</w:t>
            </w:r>
          </w:p>
        </w:tc>
        <w:tc>
          <w:tcPr>
            <w:tcW w:w="1021"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 xml:space="preserve">3650.00 </w:t>
            </w:r>
          </w:p>
        </w:tc>
        <w:tc>
          <w:tcPr>
            <w:tcW w:w="965"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 xml:space="preserve">3633.16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exact"/>
          <w:jc w:val="center"/>
        </w:trPr>
        <w:tc>
          <w:tcPr>
            <w:tcW w:w="570"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36</w:t>
            </w:r>
          </w:p>
        </w:tc>
        <w:tc>
          <w:tcPr>
            <w:tcW w:w="1694"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芮烽农牧科技有限公司</w:t>
            </w:r>
          </w:p>
        </w:tc>
        <w:tc>
          <w:tcPr>
            <w:tcW w:w="1060"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1500</w:t>
            </w:r>
          </w:p>
        </w:tc>
        <w:tc>
          <w:tcPr>
            <w:tcW w:w="939" w:type="dxa"/>
            <w:noWrap/>
            <w:vAlign w:val="center"/>
          </w:tcPr>
          <w:p>
            <w:pPr>
              <w:keepNext w:val="0"/>
              <w:keepLines w:val="0"/>
              <w:pageBreakBefore w:val="0"/>
              <w:kinsoku/>
              <w:wordWrap/>
              <w:overflowPunct/>
              <w:topLinePunct w:val="0"/>
              <w:autoSpaceDE/>
              <w:autoSpaceDN/>
              <w:bidi w:val="0"/>
              <w:adjustRightInd/>
              <w:snapToGrid/>
              <w:spacing w:line="220" w:lineRule="exact"/>
              <w:jc w:val="center"/>
              <w:rPr>
                <w:rFonts w:hint="eastAsia" w:ascii="宋体" w:hAnsi="宋体" w:eastAsia="宋体" w:cs="宋体"/>
                <w:i w:val="0"/>
                <w:iCs w:val="0"/>
                <w:color w:val="000000"/>
                <w:sz w:val="20"/>
                <w:szCs w:val="20"/>
                <w:highlight w:val="none"/>
                <w:u w:val="none"/>
              </w:rPr>
            </w:pPr>
          </w:p>
        </w:tc>
        <w:tc>
          <w:tcPr>
            <w:tcW w:w="892"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1500</w:t>
            </w:r>
          </w:p>
        </w:tc>
        <w:tc>
          <w:tcPr>
            <w:tcW w:w="1077" w:type="dxa"/>
            <w:noWrap/>
            <w:vAlign w:val="center"/>
          </w:tcPr>
          <w:p>
            <w:pPr>
              <w:keepNext w:val="0"/>
              <w:keepLines w:val="0"/>
              <w:pageBreakBefore w:val="0"/>
              <w:kinsoku/>
              <w:wordWrap/>
              <w:overflowPunct/>
              <w:topLinePunct w:val="0"/>
              <w:autoSpaceDE/>
              <w:autoSpaceDN/>
              <w:bidi w:val="0"/>
              <w:adjustRightInd/>
              <w:snapToGrid/>
              <w:spacing w:line="220" w:lineRule="exact"/>
              <w:jc w:val="center"/>
              <w:rPr>
                <w:rFonts w:hint="eastAsia" w:ascii="宋体" w:hAnsi="宋体" w:eastAsia="宋体" w:cs="宋体"/>
                <w:i w:val="0"/>
                <w:iCs w:val="0"/>
                <w:color w:val="000000"/>
                <w:sz w:val="20"/>
                <w:szCs w:val="20"/>
                <w:highlight w:val="none"/>
                <w:u w:val="none"/>
              </w:rPr>
            </w:pPr>
          </w:p>
        </w:tc>
        <w:tc>
          <w:tcPr>
            <w:tcW w:w="1231"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固体粪污和液体粪污</w:t>
            </w:r>
          </w:p>
        </w:tc>
        <w:tc>
          <w:tcPr>
            <w:tcW w:w="960"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还田利用</w:t>
            </w:r>
          </w:p>
        </w:tc>
        <w:tc>
          <w:tcPr>
            <w:tcW w:w="1021"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 xml:space="preserve">23633.75 </w:t>
            </w:r>
          </w:p>
        </w:tc>
        <w:tc>
          <w:tcPr>
            <w:tcW w:w="965"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 xml:space="preserve">15330.01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exact"/>
          <w:jc w:val="center"/>
        </w:trPr>
        <w:tc>
          <w:tcPr>
            <w:tcW w:w="570"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37</w:t>
            </w:r>
          </w:p>
        </w:tc>
        <w:tc>
          <w:tcPr>
            <w:tcW w:w="1694"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宝源种猪场</w:t>
            </w:r>
          </w:p>
        </w:tc>
        <w:tc>
          <w:tcPr>
            <w:tcW w:w="1060"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1400</w:t>
            </w:r>
          </w:p>
        </w:tc>
        <w:tc>
          <w:tcPr>
            <w:tcW w:w="939" w:type="dxa"/>
            <w:noWrap/>
            <w:vAlign w:val="center"/>
          </w:tcPr>
          <w:p>
            <w:pPr>
              <w:keepNext w:val="0"/>
              <w:keepLines w:val="0"/>
              <w:pageBreakBefore w:val="0"/>
              <w:kinsoku/>
              <w:wordWrap/>
              <w:overflowPunct/>
              <w:topLinePunct w:val="0"/>
              <w:autoSpaceDE/>
              <w:autoSpaceDN/>
              <w:bidi w:val="0"/>
              <w:adjustRightInd/>
              <w:snapToGrid/>
              <w:spacing w:line="220" w:lineRule="exact"/>
              <w:jc w:val="center"/>
              <w:rPr>
                <w:rFonts w:hint="eastAsia" w:ascii="宋体" w:hAnsi="宋体" w:eastAsia="宋体" w:cs="宋体"/>
                <w:i w:val="0"/>
                <w:iCs w:val="0"/>
                <w:color w:val="000000"/>
                <w:sz w:val="20"/>
                <w:szCs w:val="20"/>
                <w:highlight w:val="none"/>
                <w:u w:val="none"/>
              </w:rPr>
            </w:pPr>
          </w:p>
        </w:tc>
        <w:tc>
          <w:tcPr>
            <w:tcW w:w="892"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375</w:t>
            </w:r>
          </w:p>
        </w:tc>
        <w:tc>
          <w:tcPr>
            <w:tcW w:w="1077" w:type="dxa"/>
            <w:noWrap/>
            <w:vAlign w:val="center"/>
          </w:tcPr>
          <w:p>
            <w:pPr>
              <w:keepNext w:val="0"/>
              <w:keepLines w:val="0"/>
              <w:pageBreakBefore w:val="0"/>
              <w:kinsoku/>
              <w:wordWrap/>
              <w:overflowPunct/>
              <w:topLinePunct w:val="0"/>
              <w:autoSpaceDE/>
              <w:autoSpaceDN/>
              <w:bidi w:val="0"/>
              <w:adjustRightInd/>
              <w:snapToGrid/>
              <w:spacing w:line="220" w:lineRule="exact"/>
              <w:jc w:val="center"/>
              <w:rPr>
                <w:rFonts w:hint="eastAsia" w:ascii="宋体" w:hAnsi="宋体" w:eastAsia="宋体" w:cs="宋体"/>
                <w:i w:val="0"/>
                <w:iCs w:val="0"/>
                <w:color w:val="000000"/>
                <w:sz w:val="20"/>
                <w:szCs w:val="20"/>
                <w:highlight w:val="none"/>
                <w:u w:val="none"/>
              </w:rPr>
            </w:pPr>
          </w:p>
        </w:tc>
        <w:tc>
          <w:tcPr>
            <w:tcW w:w="1231"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固体粪污和液体粪污</w:t>
            </w:r>
          </w:p>
        </w:tc>
        <w:tc>
          <w:tcPr>
            <w:tcW w:w="960"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还田利用</w:t>
            </w:r>
          </w:p>
        </w:tc>
        <w:tc>
          <w:tcPr>
            <w:tcW w:w="1021"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 xml:space="preserve">5292.51 </w:t>
            </w:r>
          </w:p>
        </w:tc>
        <w:tc>
          <w:tcPr>
            <w:tcW w:w="965"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 xml:space="preserve">4253.37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exact"/>
          <w:jc w:val="center"/>
        </w:trPr>
        <w:tc>
          <w:tcPr>
            <w:tcW w:w="570"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38</w:t>
            </w:r>
          </w:p>
        </w:tc>
        <w:tc>
          <w:tcPr>
            <w:tcW w:w="1694"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绿枫养猪场</w:t>
            </w:r>
          </w:p>
        </w:tc>
        <w:tc>
          <w:tcPr>
            <w:tcW w:w="1060"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4200</w:t>
            </w:r>
          </w:p>
        </w:tc>
        <w:tc>
          <w:tcPr>
            <w:tcW w:w="939" w:type="dxa"/>
            <w:noWrap/>
            <w:vAlign w:val="center"/>
          </w:tcPr>
          <w:p>
            <w:pPr>
              <w:keepNext w:val="0"/>
              <w:keepLines w:val="0"/>
              <w:pageBreakBefore w:val="0"/>
              <w:kinsoku/>
              <w:wordWrap/>
              <w:overflowPunct/>
              <w:topLinePunct w:val="0"/>
              <w:autoSpaceDE/>
              <w:autoSpaceDN/>
              <w:bidi w:val="0"/>
              <w:adjustRightInd/>
              <w:snapToGrid/>
              <w:spacing w:line="220" w:lineRule="exact"/>
              <w:jc w:val="center"/>
              <w:rPr>
                <w:rFonts w:hint="eastAsia" w:ascii="宋体" w:hAnsi="宋体" w:eastAsia="宋体" w:cs="宋体"/>
                <w:i w:val="0"/>
                <w:iCs w:val="0"/>
                <w:color w:val="000000"/>
                <w:sz w:val="20"/>
                <w:szCs w:val="20"/>
                <w:highlight w:val="none"/>
                <w:u w:val="none"/>
              </w:rPr>
            </w:pPr>
          </w:p>
        </w:tc>
        <w:tc>
          <w:tcPr>
            <w:tcW w:w="892"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1350</w:t>
            </w:r>
          </w:p>
        </w:tc>
        <w:tc>
          <w:tcPr>
            <w:tcW w:w="1077" w:type="dxa"/>
            <w:noWrap/>
            <w:vAlign w:val="center"/>
          </w:tcPr>
          <w:p>
            <w:pPr>
              <w:keepNext w:val="0"/>
              <w:keepLines w:val="0"/>
              <w:pageBreakBefore w:val="0"/>
              <w:kinsoku/>
              <w:wordWrap/>
              <w:overflowPunct/>
              <w:topLinePunct w:val="0"/>
              <w:autoSpaceDE/>
              <w:autoSpaceDN/>
              <w:bidi w:val="0"/>
              <w:adjustRightInd/>
              <w:snapToGrid/>
              <w:spacing w:line="220" w:lineRule="exact"/>
              <w:jc w:val="center"/>
              <w:rPr>
                <w:rFonts w:hint="eastAsia" w:ascii="宋体" w:hAnsi="宋体" w:eastAsia="宋体" w:cs="宋体"/>
                <w:i w:val="0"/>
                <w:iCs w:val="0"/>
                <w:color w:val="000000"/>
                <w:sz w:val="20"/>
                <w:szCs w:val="20"/>
                <w:highlight w:val="none"/>
                <w:u w:val="none"/>
              </w:rPr>
            </w:pPr>
          </w:p>
        </w:tc>
        <w:tc>
          <w:tcPr>
            <w:tcW w:w="1231"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固体粪污和液体粪污</w:t>
            </w:r>
          </w:p>
        </w:tc>
        <w:tc>
          <w:tcPr>
            <w:tcW w:w="960"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还田利用</w:t>
            </w:r>
          </w:p>
        </w:tc>
        <w:tc>
          <w:tcPr>
            <w:tcW w:w="1021"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 xml:space="preserve">4106.25 </w:t>
            </w:r>
          </w:p>
        </w:tc>
        <w:tc>
          <w:tcPr>
            <w:tcW w:w="965"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 xml:space="preserve">3889.47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exact"/>
          <w:jc w:val="center"/>
        </w:trPr>
        <w:tc>
          <w:tcPr>
            <w:tcW w:w="570"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39</w:t>
            </w:r>
          </w:p>
        </w:tc>
        <w:tc>
          <w:tcPr>
            <w:tcW w:w="1694"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虹翔肉鸡场</w:t>
            </w:r>
          </w:p>
        </w:tc>
        <w:tc>
          <w:tcPr>
            <w:tcW w:w="1060"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200</w:t>
            </w:r>
          </w:p>
        </w:tc>
        <w:tc>
          <w:tcPr>
            <w:tcW w:w="939" w:type="dxa"/>
            <w:noWrap/>
            <w:vAlign w:val="center"/>
          </w:tcPr>
          <w:p>
            <w:pPr>
              <w:keepNext w:val="0"/>
              <w:keepLines w:val="0"/>
              <w:pageBreakBefore w:val="0"/>
              <w:kinsoku/>
              <w:wordWrap/>
              <w:overflowPunct/>
              <w:topLinePunct w:val="0"/>
              <w:autoSpaceDE/>
              <w:autoSpaceDN/>
              <w:bidi w:val="0"/>
              <w:adjustRightInd/>
              <w:snapToGrid/>
              <w:spacing w:line="220" w:lineRule="exact"/>
              <w:jc w:val="center"/>
              <w:rPr>
                <w:rFonts w:hint="eastAsia" w:ascii="宋体" w:hAnsi="宋体" w:eastAsia="宋体" w:cs="宋体"/>
                <w:i w:val="0"/>
                <w:iCs w:val="0"/>
                <w:color w:val="000000"/>
                <w:sz w:val="20"/>
                <w:szCs w:val="20"/>
                <w:highlight w:val="none"/>
                <w:u w:val="none"/>
              </w:rPr>
            </w:pPr>
          </w:p>
        </w:tc>
        <w:tc>
          <w:tcPr>
            <w:tcW w:w="892"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600</w:t>
            </w:r>
          </w:p>
        </w:tc>
        <w:tc>
          <w:tcPr>
            <w:tcW w:w="1077" w:type="dxa"/>
            <w:noWrap/>
            <w:vAlign w:val="center"/>
          </w:tcPr>
          <w:p>
            <w:pPr>
              <w:keepNext w:val="0"/>
              <w:keepLines w:val="0"/>
              <w:pageBreakBefore w:val="0"/>
              <w:kinsoku/>
              <w:wordWrap/>
              <w:overflowPunct/>
              <w:topLinePunct w:val="0"/>
              <w:autoSpaceDE/>
              <w:autoSpaceDN/>
              <w:bidi w:val="0"/>
              <w:adjustRightInd/>
              <w:snapToGrid/>
              <w:spacing w:line="220" w:lineRule="exact"/>
              <w:jc w:val="center"/>
              <w:rPr>
                <w:rFonts w:hint="eastAsia" w:ascii="宋体" w:hAnsi="宋体" w:eastAsia="宋体" w:cs="宋体"/>
                <w:i w:val="0"/>
                <w:iCs w:val="0"/>
                <w:color w:val="000000"/>
                <w:sz w:val="20"/>
                <w:szCs w:val="20"/>
                <w:highlight w:val="none"/>
                <w:u w:val="none"/>
              </w:rPr>
            </w:pPr>
          </w:p>
        </w:tc>
        <w:tc>
          <w:tcPr>
            <w:tcW w:w="1231"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固体粪污和液体粪污</w:t>
            </w:r>
          </w:p>
        </w:tc>
        <w:tc>
          <w:tcPr>
            <w:tcW w:w="960"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还田利用</w:t>
            </w:r>
          </w:p>
        </w:tc>
        <w:tc>
          <w:tcPr>
            <w:tcW w:w="1021"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 xml:space="preserve">5256.00 </w:t>
            </w:r>
          </w:p>
        </w:tc>
        <w:tc>
          <w:tcPr>
            <w:tcW w:w="965"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 xml:space="preserve">4174.28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exact"/>
          <w:jc w:val="center"/>
        </w:trPr>
        <w:tc>
          <w:tcPr>
            <w:tcW w:w="570"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40</w:t>
            </w:r>
          </w:p>
        </w:tc>
        <w:tc>
          <w:tcPr>
            <w:tcW w:w="1694"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本溪泰鹆牧业有限公司</w:t>
            </w:r>
          </w:p>
        </w:tc>
        <w:tc>
          <w:tcPr>
            <w:tcW w:w="1060" w:type="dxa"/>
            <w:noWrap/>
            <w:vAlign w:val="center"/>
          </w:tcPr>
          <w:p>
            <w:pPr>
              <w:keepNext w:val="0"/>
              <w:keepLines w:val="0"/>
              <w:pageBreakBefore w:val="0"/>
              <w:kinsoku/>
              <w:wordWrap/>
              <w:overflowPunct/>
              <w:topLinePunct w:val="0"/>
              <w:autoSpaceDE/>
              <w:autoSpaceDN/>
              <w:bidi w:val="0"/>
              <w:adjustRightInd/>
              <w:snapToGrid/>
              <w:spacing w:line="220" w:lineRule="exact"/>
              <w:jc w:val="center"/>
              <w:rPr>
                <w:rFonts w:hint="eastAsia" w:ascii="宋体" w:hAnsi="宋体" w:eastAsia="宋体" w:cs="宋体"/>
                <w:i w:val="0"/>
                <w:iCs w:val="0"/>
                <w:color w:val="000000"/>
                <w:sz w:val="20"/>
                <w:szCs w:val="20"/>
                <w:highlight w:val="none"/>
                <w:u w:val="none"/>
              </w:rPr>
            </w:pPr>
          </w:p>
        </w:tc>
        <w:tc>
          <w:tcPr>
            <w:tcW w:w="939" w:type="dxa"/>
            <w:noWrap/>
            <w:vAlign w:val="center"/>
          </w:tcPr>
          <w:p>
            <w:pPr>
              <w:keepNext w:val="0"/>
              <w:keepLines w:val="0"/>
              <w:pageBreakBefore w:val="0"/>
              <w:kinsoku/>
              <w:wordWrap/>
              <w:overflowPunct/>
              <w:topLinePunct w:val="0"/>
              <w:autoSpaceDE/>
              <w:autoSpaceDN/>
              <w:bidi w:val="0"/>
              <w:adjustRightInd/>
              <w:snapToGrid/>
              <w:spacing w:line="220" w:lineRule="exact"/>
              <w:jc w:val="center"/>
              <w:rPr>
                <w:rFonts w:hint="eastAsia" w:ascii="宋体" w:hAnsi="宋体" w:eastAsia="宋体" w:cs="宋体"/>
                <w:i w:val="0"/>
                <w:iCs w:val="0"/>
                <w:color w:val="000000"/>
                <w:sz w:val="20"/>
                <w:szCs w:val="20"/>
                <w:highlight w:val="none"/>
                <w:u w:val="none"/>
              </w:rPr>
            </w:pPr>
          </w:p>
        </w:tc>
        <w:tc>
          <w:tcPr>
            <w:tcW w:w="892"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780</w:t>
            </w:r>
          </w:p>
        </w:tc>
        <w:tc>
          <w:tcPr>
            <w:tcW w:w="1077" w:type="dxa"/>
            <w:noWrap/>
            <w:vAlign w:val="center"/>
          </w:tcPr>
          <w:p>
            <w:pPr>
              <w:keepNext w:val="0"/>
              <w:keepLines w:val="0"/>
              <w:pageBreakBefore w:val="0"/>
              <w:kinsoku/>
              <w:wordWrap/>
              <w:overflowPunct/>
              <w:topLinePunct w:val="0"/>
              <w:autoSpaceDE/>
              <w:autoSpaceDN/>
              <w:bidi w:val="0"/>
              <w:adjustRightInd/>
              <w:snapToGrid/>
              <w:spacing w:line="220" w:lineRule="exact"/>
              <w:jc w:val="center"/>
              <w:rPr>
                <w:rFonts w:hint="eastAsia" w:ascii="宋体" w:hAnsi="宋体" w:eastAsia="宋体" w:cs="宋体"/>
                <w:i w:val="0"/>
                <w:iCs w:val="0"/>
                <w:color w:val="000000"/>
                <w:sz w:val="20"/>
                <w:szCs w:val="20"/>
                <w:highlight w:val="none"/>
                <w:u w:val="none"/>
              </w:rPr>
            </w:pPr>
          </w:p>
        </w:tc>
        <w:tc>
          <w:tcPr>
            <w:tcW w:w="1231"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固体粪污</w:t>
            </w:r>
          </w:p>
        </w:tc>
        <w:tc>
          <w:tcPr>
            <w:tcW w:w="960"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还田利用</w:t>
            </w:r>
          </w:p>
        </w:tc>
        <w:tc>
          <w:tcPr>
            <w:tcW w:w="1021"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 xml:space="preserve">876.00 </w:t>
            </w:r>
          </w:p>
        </w:tc>
        <w:tc>
          <w:tcPr>
            <w:tcW w:w="965"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 xml:space="preserve">874.57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9" w:hRule="exact"/>
          <w:jc w:val="center"/>
        </w:trPr>
        <w:tc>
          <w:tcPr>
            <w:tcW w:w="570"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41</w:t>
            </w:r>
          </w:p>
        </w:tc>
        <w:tc>
          <w:tcPr>
            <w:tcW w:w="1694"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本溪满族自治县小市镇鑫宇猪场</w:t>
            </w:r>
          </w:p>
        </w:tc>
        <w:tc>
          <w:tcPr>
            <w:tcW w:w="1060"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1848</w:t>
            </w:r>
          </w:p>
        </w:tc>
        <w:tc>
          <w:tcPr>
            <w:tcW w:w="939" w:type="dxa"/>
            <w:noWrap/>
            <w:vAlign w:val="center"/>
          </w:tcPr>
          <w:p>
            <w:pPr>
              <w:keepNext w:val="0"/>
              <w:keepLines w:val="0"/>
              <w:pageBreakBefore w:val="0"/>
              <w:kinsoku/>
              <w:wordWrap/>
              <w:overflowPunct/>
              <w:topLinePunct w:val="0"/>
              <w:autoSpaceDE/>
              <w:autoSpaceDN/>
              <w:bidi w:val="0"/>
              <w:adjustRightInd/>
              <w:snapToGrid/>
              <w:spacing w:line="220" w:lineRule="exact"/>
              <w:jc w:val="center"/>
              <w:rPr>
                <w:rFonts w:hint="eastAsia" w:ascii="宋体" w:hAnsi="宋体" w:eastAsia="宋体" w:cs="宋体"/>
                <w:i w:val="0"/>
                <w:iCs w:val="0"/>
                <w:color w:val="000000"/>
                <w:sz w:val="20"/>
                <w:szCs w:val="20"/>
                <w:highlight w:val="none"/>
                <w:u w:val="none"/>
              </w:rPr>
            </w:pPr>
          </w:p>
        </w:tc>
        <w:tc>
          <w:tcPr>
            <w:tcW w:w="892"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400</w:t>
            </w:r>
          </w:p>
        </w:tc>
        <w:tc>
          <w:tcPr>
            <w:tcW w:w="1077" w:type="dxa"/>
            <w:noWrap/>
            <w:vAlign w:val="center"/>
          </w:tcPr>
          <w:p>
            <w:pPr>
              <w:keepNext w:val="0"/>
              <w:keepLines w:val="0"/>
              <w:pageBreakBefore w:val="0"/>
              <w:kinsoku/>
              <w:wordWrap/>
              <w:overflowPunct/>
              <w:topLinePunct w:val="0"/>
              <w:autoSpaceDE/>
              <w:autoSpaceDN/>
              <w:bidi w:val="0"/>
              <w:adjustRightInd/>
              <w:snapToGrid/>
              <w:spacing w:line="220" w:lineRule="exact"/>
              <w:jc w:val="center"/>
              <w:rPr>
                <w:rFonts w:hint="eastAsia" w:ascii="宋体" w:hAnsi="宋体" w:eastAsia="宋体" w:cs="宋体"/>
                <w:i w:val="0"/>
                <w:iCs w:val="0"/>
                <w:color w:val="000000"/>
                <w:sz w:val="20"/>
                <w:szCs w:val="20"/>
                <w:highlight w:val="none"/>
                <w:u w:val="none"/>
              </w:rPr>
            </w:pPr>
          </w:p>
        </w:tc>
        <w:tc>
          <w:tcPr>
            <w:tcW w:w="1231"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固体粪污和液体粪污</w:t>
            </w:r>
          </w:p>
        </w:tc>
        <w:tc>
          <w:tcPr>
            <w:tcW w:w="960"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还田利用</w:t>
            </w:r>
          </w:p>
        </w:tc>
        <w:tc>
          <w:tcPr>
            <w:tcW w:w="1021"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 xml:space="preserve">2737.51 </w:t>
            </w:r>
          </w:p>
        </w:tc>
        <w:tc>
          <w:tcPr>
            <w:tcW w:w="965"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 xml:space="preserve">2577.15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exact"/>
          <w:jc w:val="center"/>
        </w:trPr>
        <w:tc>
          <w:tcPr>
            <w:tcW w:w="570"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42</w:t>
            </w:r>
          </w:p>
        </w:tc>
        <w:tc>
          <w:tcPr>
            <w:tcW w:w="1694"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向前种猪场</w:t>
            </w:r>
          </w:p>
        </w:tc>
        <w:tc>
          <w:tcPr>
            <w:tcW w:w="1060"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3135</w:t>
            </w:r>
          </w:p>
        </w:tc>
        <w:tc>
          <w:tcPr>
            <w:tcW w:w="939" w:type="dxa"/>
            <w:noWrap/>
            <w:vAlign w:val="center"/>
          </w:tcPr>
          <w:p>
            <w:pPr>
              <w:keepNext w:val="0"/>
              <w:keepLines w:val="0"/>
              <w:pageBreakBefore w:val="0"/>
              <w:kinsoku/>
              <w:wordWrap/>
              <w:overflowPunct/>
              <w:topLinePunct w:val="0"/>
              <w:autoSpaceDE/>
              <w:autoSpaceDN/>
              <w:bidi w:val="0"/>
              <w:adjustRightInd/>
              <w:snapToGrid/>
              <w:spacing w:line="220" w:lineRule="exact"/>
              <w:jc w:val="center"/>
              <w:rPr>
                <w:rFonts w:hint="eastAsia" w:ascii="宋体" w:hAnsi="宋体" w:eastAsia="宋体" w:cs="宋体"/>
                <w:i w:val="0"/>
                <w:iCs w:val="0"/>
                <w:color w:val="000000"/>
                <w:sz w:val="20"/>
                <w:szCs w:val="20"/>
                <w:highlight w:val="none"/>
                <w:u w:val="none"/>
              </w:rPr>
            </w:pPr>
          </w:p>
        </w:tc>
        <w:tc>
          <w:tcPr>
            <w:tcW w:w="892"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600</w:t>
            </w:r>
          </w:p>
        </w:tc>
        <w:tc>
          <w:tcPr>
            <w:tcW w:w="1077" w:type="dxa"/>
            <w:noWrap/>
            <w:vAlign w:val="center"/>
          </w:tcPr>
          <w:p>
            <w:pPr>
              <w:keepNext w:val="0"/>
              <w:keepLines w:val="0"/>
              <w:pageBreakBefore w:val="0"/>
              <w:kinsoku/>
              <w:wordWrap/>
              <w:overflowPunct/>
              <w:topLinePunct w:val="0"/>
              <w:autoSpaceDE/>
              <w:autoSpaceDN/>
              <w:bidi w:val="0"/>
              <w:adjustRightInd/>
              <w:snapToGrid/>
              <w:spacing w:line="220" w:lineRule="exact"/>
              <w:jc w:val="center"/>
              <w:rPr>
                <w:rFonts w:hint="eastAsia" w:ascii="宋体" w:hAnsi="宋体" w:eastAsia="宋体" w:cs="宋体"/>
                <w:i w:val="0"/>
                <w:iCs w:val="0"/>
                <w:color w:val="000000"/>
                <w:sz w:val="20"/>
                <w:szCs w:val="20"/>
                <w:highlight w:val="none"/>
                <w:u w:val="none"/>
              </w:rPr>
            </w:pPr>
          </w:p>
        </w:tc>
        <w:tc>
          <w:tcPr>
            <w:tcW w:w="1231"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固体粪污和液体粪污</w:t>
            </w:r>
          </w:p>
        </w:tc>
        <w:tc>
          <w:tcPr>
            <w:tcW w:w="960"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还田利用</w:t>
            </w:r>
          </w:p>
        </w:tc>
        <w:tc>
          <w:tcPr>
            <w:tcW w:w="1021"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 xml:space="preserve">6672.20 </w:t>
            </w:r>
          </w:p>
        </w:tc>
        <w:tc>
          <w:tcPr>
            <w:tcW w:w="965"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 xml:space="preserve">5881.78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exact"/>
          <w:jc w:val="center"/>
        </w:trPr>
        <w:tc>
          <w:tcPr>
            <w:tcW w:w="570"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43</w:t>
            </w:r>
          </w:p>
        </w:tc>
        <w:tc>
          <w:tcPr>
            <w:tcW w:w="1694"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桓仁宝贵养猪场</w:t>
            </w:r>
          </w:p>
        </w:tc>
        <w:tc>
          <w:tcPr>
            <w:tcW w:w="1060"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1080</w:t>
            </w:r>
          </w:p>
        </w:tc>
        <w:tc>
          <w:tcPr>
            <w:tcW w:w="939" w:type="dxa"/>
            <w:noWrap/>
            <w:vAlign w:val="center"/>
          </w:tcPr>
          <w:p>
            <w:pPr>
              <w:keepNext w:val="0"/>
              <w:keepLines w:val="0"/>
              <w:pageBreakBefore w:val="0"/>
              <w:kinsoku/>
              <w:wordWrap/>
              <w:overflowPunct/>
              <w:topLinePunct w:val="0"/>
              <w:autoSpaceDE/>
              <w:autoSpaceDN/>
              <w:bidi w:val="0"/>
              <w:adjustRightInd/>
              <w:snapToGrid/>
              <w:spacing w:line="220" w:lineRule="exact"/>
              <w:jc w:val="center"/>
              <w:rPr>
                <w:rFonts w:hint="eastAsia" w:ascii="宋体" w:hAnsi="宋体" w:eastAsia="宋体" w:cs="宋体"/>
                <w:i w:val="0"/>
                <w:iCs w:val="0"/>
                <w:color w:val="000000"/>
                <w:sz w:val="20"/>
                <w:szCs w:val="20"/>
                <w:highlight w:val="none"/>
                <w:u w:val="none"/>
              </w:rPr>
            </w:pPr>
          </w:p>
        </w:tc>
        <w:tc>
          <w:tcPr>
            <w:tcW w:w="892"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190</w:t>
            </w:r>
          </w:p>
        </w:tc>
        <w:tc>
          <w:tcPr>
            <w:tcW w:w="1077" w:type="dxa"/>
            <w:noWrap/>
            <w:vAlign w:val="center"/>
          </w:tcPr>
          <w:p>
            <w:pPr>
              <w:keepNext w:val="0"/>
              <w:keepLines w:val="0"/>
              <w:pageBreakBefore w:val="0"/>
              <w:kinsoku/>
              <w:wordWrap/>
              <w:overflowPunct/>
              <w:topLinePunct w:val="0"/>
              <w:autoSpaceDE/>
              <w:autoSpaceDN/>
              <w:bidi w:val="0"/>
              <w:adjustRightInd/>
              <w:snapToGrid/>
              <w:spacing w:line="220" w:lineRule="exact"/>
              <w:jc w:val="center"/>
              <w:rPr>
                <w:rFonts w:hint="eastAsia" w:ascii="宋体" w:hAnsi="宋体" w:eastAsia="宋体" w:cs="宋体"/>
                <w:i w:val="0"/>
                <w:iCs w:val="0"/>
                <w:color w:val="000000"/>
                <w:sz w:val="20"/>
                <w:szCs w:val="20"/>
                <w:highlight w:val="none"/>
                <w:u w:val="none"/>
              </w:rPr>
            </w:pPr>
          </w:p>
        </w:tc>
        <w:tc>
          <w:tcPr>
            <w:tcW w:w="1231"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固体粪污和液体粪污</w:t>
            </w:r>
          </w:p>
        </w:tc>
        <w:tc>
          <w:tcPr>
            <w:tcW w:w="960"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还田利用</w:t>
            </w:r>
          </w:p>
        </w:tc>
        <w:tc>
          <w:tcPr>
            <w:tcW w:w="1021"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 xml:space="preserve">2190.00 </w:t>
            </w:r>
          </w:p>
        </w:tc>
        <w:tc>
          <w:tcPr>
            <w:tcW w:w="965"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 xml:space="preserve">1837.78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exact"/>
          <w:jc w:val="center"/>
        </w:trPr>
        <w:tc>
          <w:tcPr>
            <w:tcW w:w="570"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44</w:t>
            </w:r>
          </w:p>
        </w:tc>
        <w:tc>
          <w:tcPr>
            <w:tcW w:w="1694"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桓仁双利赢养殖场</w:t>
            </w:r>
          </w:p>
        </w:tc>
        <w:tc>
          <w:tcPr>
            <w:tcW w:w="1060" w:type="dxa"/>
            <w:noWrap/>
            <w:vAlign w:val="center"/>
          </w:tcPr>
          <w:p>
            <w:pPr>
              <w:keepNext w:val="0"/>
              <w:keepLines w:val="0"/>
              <w:pageBreakBefore w:val="0"/>
              <w:kinsoku/>
              <w:wordWrap/>
              <w:overflowPunct/>
              <w:topLinePunct w:val="0"/>
              <w:autoSpaceDE/>
              <w:autoSpaceDN/>
              <w:bidi w:val="0"/>
              <w:adjustRightInd/>
              <w:snapToGrid/>
              <w:spacing w:line="220" w:lineRule="exact"/>
              <w:jc w:val="center"/>
              <w:rPr>
                <w:rFonts w:hint="eastAsia" w:ascii="宋体" w:hAnsi="宋体" w:eastAsia="宋体" w:cs="宋体"/>
                <w:i w:val="0"/>
                <w:iCs w:val="0"/>
                <w:color w:val="000000"/>
                <w:sz w:val="20"/>
                <w:szCs w:val="20"/>
                <w:highlight w:val="none"/>
                <w:u w:val="none"/>
              </w:rPr>
            </w:pPr>
          </w:p>
        </w:tc>
        <w:tc>
          <w:tcPr>
            <w:tcW w:w="939" w:type="dxa"/>
            <w:noWrap/>
            <w:vAlign w:val="center"/>
          </w:tcPr>
          <w:p>
            <w:pPr>
              <w:keepNext w:val="0"/>
              <w:keepLines w:val="0"/>
              <w:pageBreakBefore w:val="0"/>
              <w:kinsoku/>
              <w:wordWrap/>
              <w:overflowPunct/>
              <w:topLinePunct w:val="0"/>
              <w:autoSpaceDE/>
              <w:autoSpaceDN/>
              <w:bidi w:val="0"/>
              <w:adjustRightInd/>
              <w:snapToGrid/>
              <w:spacing w:line="220" w:lineRule="exact"/>
              <w:jc w:val="center"/>
              <w:rPr>
                <w:rFonts w:hint="eastAsia" w:ascii="宋体" w:hAnsi="宋体" w:eastAsia="宋体" w:cs="宋体"/>
                <w:i w:val="0"/>
                <w:iCs w:val="0"/>
                <w:color w:val="000000"/>
                <w:sz w:val="20"/>
                <w:szCs w:val="20"/>
                <w:highlight w:val="none"/>
                <w:u w:val="none"/>
              </w:rPr>
            </w:pPr>
          </w:p>
        </w:tc>
        <w:tc>
          <w:tcPr>
            <w:tcW w:w="892"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400</w:t>
            </w:r>
          </w:p>
        </w:tc>
        <w:tc>
          <w:tcPr>
            <w:tcW w:w="1077" w:type="dxa"/>
            <w:noWrap/>
            <w:vAlign w:val="center"/>
          </w:tcPr>
          <w:p>
            <w:pPr>
              <w:keepNext w:val="0"/>
              <w:keepLines w:val="0"/>
              <w:pageBreakBefore w:val="0"/>
              <w:kinsoku/>
              <w:wordWrap/>
              <w:overflowPunct/>
              <w:topLinePunct w:val="0"/>
              <w:autoSpaceDE/>
              <w:autoSpaceDN/>
              <w:bidi w:val="0"/>
              <w:adjustRightInd/>
              <w:snapToGrid/>
              <w:spacing w:line="220" w:lineRule="exact"/>
              <w:jc w:val="center"/>
              <w:rPr>
                <w:rFonts w:hint="eastAsia" w:ascii="宋体" w:hAnsi="宋体" w:eastAsia="宋体" w:cs="宋体"/>
                <w:i w:val="0"/>
                <w:iCs w:val="0"/>
                <w:color w:val="000000"/>
                <w:sz w:val="20"/>
                <w:szCs w:val="20"/>
                <w:highlight w:val="none"/>
                <w:u w:val="none"/>
              </w:rPr>
            </w:pPr>
          </w:p>
        </w:tc>
        <w:tc>
          <w:tcPr>
            <w:tcW w:w="1231"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固体粪污</w:t>
            </w:r>
          </w:p>
        </w:tc>
        <w:tc>
          <w:tcPr>
            <w:tcW w:w="960"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还田利用</w:t>
            </w:r>
          </w:p>
        </w:tc>
        <w:tc>
          <w:tcPr>
            <w:tcW w:w="1021"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 xml:space="preserve">1752.00 </w:t>
            </w:r>
          </w:p>
        </w:tc>
        <w:tc>
          <w:tcPr>
            <w:tcW w:w="965"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 xml:space="preserve">1437.54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7" w:hRule="exact"/>
          <w:jc w:val="center"/>
        </w:trPr>
        <w:tc>
          <w:tcPr>
            <w:tcW w:w="570"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45</w:t>
            </w:r>
          </w:p>
        </w:tc>
        <w:tc>
          <w:tcPr>
            <w:tcW w:w="1694"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桓仁满族自治县鞠家蛋鸡养殖场</w:t>
            </w:r>
          </w:p>
        </w:tc>
        <w:tc>
          <w:tcPr>
            <w:tcW w:w="1060" w:type="dxa"/>
            <w:noWrap/>
            <w:vAlign w:val="center"/>
          </w:tcPr>
          <w:p>
            <w:pPr>
              <w:keepNext w:val="0"/>
              <w:keepLines w:val="0"/>
              <w:pageBreakBefore w:val="0"/>
              <w:kinsoku/>
              <w:wordWrap/>
              <w:overflowPunct/>
              <w:topLinePunct w:val="0"/>
              <w:autoSpaceDE/>
              <w:autoSpaceDN/>
              <w:bidi w:val="0"/>
              <w:adjustRightInd/>
              <w:snapToGrid/>
              <w:spacing w:line="220" w:lineRule="exact"/>
              <w:jc w:val="center"/>
              <w:rPr>
                <w:rFonts w:hint="eastAsia" w:ascii="宋体" w:hAnsi="宋体" w:eastAsia="宋体" w:cs="宋体"/>
                <w:i w:val="0"/>
                <w:iCs w:val="0"/>
                <w:color w:val="000000"/>
                <w:sz w:val="20"/>
                <w:szCs w:val="20"/>
                <w:highlight w:val="none"/>
                <w:u w:val="none"/>
              </w:rPr>
            </w:pPr>
          </w:p>
        </w:tc>
        <w:tc>
          <w:tcPr>
            <w:tcW w:w="939" w:type="dxa"/>
            <w:noWrap/>
            <w:vAlign w:val="center"/>
          </w:tcPr>
          <w:p>
            <w:pPr>
              <w:keepNext w:val="0"/>
              <w:keepLines w:val="0"/>
              <w:pageBreakBefore w:val="0"/>
              <w:kinsoku/>
              <w:wordWrap/>
              <w:overflowPunct/>
              <w:topLinePunct w:val="0"/>
              <w:autoSpaceDE/>
              <w:autoSpaceDN/>
              <w:bidi w:val="0"/>
              <w:adjustRightInd/>
              <w:snapToGrid/>
              <w:spacing w:line="220" w:lineRule="exact"/>
              <w:jc w:val="center"/>
              <w:rPr>
                <w:rFonts w:hint="eastAsia" w:ascii="宋体" w:hAnsi="宋体" w:eastAsia="宋体" w:cs="宋体"/>
                <w:i w:val="0"/>
                <w:iCs w:val="0"/>
                <w:color w:val="000000"/>
                <w:sz w:val="20"/>
                <w:szCs w:val="20"/>
                <w:highlight w:val="none"/>
                <w:u w:val="none"/>
              </w:rPr>
            </w:pPr>
          </w:p>
        </w:tc>
        <w:tc>
          <w:tcPr>
            <w:tcW w:w="892"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350</w:t>
            </w:r>
          </w:p>
        </w:tc>
        <w:tc>
          <w:tcPr>
            <w:tcW w:w="1077" w:type="dxa"/>
            <w:noWrap/>
            <w:vAlign w:val="center"/>
          </w:tcPr>
          <w:p>
            <w:pPr>
              <w:keepNext w:val="0"/>
              <w:keepLines w:val="0"/>
              <w:pageBreakBefore w:val="0"/>
              <w:kinsoku/>
              <w:wordWrap/>
              <w:overflowPunct/>
              <w:topLinePunct w:val="0"/>
              <w:autoSpaceDE/>
              <w:autoSpaceDN/>
              <w:bidi w:val="0"/>
              <w:adjustRightInd/>
              <w:snapToGrid/>
              <w:spacing w:line="220" w:lineRule="exact"/>
              <w:jc w:val="center"/>
              <w:rPr>
                <w:rFonts w:hint="eastAsia" w:ascii="宋体" w:hAnsi="宋体" w:eastAsia="宋体" w:cs="宋体"/>
                <w:i w:val="0"/>
                <w:iCs w:val="0"/>
                <w:color w:val="000000"/>
                <w:sz w:val="20"/>
                <w:szCs w:val="20"/>
                <w:highlight w:val="none"/>
                <w:u w:val="none"/>
              </w:rPr>
            </w:pPr>
          </w:p>
        </w:tc>
        <w:tc>
          <w:tcPr>
            <w:tcW w:w="1231"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固体粪污</w:t>
            </w:r>
          </w:p>
        </w:tc>
        <w:tc>
          <w:tcPr>
            <w:tcW w:w="960"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还田利用</w:t>
            </w:r>
          </w:p>
        </w:tc>
        <w:tc>
          <w:tcPr>
            <w:tcW w:w="1021"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 xml:space="preserve">584.00 </w:t>
            </w:r>
          </w:p>
        </w:tc>
        <w:tc>
          <w:tcPr>
            <w:tcW w:w="965"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 xml:space="preserve">531.70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exact"/>
          <w:jc w:val="center"/>
        </w:trPr>
        <w:tc>
          <w:tcPr>
            <w:tcW w:w="570"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46</w:t>
            </w:r>
          </w:p>
        </w:tc>
        <w:tc>
          <w:tcPr>
            <w:tcW w:w="1694"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桓仁向阳乡盛鑫养猪场</w:t>
            </w:r>
          </w:p>
        </w:tc>
        <w:tc>
          <w:tcPr>
            <w:tcW w:w="1060"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500</w:t>
            </w:r>
          </w:p>
        </w:tc>
        <w:tc>
          <w:tcPr>
            <w:tcW w:w="939" w:type="dxa"/>
            <w:noWrap/>
            <w:vAlign w:val="center"/>
          </w:tcPr>
          <w:p>
            <w:pPr>
              <w:keepNext w:val="0"/>
              <w:keepLines w:val="0"/>
              <w:pageBreakBefore w:val="0"/>
              <w:kinsoku/>
              <w:wordWrap/>
              <w:overflowPunct/>
              <w:topLinePunct w:val="0"/>
              <w:autoSpaceDE/>
              <w:autoSpaceDN/>
              <w:bidi w:val="0"/>
              <w:adjustRightInd/>
              <w:snapToGrid/>
              <w:spacing w:line="220" w:lineRule="exact"/>
              <w:jc w:val="center"/>
              <w:rPr>
                <w:rFonts w:hint="eastAsia" w:ascii="宋体" w:hAnsi="宋体" w:eastAsia="宋体" w:cs="宋体"/>
                <w:i w:val="0"/>
                <w:iCs w:val="0"/>
                <w:color w:val="000000"/>
                <w:sz w:val="20"/>
                <w:szCs w:val="20"/>
                <w:highlight w:val="none"/>
                <w:u w:val="none"/>
              </w:rPr>
            </w:pPr>
          </w:p>
        </w:tc>
        <w:tc>
          <w:tcPr>
            <w:tcW w:w="892"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110</w:t>
            </w:r>
          </w:p>
        </w:tc>
        <w:tc>
          <w:tcPr>
            <w:tcW w:w="1077" w:type="dxa"/>
            <w:noWrap/>
            <w:vAlign w:val="center"/>
          </w:tcPr>
          <w:p>
            <w:pPr>
              <w:keepNext w:val="0"/>
              <w:keepLines w:val="0"/>
              <w:pageBreakBefore w:val="0"/>
              <w:kinsoku/>
              <w:wordWrap/>
              <w:overflowPunct/>
              <w:topLinePunct w:val="0"/>
              <w:autoSpaceDE/>
              <w:autoSpaceDN/>
              <w:bidi w:val="0"/>
              <w:adjustRightInd/>
              <w:snapToGrid/>
              <w:spacing w:line="220" w:lineRule="exact"/>
              <w:jc w:val="center"/>
              <w:rPr>
                <w:rFonts w:hint="eastAsia" w:ascii="宋体" w:hAnsi="宋体" w:eastAsia="宋体" w:cs="宋体"/>
                <w:i w:val="0"/>
                <w:iCs w:val="0"/>
                <w:color w:val="000000"/>
                <w:sz w:val="20"/>
                <w:szCs w:val="20"/>
                <w:highlight w:val="none"/>
                <w:u w:val="none"/>
              </w:rPr>
            </w:pPr>
          </w:p>
        </w:tc>
        <w:tc>
          <w:tcPr>
            <w:tcW w:w="1231"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固体粪污和液体粪污</w:t>
            </w:r>
          </w:p>
        </w:tc>
        <w:tc>
          <w:tcPr>
            <w:tcW w:w="960"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还田利用</w:t>
            </w:r>
          </w:p>
        </w:tc>
        <w:tc>
          <w:tcPr>
            <w:tcW w:w="1021"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 xml:space="preserve">43.80 </w:t>
            </w:r>
          </w:p>
        </w:tc>
        <w:tc>
          <w:tcPr>
            <w:tcW w:w="965"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 xml:space="preserve">39.40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5" w:hRule="exact"/>
          <w:jc w:val="center"/>
        </w:trPr>
        <w:tc>
          <w:tcPr>
            <w:tcW w:w="570"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47</w:t>
            </w:r>
          </w:p>
        </w:tc>
        <w:tc>
          <w:tcPr>
            <w:tcW w:w="1694"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桓仁满族自治县国彬鸡场（个体工商户）</w:t>
            </w:r>
          </w:p>
        </w:tc>
        <w:tc>
          <w:tcPr>
            <w:tcW w:w="1060" w:type="dxa"/>
            <w:noWrap/>
            <w:vAlign w:val="center"/>
          </w:tcPr>
          <w:p>
            <w:pPr>
              <w:keepNext w:val="0"/>
              <w:keepLines w:val="0"/>
              <w:pageBreakBefore w:val="0"/>
              <w:kinsoku/>
              <w:wordWrap/>
              <w:overflowPunct/>
              <w:topLinePunct w:val="0"/>
              <w:autoSpaceDE/>
              <w:autoSpaceDN/>
              <w:bidi w:val="0"/>
              <w:adjustRightInd/>
              <w:snapToGrid/>
              <w:spacing w:line="220" w:lineRule="exact"/>
              <w:jc w:val="center"/>
              <w:rPr>
                <w:rFonts w:hint="eastAsia" w:ascii="宋体" w:hAnsi="宋体" w:eastAsia="宋体" w:cs="宋体"/>
                <w:i w:val="0"/>
                <w:iCs w:val="0"/>
                <w:color w:val="000000"/>
                <w:sz w:val="20"/>
                <w:szCs w:val="20"/>
                <w:highlight w:val="none"/>
                <w:u w:val="none"/>
              </w:rPr>
            </w:pPr>
          </w:p>
        </w:tc>
        <w:tc>
          <w:tcPr>
            <w:tcW w:w="939" w:type="dxa"/>
            <w:noWrap/>
            <w:vAlign w:val="center"/>
          </w:tcPr>
          <w:p>
            <w:pPr>
              <w:keepNext w:val="0"/>
              <w:keepLines w:val="0"/>
              <w:pageBreakBefore w:val="0"/>
              <w:kinsoku/>
              <w:wordWrap/>
              <w:overflowPunct/>
              <w:topLinePunct w:val="0"/>
              <w:autoSpaceDE/>
              <w:autoSpaceDN/>
              <w:bidi w:val="0"/>
              <w:adjustRightInd/>
              <w:snapToGrid/>
              <w:spacing w:line="220" w:lineRule="exact"/>
              <w:jc w:val="center"/>
              <w:rPr>
                <w:rFonts w:hint="eastAsia" w:ascii="宋体" w:hAnsi="宋体" w:eastAsia="宋体" w:cs="宋体"/>
                <w:i w:val="0"/>
                <w:iCs w:val="0"/>
                <w:color w:val="000000"/>
                <w:sz w:val="20"/>
                <w:szCs w:val="20"/>
                <w:highlight w:val="none"/>
                <w:u w:val="none"/>
              </w:rPr>
            </w:pPr>
          </w:p>
        </w:tc>
        <w:tc>
          <w:tcPr>
            <w:tcW w:w="892"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300</w:t>
            </w:r>
          </w:p>
        </w:tc>
        <w:tc>
          <w:tcPr>
            <w:tcW w:w="1077" w:type="dxa"/>
            <w:noWrap/>
            <w:vAlign w:val="center"/>
          </w:tcPr>
          <w:p>
            <w:pPr>
              <w:keepNext w:val="0"/>
              <w:keepLines w:val="0"/>
              <w:pageBreakBefore w:val="0"/>
              <w:kinsoku/>
              <w:wordWrap/>
              <w:overflowPunct/>
              <w:topLinePunct w:val="0"/>
              <w:autoSpaceDE/>
              <w:autoSpaceDN/>
              <w:bidi w:val="0"/>
              <w:adjustRightInd/>
              <w:snapToGrid/>
              <w:spacing w:line="220" w:lineRule="exact"/>
              <w:jc w:val="center"/>
              <w:rPr>
                <w:rFonts w:hint="eastAsia" w:ascii="宋体" w:hAnsi="宋体" w:eastAsia="宋体" w:cs="宋体"/>
                <w:i w:val="0"/>
                <w:iCs w:val="0"/>
                <w:color w:val="000000"/>
                <w:sz w:val="20"/>
                <w:szCs w:val="20"/>
                <w:highlight w:val="none"/>
                <w:u w:val="none"/>
              </w:rPr>
            </w:pPr>
          </w:p>
        </w:tc>
        <w:tc>
          <w:tcPr>
            <w:tcW w:w="1231"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固体粪污</w:t>
            </w:r>
          </w:p>
        </w:tc>
        <w:tc>
          <w:tcPr>
            <w:tcW w:w="960"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还田利用</w:t>
            </w:r>
          </w:p>
        </w:tc>
        <w:tc>
          <w:tcPr>
            <w:tcW w:w="1021"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 xml:space="preserve">467.20 </w:t>
            </w:r>
          </w:p>
        </w:tc>
        <w:tc>
          <w:tcPr>
            <w:tcW w:w="965"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 xml:space="preserve">467.20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exact"/>
          <w:jc w:val="center"/>
        </w:trPr>
        <w:tc>
          <w:tcPr>
            <w:tcW w:w="570"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48</w:t>
            </w:r>
          </w:p>
        </w:tc>
        <w:tc>
          <w:tcPr>
            <w:tcW w:w="1694"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桓仁庆刚养牛场</w:t>
            </w:r>
          </w:p>
        </w:tc>
        <w:tc>
          <w:tcPr>
            <w:tcW w:w="1060" w:type="dxa"/>
            <w:noWrap/>
            <w:vAlign w:val="center"/>
          </w:tcPr>
          <w:p>
            <w:pPr>
              <w:keepNext w:val="0"/>
              <w:keepLines w:val="0"/>
              <w:pageBreakBefore w:val="0"/>
              <w:kinsoku/>
              <w:wordWrap/>
              <w:overflowPunct/>
              <w:topLinePunct w:val="0"/>
              <w:autoSpaceDE/>
              <w:autoSpaceDN/>
              <w:bidi w:val="0"/>
              <w:adjustRightInd/>
              <w:snapToGrid/>
              <w:spacing w:line="220" w:lineRule="exact"/>
              <w:jc w:val="center"/>
              <w:rPr>
                <w:rFonts w:hint="eastAsia" w:ascii="宋体" w:hAnsi="宋体" w:eastAsia="宋体" w:cs="宋体"/>
                <w:i w:val="0"/>
                <w:iCs w:val="0"/>
                <w:color w:val="000000"/>
                <w:sz w:val="20"/>
                <w:szCs w:val="20"/>
                <w:highlight w:val="none"/>
                <w:u w:val="none"/>
              </w:rPr>
            </w:pPr>
          </w:p>
        </w:tc>
        <w:tc>
          <w:tcPr>
            <w:tcW w:w="939" w:type="dxa"/>
            <w:noWrap/>
            <w:vAlign w:val="center"/>
          </w:tcPr>
          <w:p>
            <w:pPr>
              <w:keepNext w:val="0"/>
              <w:keepLines w:val="0"/>
              <w:pageBreakBefore w:val="0"/>
              <w:kinsoku/>
              <w:wordWrap/>
              <w:overflowPunct/>
              <w:topLinePunct w:val="0"/>
              <w:autoSpaceDE/>
              <w:autoSpaceDN/>
              <w:bidi w:val="0"/>
              <w:adjustRightInd/>
              <w:snapToGrid/>
              <w:spacing w:line="220" w:lineRule="exact"/>
              <w:jc w:val="center"/>
              <w:rPr>
                <w:rFonts w:hint="eastAsia" w:ascii="宋体" w:hAnsi="宋体" w:eastAsia="宋体" w:cs="宋体"/>
                <w:i w:val="0"/>
                <w:iCs w:val="0"/>
                <w:color w:val="000000"/>
                <w:sz w:val="20"/>
                <w:szCs w:val="20"/>
                <w:highlight w:val="none"/>
                <w:u w:val="none"/>
              </w:rPr>
            </w:pPr>
          </w:p>
        </w:tc>
        <w:tc>
          <w:tcPr>
            <w:tcW w:w="892"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470</w:t>
            </w:r>
          </w:p>
        </w:tc>
        <w:tc>
          <w:tcPr>
            <w:tcW w:w="1077" w:type="dxa"/>
            <w:noWrap/>
            <w:vAlign w:val="center"/>
          </w:tcPr>
          <w:p>
            <w:pPr>
              <w:keepNext w:val="0"/>
              <w:keepLines w:val="0"/>
              <w:pageBreakBefore w:val="0"/>
              <w:kinsoku/>
              <w:wordWrap/>
              <w:overflowPunct/>
              <w:topLinePunct w:val="0"/>
              <w:autoSpaceDE/>
              <w:autoSpaceDN/>
              <w:bidi w:val="0"/>
              <w:adjustRightInd/>
              <w:snapToGrid/>
              <w:spacing w:line="220" w:lineRule="exact"/>
              <w:jc w:val="center"/>
              <w:rPr>
                <w:rFonts w:hint="eastAsia" w:ascii="宋体" w:hAnsi="宋体" w:eastAsia="宋体" w:cs="宋体"/>
                <w:i w:val="0"/>
                <w:iCs w:val="0"/>
                <w:color w:val="000000"/>
                <w:sz w:val="20"/>
                <w:szCs w:val="20"/>
                <w:highlight w:val="none"/>
                <w:u w:val="none"/>
              </w:rPr>
            </w:pPr>
          </w:p>
        </w:tc>
        <w:tc>
          <w:tcPr>
            <w:tcW w:w="1231"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固体粪污</w:t>
            </w:r>
          </w:p>
        </w:tc>
        <w:tc>
          <w:tcPr>
            <w:tcW w:w="960"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还田利用</w:t>
            </w:r>
          </w:p>
        </w:tc>
        <w:tc>
          <w:tcPr>
            <w:tcW w:w="1021"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 xml:space="preserve">1368.75 </w:t>
            </w:r>
          </w:p>
        </w:tc>
        <w:tc>
          <w:tcPr>
            <w:tcW w:w="965"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 xml:space="preserve">1206.06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1" w:hRule="exact"/>
          <w:jc w:val="center"/>
        </w:trPr>
        <w:tc>
          <w:tcPr>
            <w:tcW w:w="570"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49</w:t>
            </w:r>
          </w:p>
        </w:tc>
        <w:tc>
          <w:tcPr>
            <w:tcW w:w="1694"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桓仁满族自治县日博养猪场（个体工商户）</w:t>
            </w:r>
          </w:p>
        </w:tc>
        <w:tc>
          <w:tcPr>
            <w:tcW w:w="1060" w:type="dxa"/>
            <w:noWrap/>
            <w:vAlign w:val="center"/>
          </w:tcPr>
          <w:p>
            <w:pPr>
              <w:keepNext w:val="0"/>
              <w:keepLines w:val="0"/>
              <w:pageBreakBefore w:val="0"/>
              <w:kinsoku/>
              <w:wordWrap/>
              <w:overflowPunct/>
              <w:topLinePunct w:val="0"/>
              <w:autoSpaceDE/>
              <w:autoSpaceDN/>
              <w:bidi w:val="0"/>
              <w:adjustRightInd/>
              <w:snapToGrid/>
              <w:spacing w:line="220" w:lineRule="exact"/>
              <w:jc w:val="center"/>
              <w:rPr>
                <w:rFonts w:hint="eastAsia" w:ascii="宋体" w:hAnsi="宋体" w:eastAsia="宋体" w:cs="宋体"/>
                <w:i w:val="0"/>
                <w:iCs w:val="0"/>
                <w:color w:val="000000"/>
                <w:sz w:val="20"/>
                <w:szCs w:val="20"/>
                <w:highlight w:val="none"/>
                <w:u w:val="none"/>
              </w:rPr>
            </w:pPr>
          </w:p>
        </w:tc>
        <w:tc>
          <w:tcPr>
            <w:tcW w:w="939" w:type="dxa"/>
            <w:noWrap/>
            <w:vAlign w:val="center"/>
          </w:tcPr>
          <w:p>
            <w:pPr>
              <w:keepNext w:val="0"/>
              <w:keepLines w:val="0"/>
              <w:pageBreakBefore w:val="0"/>
              <w:kinsoku/>
              <w:wordWrap/>
              <w:overflowPunct/>
              <w:topLinePunct w:val="0"/>
              <w:autoSpaceDE/>
              <w:autoSpaceDN/>
              <w:bidi w:val="0"/>
              <w:adjustRightInd/>
              <w:snapToGrid/>
              <w:spacing w:line="220" w:lineRule="exact"/>
              <w:jc w:val="center"/>
              <w:rPr>
                <w:rFonts w:hint="eastAsia" w:ascii="宋体" w:hAnsi="宋体" w:eastAsia="宋体" w:cs="宋体"/>
                <w:i w:val="0"/>
                <w:iCs w:val="0"/>
                <w:color w:val="000000"/>
                <w:sz w:val="20"/>
                <w:szCs w:val="20"/>
                <w:highlight w:val="none"/>
                <w:u w:val="none"/>
              </w:rPr>
            </w:pPr>
          </w:p>
        </w:tc>
        <w:tc>
          <w:tcPr>
            <w:tcW w:w="892"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90</w:t>
            </w:r>
          </w:p>
        </w:tc>
        <w:tc>
          <w:tcPr>
            <w:tcW w:w="1077" w:type="dxa"/>
            <w:noWrap/>
            <w:vAlign w:val="center"/>
          </w:tcPr>
          <w:p>
            <w:pPr>
              <w:keepNext w:val="0"/>
              <w:keepLines w:val="0"/>
              <w:pageBreakBefore w:val="0"/>
              <w:kinsoku/>
              <w:wordWrap/>
              <w:overflowPunct/>
              <w:topLinePunct w:val="0"/>
              <w:autoSpaceDE/>
              <w:autoSpaceDN/>
              <w:bidi w:val="0"/>
              <w:adjustRightInd/>
              <w:snapToGrid/>
              <w:spacing w:line="220" w:lineRule="exact"/>
              <w:jc w:val="center"/>
              <w:rPr>
                <w:rFonts w:hint="eastAsia" w:ascii="宋体" w:hAnsi="宋体" w:eastAsia="宋体" w:cs="宋体"/>
                <w:i w:val="0"/>
                <w:iCs w:val="0"/>
                <w:color w:val="000000"/>
                <w:sz w:val="20"/>
                <w:szCs w:val="20"/>
                <w:highlight w:val="none"/>
                <w:u w:val="none"/>
              </w:rPr>
            </w:pPr>
          </w:p>
        </w:tc>
        <w:tc>
          <w:tcPr>
            <w:tcW w:w="1231"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固体粪污</w:t>
            </w:r>
          </w:p>
        </w:tc>
        <w:tc>
          <w:tcPr>
            <w:tcW w:w="960"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还田利用</w:t>
            </w:r>
          </w:p>
        </w:tc>
        <w:tc>
          <w:tcPr>
            <w:tcW w:w="1021"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 xml:space="preserve">1876.11 </w:t>
            </w:r>
          </w:p>
        </w:tc>
        <w:tc>
          <w:tcPr>
            <w:tcW w:w="965"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 xml:space="preserve">1500.89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7" w:hRule="exact"/>
          <w:jc w:val="center"/>
        </w:trPr>
        <w:tc>
          <w:tcPr>
            <w:tcW w:w="570"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50</w:t>
            </w:r>
          </w:p>
        </w:tc>
        <w:tc>
          <w:tcPr>
            <w:tcW w:w="1694"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桓仁林鑫养殖场</w:t>
            </w:r>
          </w:p>
        </w:tc>
        <w:tc>
          <w:tcPr>
            <w:tcW w:w="1060" w:type="dxa"/>
            <w:noWrap/>
            <w:vAlign w:val="center"/>
          </w:tcPr>
          <w:p>
            <w:pPr>
              <w:keepNext w:val="0"/>
              <w:keepLines w:val="0"/>
              <w:pageBreakBefore w:val="0"/>
              <w:kinsoku/>
              <w:wordWrap/>
              <w:overflowPunct/>
              <w:topLinePunct w:val="0"/>
              <w:autoSpaceDE/>
              <w:autoSpaceDN/>
              <w:bidi w:val="0"/>
              <w:adjustRightInd/>
              <w:snapToGrid/>
              <w:spacing w:line="220" w:lineRule="exact"/>
              <w:jc w:val="center"/>
              <w:rPr>
                <w:rFonts w:hint="eastAsia" w:ascii="宋体" w:hAnsi="宋体" w:eastAsia="宋体" w:cs="宋体"/>
                <w:i w:val="0"/>
                <w:iCs w:val="0"/>
                <w:color w:val="000000"/>
                <w:sz w:val="20"/>
                <w:szCs w:val="20"/>
                <w:highlight w:val="none"/>
                <w:u w:val="none"/>
              </w:rPr>
            </w:pPr>
          </w:p>
        </w:tc>
        <w:tc>
          <w:tcPr>
            <w:tcW w:w="939" w:type="dxa"/>
            <w:noWrap/>
            <w:vAlign w:val="center"/>
          </w:tcPr>
          <w:p>
            <w:pPr>
              <w:keepNext w:val="0"/>
              <w:keepLines w:val="0"/>
              <w:pageBreakBefore w:val="0"/>
              <w:kinsoku/>
              <w:wordWrap/>
              <w:overflowPunct/>
              <w:topLinePunct w:val="0"/>
              <w:autoSpaceDE/>
              <w:autoSpaceDN/>
              <w:bidi w:val="0"/>
              <w:adjustRightInd/>
              <w:snapToGrid/>
              <w:spacing w:line="220" w:lineRule="exact"/>
              <w:jc w:val="center"/>
              <w:rPr>
                <w:rFonts w:hint="eastAsia" w:ascii="宋体" w:hAnsi="宋体" w:eastAsia="宋体" w:cs="宋体"/>
                <w:i w:val="0"/>
                <w:iCs w:val="0"/>
                <w:color w:val="000000"/>
                <w:sz w:val="20"/>
                <w:szCs w:val="20"/>
                <w:highlight w:val="none"/>
                <w:u w:val="none"/>
              </w:rPr>
            </w:pPr>
          </w:p>
        </w:tc>
        <w:tc>
          <w:tcPr>
            <w:tcW w:w="892"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300</w:t>
            </w:r>
          </w:p>
        </w:tc>
        <w:tc>
          <w:tcPr>
            <w:tcW w:w="1077" w:type="dxa"/>
            <w:noWrap/>
            <w:vAlign w:val="center"/>
          </w:tcPr>
          <w:p>
            <w:pPr>
              <w:keepNext w:val="0"/>
              <w:keepLines w:val="0"/>
              <w:pageBreakBefore w:val="0"/>
              <w:kinsoku/>
              <w:wordWrap/>
              <w:overflowPunct/>
              <w:topLinePunct w:val="0"/>
              <w:autoSpaceDE/>
              <w:autoSpaceDN/>
              <w:bidi w:val="0"/>
              <w:adjustRightInd/>
              <w:snapToGrid/>
              <w:spacing w:line="220" w:lineRule="exact"/>
              <w:jc w:val="center"/>
              <w:rPr>
                <w:rFonts w:hint="eastAsia" w:ascii="宋体" w:hAnsi="宋体" w:eastAsia="宋体" w:cs="宋体"/>
                <w:i w:val="0"/>
                <w:iCs w:val="0"/>
                <w:color w:val="000000"/>
                <w:sz w:val="20"/>
                <w:szCs w:val="20"/>
                <w:highlight w:val="none"/>
                <w:u w:val="none"/>
              </w:rPr>
            </w:pPr>
          </w:p>
        </w:tc>
        <w:tc>
          <w:tcPr>
            <w:tcW w:w="1231"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固体粪污</w:t>
            </w:r>
          </w:p>
        </w:tc>
        <w:tc>
          <w:tcPr>
            <w:tcW w:w="960"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还田利用、固体粪污委托处理生产有机肥</w:t>
            </w:r>
          </w:p>
        </w:tc>
        <w:tc>
          <w:tcPr>
            <w:tcW w:w="1021"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 xml:space="preserve">584.00 </w:t>
            </w:r>
          </w:p>
        </w:tc>
        <w:tc>
          <w:tcPr>
            <w:tcW w:w="965"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 xml:space="preserve">525.17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3" w:hRule="exact"/>
          <w:jc w:val="center"/>
        </w:trPr>
        <w:tc>
          <w:tcPr>
            <w:tcW w:w="570"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51</w:t>
            </w:r>
          </w:p>
        </w:tc>
        <w:tc>
          <w:tcPr>
            <w:tcW w:w="1694"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桓仁古城镇君忠养殖场</w:t>
            </w:r>
          </w:p>
        </w:tc>
        <w:tc>
          <w:tcPr>
            <w:tcW w:w="1060"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1400</w:t>
            </w:r>
          </w:p>
        </w:tc>
        <w:tc>
          <w:tcPr>
            <w:tcW w:w="939" w:type="dxa"/>
            <w:noWrap/>
            <w:vAlign w:val="center"/>
          </w:tcPr>
          <w:p>
            <w:pPr>
              <w:keepNext w:val="0"/>
              <w:keepLines w:val="0"/>
              <w:pageBreakBefore w:val="0"/>
              <w:kinsoku/>
              <w:wordWrap/>
              <w:overflowPunct/>
              <w:topLinePunct w:val="0"/>
              <w:autoSpaceDE/>
              <w:autoSpaceDN/>
              <w:bidi w:val="0"/>
              <w:adjustRightInd/>
              <w:snapToGrid/>
              <w:spacing w:line="220" w:lineRule="exact"/>
              <w:jc w:val="center"/>
              <w:rPr>
                <w:rFonts w:hint="eastAsia" w:ascii="宋体" w:hAnsi="宋体" w:eastAsia="宋体" w:cs="宋体"/>
                <w:i w:val="0"/>
                <w:iCs w:val="0"/>
                <w:color w:val="000000"/>
                <w:sz w:val="20"/>
                <w:szCs w:val="20"/>
                <w:highlight w:val="none"/>
                <w:u w:val="none"/>
              </w:rPr>
            </w:pPr>
          </w:p>
        </w:tc>
        <w:tc>
          <w:tcPr>
            <w:tcW w:w="892"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250</w:t>
            </w:r>
          </w:p>
        </w:tc>
        <w:tc>
          <w:tcPr>
            <w:tcW w:w="1077" w:type="dxa"/>
            <w:noWrap/>
            <w:vAlign w:val="center"/>
          </w:tcPr>
          <w:p>
            <w:pPr>
              <w:keepNext w:val="0"/>
              <w:keepLines w:val="0"/>
              <w:pageBreakBefore w:val="0"/>
              <w:kinsoku/>
              <w:wordWrap/>
              <w:overflowPunct/>
              <w:topLinePunct w:val="0"/>
              <w:autoSpaceDE/>
              <w:autoSpaceDN/>
              <w:bidi w:val="0"/>
              <w:adjustRightInd/>
              <w:snapToGrid/>
              <w:spacing w:line="220" w:lineRule="exact"/>
              <w:jc w:val="center"/>
              <w:rPr>
                <w:rFonts w:hint="eastAsia" w:ascii="宋体" w:hAnsi="宋体" w:eastAsia="宋体" w:cs="宋体"/>
                <w:i w:val="0"/>
                <w:iCs w:val="0"/>
                <w:color w:val="000000"/>
                <w:sz w:val="20"/>
                <w:szCs w:val="20"/>
                <w:highlight w:val="none"/>
                <w:u w:val="none"/>
              </w:rPr>
            </w:pPr>
          </w:p>
        </w:tc>
        <w:tc>
          <w:tcPr>
            <w:tcW w:w="1231"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固体粪污和液体粪污</w:t>
            </w:r>
          </w:p>
        </w:tc>
        <w:tc>
          <w:tcPr>
            <w:tcW w:w="960"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还田利用</w:t>
            </w:r>
          </w:p>
        </w:tc>
        <w:tc>
          <w:tcPr>
            <w:tcW w:w="1021"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 xml:space="preserve">1003.75 </w:t>
            </w:r>
          </w:p>
        </w:tc>
        <w:tc>
          <w:tcPr>
            <w:tcW w:w="965"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 xml:space="preserve">823.41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exact"/>
          <w:jc w:val="center"/>
        </w:trPr>
        <w:tc>
          <w:tcPr>
            <w:tcW w:w="570"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52</w:t>
            </w:r>
          </w:p>
        </w:tc>
        <w:tc>
          <w:tcPr>
            <w:tcW w:w="1694"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桓仁海天大地种猪场</w:t>
            </w:r>
          </w:p>
        </w:tc>
        <w:tc>
          <w:tcPr>
            <w:tcW w:w="1060"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1200</w:t>
            </w:r>
          </w:p>
        </w:tc>
        <w:tc>
          <w:tcPr>
            <w:tcW w:w="939" w:type="dxa"/>
            <w:noWrap/>
            <w:vAlign w:val="center"/>
          </w:tcPr>
          <w:p>
            <w:pPr>
              <w:keepNext w:val="0"/>
              <w:keepLines w:val="0"/>
              <w:pageBreakBefore w:val="0"/>
              <w:kinsoku/>
              <w:wordWrap/>
              <w:overflowPunct/>
              <w:topLinePunct w:val="0"/>
              <w:autoSpaceDE/>
              <w:autoSpaceDN/>
              <w:bidi w:val="0"/>
              <w:adjustRightInd/>
              <w:snapToGrid/>
              <w:spacing w:line="220" w:lineRule="exact"/>
              <w:jc w:val="center"/>
              <w:rPr>
                <w:rFonts w:hint="eastAsia" w:ascii="宋体" w:hAnsi="宋体" w:eastAsia="宋体" w:cs="宋体"/>
                <w:i w:val="0"/>
                <w:iCs w:val="0"/>
                <w:color w:val="000000"/>
                <w:sz w:val="20"/>
                <w:szCs w:val="20"/>
                <w:highlight w:val="none"/>
                <w:u w:val="none"/>
              </w:rPr>
            </w:pPr>
          </w:p>
        </w:tc>
        <w:tc>
          <w:tcPr>
            <w:tcW w:w="892"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210</w:t>
            </w:r>
          </w:p>
        </w:tc>
        <w:tc>
          <w:tcPr>
            <w:tcW w:w="1077" w:type="dxa"/>
            <w:noWrap/>
            <w:vAlign w:val="center"/>
          </w:tcPr>
          <w:p>
            <w:pPr>
              <w:keepNext w:val="0"/>
              <w:keepLines w:val="0"/>
              <w:pageBreakBefore w:val="0"/>
              <w:kinsoku/>
              <w:wordWrap/>
              <w:overflowPunct/>
              <w:topLinePunct w:val="0"/>
              <w:autoSpaceDE/>
              <w:autoSpaceDN/>
              <w:bidi w:val="0"/>
              <w:adjustRightInd/>
              <w:snapToGrid/>
              <w:spacing w:line="220" w:lineRule="exact"/>
              <w:jc w:val="center"/>
              <w:rPr>
                <w:rFonts w:hint="eastAsia" w:ascii="宋体" w:hAnsi="宋体" w:eastAsia="宋体" w:cs="宋体"/>
                <w:i w:val="0"/>
                <w:iCs w:val="0"/>
                <w:color w:val="000000"/>
                <w:sz w:val="20"/>
                <w:szCs w:val="20"/>
                <w:highlight w:val="none"/>
                <w:u w:val="none"/>
              </w:rPr>
            </w:pPr>
          </w:p>
        </w:tc>
        <w:tc>
          <w:tcPr>
            <w:tcW w:w="1231"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固体粪污和液体粪污</w:t>
            </w:r>
          </w:p>
        </w:tc>
        <w:tc>
          <w:tcPr>
            <w:tcW w:w="960"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还田利用</w:t>
            </w:r>
          </w:p>
        </w:tc>
        <w:tc>
          <w:tcPr>
            <w:tcW w:w="1021"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 xml:space="preserve">0.00 </w:t>
            </w:r>
          </w:p>
        </w:tc>
        <w:tc>
          <w:tcPr>
            <w:tcW w:w="965"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 xml:space="preserve">0.00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exact"/>
          <w:jc w:val="center"/>
        </w:trPr>
        <w:tc>
          <w:tcPr>
            <w:tcW w:w="570"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53</w:t>
            </w:r>
          </w:p>
        </w:tc>
        <w:tc>
          <w:tcPr>
            <w:tcW w:w="1694"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桓仁七星牧业有限公司</w:t>
            </w:r>
          </w:p>
        </w:tc>
        <w:tc>
          <w:tcPr>
            <w:tcW w:w="1060" w:type="dxa"/>
            <w:noWrap/>
            <w:vAlign w:val="center"/>
          </w:tcPr>
          <w:p>
            <w:pPr>
              <w:keepNext w:val="0"/>
              <w:keepLines w:val="0"/>
              <w:pageBreakBefore w:val="0"/>
              <w:kinsoku/>
              <w:wordWrap/>
              <w:overflowPunct/>
              <w:topLinePunct w:val="0"/>
              <w:autoSpaceDE/>
              <w:autoSpaceDN/>
              <w:bidi w:val="0"/>
              <w:adjustRightInd/>
              <w:snapToGrid/>
              <w:spacing w:line="220" w:lineRule="exact"/>
              <w:jc w:val="center"/>
              <w:rPr>
                <w:rFonts w:hint="eastAsia" w:ascii="宋体" w:hAnsi="宋体" w:eastAsia="宋体" w:cs="宋体"/>
                <w:i w:val="0"/>
                <w:iCs w:val="0"/>
                <w:color w:val="000000"/>
                <w:sz w:val="20"/>
                <w:szCs w:val="20"/>
                <w:highlight w:val="none"/>
                <w:u w:val="none"/>
              </w:rPr>
            </w:pPr>
          </w:p>
        </w:tc>
        <w:tc>
          <w:tcPr>
            <w:tcW w:w="939" w:type="dxa"/>
            <w:noWrap/>
            <w:vAlign w:val="center"/>
          </w:tcPr>
          <w:p>
            <w:pPr>
              <w:keepNext w:val="0"/>
              <w:keepLines w:val="0"/>
              <w:pageBreakBefore w:val="0"/>
              <w:kinsoku/>
              <w:wordWrap/>
              <w:overflowPunct/>
              <w:topLinePunct w:val="0"/>
              <w:autoSpaceDE/>
              <w:autoSpaceDN/>
              <w:bidi w:val="0"/>
              <w:adjustRightInd/>
              <w:snapToGrid/>
              <w:spacing w:line="220" w:lineRule="exact"/>
              <w:jc w:val="center"/>
              <w:rPr>
                <w:rFonts w:hint="eastAsia" w:ascii="宋体" w:hAnsi="宋体" w:eastAsia="宋体" w:cs="宋体"/>
                <w:i w:val="0"/>
                <w:iCs w:val="0"/>
                <w:color w:val="000000"/>
                <w:sz w:val="20"/>
                <w:szCs w:val="20"/>
                <w:highlight w:val="none"/>
                <w:u w:val="none"/>
              </w:rPr>
            </w:pPr>
          </w:p>
        </w:tc>
        <w:tc>
          <w:tcPr>
            <w:tcW w:w="892"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1550</w:t>
            </w:r>
          </w:p>
        </w:tc>
        <w:tc>
          <w:tcPr>
            <w:tcW w:w="1077" w:type="dxa"/>
            <w:noWrap/>
            <w:vAlign w:val="center"/>
          </w:tcPr>
          <w:p>
            <w:pPr>
              <w:keepNext w:val="0"/>
              <w:keepLines w:val="0"/>
              <w:pageBreakBefore w:val="0"/>
              <w:kinsoku/>
              <w:wordWrap/>
              <w:overflowPunct/>
              <w:topLinePunct w:val="0"/>
              <w:autoSpaceDE/>
              <w:autoSpaceDN/>
              <w:bidi w:val="0"/>
              <w:adjustRightInd/>
              <w:snapToGrid/>
              <w:spacing w:line="220" w:lineRule="exact"/>
              <w:jc w:val="center"/>
              <w:rPr>
                <w:rFonts w:hint="eastAsia" w:ascii="宋体" w:hAnsi="宋体" w:eastAsia="宋体" w:cs="宋体"/>
                <w:i w:val="0"/>
                <w:iCs w:val="0"/>
                <w:color w:val="000000"/>
                <w:sz w:val="20"/>
                <w:szCs w:val="20"/>
                <w:highlight w:val="none"/>
                <w:u w:val="none"/>
              </w:rPr>
            </w:pPr>
          </w:p>
        </w:tc>
        <w:tc>
          <w:tcPr>
            <w:tcW w:w="1231"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固体粪污</w:t>
            </w:r>
          </w:p>
        </w:tc>
        <w:tc>
          <w:tcPr>
            <w:tcW w:w="960"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还田利用</w:t>
            </w:r>
          </w:p>
        </w:tc>
        <w:tc>
          <w:tcPr>
            <w:tcW w:w="1021"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 xml:space="preserve">876.00 </w:t>
            </w:r>
          </w:p>
        </w:tc>
        <w:tc>
          <w:tcPr>
            <w:tcW w:w="965"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 xml:space="preserve">876.00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exact"/>
          <w:jc w:val="center"/>
        </w:trPr>
        <w:tc>
          <w:tcPr>
            <w:tcW w:w="570"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54</w:t>
            </w:r>
          </w:p>
        </w:tc>
        <w:tc>
          <w:tcPr>
            <w:tcW w:w="1694"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桓仁王利鸡场</w:t>
            </w:r>
          </w:p>
        </w:tc>
        <w:tc>
          <w:tcPr>
            <w:tcW w:w="1060" w:type="dxa"/>
            <w:noWrap/>
            <w:vAlign w:val="center"/>
          </w:tcPr>
          <w:p>
            <w:pPr>
              <w:keepNext w:val="0"/>
              <w:keepLines w:val="0"/>
              <w:pageBreakBefore w:val="0"/>
              <w:kinsoku/>
              <w:wordWrap/>
              <w:overflowPunct/>
              <w:topLinePunct w:val="0"/>
              <w:autoSpaceDE/>
              <w:autoSpaceDN/>
              <w:bidi w:val="0"/>
              <w:adjustRightInd/>
              <w:snapToGrid/>
              <w:spacing w:line="220" w:lineRule="exact"/>
              <w:jc w:val="center"/>
              <w:rPr>
                <w:rFonts w:hint="eastAsia" w:ascii="宋体" w:hAnsi="宋体" w:eastAsia="宋体" w:cs="宋体"/>
                <w:i w:val="0"/>
                <w:iCs w:val="0"/>
                <w:color w:val="000000"/>
                <w:sz w:val="20"/>
                <w:szCs w:val="20"/>
                <w:highlight w:val="none"/>
                <w:u w:val="none"/>
              </w:rPr>
            </w:pPr>
          </w:p>
        </w:tc>
        <w:tc>
          <w:tcPr>
            <w:tcW w:w="939" w:type="dxa"/>
            <w:noWrap/>
            <w:vAlign w:val="center"/>
          </w:tcPr>
          <w:p>
            <w:pPr>
              <w:keepNext w:val="0"/>
              <w:keepLines w:val="0"/>
              <w:pageBreakBefore w:val="0"/>
              <w:kinsoku/>
              <w:wordWrap/>
              <w:overflowPunct/>
              <w:topLinePunct w:val="0"/>
              <w:autoSpaceDE/>
              <w:autoSpaceDN/>
              <w:bidi w:val="0"/>
              <w:adjustRightInd/>
              <w:snapToGrid/>
              <w:spacing w:line="220" w:lineRule="exact"/>
              <w:jc w:val="center"/>
              <w:rPr>
                <w:rFonts w:hint="eastAsia" w:ascii="宋体" w:hAnsi="宋体" w:eastAsia="宋体" w:cs="宋体"/>
                <w:i w:val="0"/>
                <w:iCs w:val="0"/>
                <w:color w:val="000000"/>
                <w:sz w:val="20"/>
                <w:szCs w:val="20"/>
                <w:highlight w:val="none"/>
                <w:u w:val="none"/>
              </w:rPr>
            </w:pPr>
          </w:p>
        </w:tc>
        <w:tc>
          <w:tcPr>
            <w:tcW w:w="892"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170</w:t>
            </w:r>
          </w:p>
        </w:tc>
        <w:tc>
          <w:tcPr>
            <w:tcW w:w="1077" w:type="dxa"/>
            <w:noWrap/>
            <w:vAlign w:val="center"/>
          </w:tcPr>
          <w:p>
            <w:pPr>
              <w:keepNext w:val="0"/>
              <w:keepLines w:val="0"/>
              <w:pageBreakBefore w:val="0"/>
              <w:kinsoku/>
              <w:wordWrap/>
              <w:overflowPunct/>
              <w:topLinePunct w:val="0"/>
              <w:autoSpaceDE/>
              <w:autoSpaceDN/>
              <w:bidi w:val="0"/>
              <w:adjustRightInd/>
              <w:snapToGrid/>
              <w:spacing w:line="220" w:lineRule="exact"/>
              <w:jc w:val="center"/>
              <w:rPr>
                <w:rFonts w:hint="eastAsia" w:ascii="宋体" w:hAnsi="宋体" w:eastAsia="宋体" w:cs="宋体"/>
                <w:i w:val="0"/>
                <w:iCs w:val="0"/>
                <w:color w:val="000000"/>
                <w:sz w:val="20"/>
                <w:szCs w:val="20"/>
                <w:highlight w:val="none"/>
                <w:u w:val="none"/>
              </w:rPr>
            </w:pPr>
          </w:p>
        </w:tc>
        <w:tc>
          <w:tcPr>
            <w:tcW w:w="1231"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固体粪污</w:t>
            </w:r>
          </w:p>
        </w:tc>
        <w:tc>
          <w:tcPr>
            <w:tcW w:w="960"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还田利用</w:t>
            </w:r>
          </w:p>
        </w:tc>
        <w:tc>
          <w:tcPr>
            <w:tcW w:w="1021"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 xml:space="preserve">584.00 </w:t>
            </w:r>
          </w:p>
        </w:tc>
        <w:tc>
          <w:tcPr>
            <w:tcW w:w="965"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 xml:space="preserve">555.41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exact"/>
          <w:jc w:val="center"/>
        </w:trPr>
        <w:tc>
          <w:tcPr>
            <w:tcW w:w="570"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55</w:t>
            </w:r>
          </w:p>
        </w:tc>
        <w:tc>
          <w:tcPr>
            <w:tcW w:w="1694"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桓仁三友畜牧养殖繁育有限公司</w:t>
            </w:r>
          </w:p>
        </w:tc>
        <w:tc>
          <w:tcPr>
            <w:tcW w:w="1060"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15500</w:t>
            </w:r>
          </w:p>
        </w:tc>
        <w:tc>
          <w:tcPr>
            <w:tcW w:w="939" w:type="dxa"/>
            <w:noWrap/>
            <w:vAlign w:val="center"/>
          </w:tcPr>
          <w:p>
            <w:pPr>
              <w:keepNext w:val="0"/>
              <w:keepLines w:val="0"/>
              <w:pageBreakBefore w:val="0"/>
              <w:kinsoku/>
              <w:wordWrap/>
              <w:overflowPunct/>
              <w:topLinePunct w:val="0"/>
              <w:autoSpaceDE/>
              <w:autoSpaceDN/>
              <w:bidi w:val="0"/>
              <w:adjustRightInd/>
              <w:snapToGrid/>
              <w:spacing w:line="220" w:lineRule="exact"/>
              <w:jc w:val="center"/>
              <w:rPr>
                <w:rFonts w:hint="eastAsia" w:ascii="宋体" w:hAnsi="宋体" w:eastAsia="宋体" w:cs="宋体"/>
                <w:i w:val="0"/>
                <w:iCs w:val="0"/>
                <w:color w:val="000000"/>
                <w:sz w:val="20"/>
                <w:szCs w:val="20"/>
                <w:highlight w:val="none"/>
                <w:u w:val="none"/>
              </w:rPr>
            </w:pPr>
          </w:p>
        </w:tc>
        <w:tc>
          <w:tcPr>
            <w:tcW w:w="892"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2700</w:t>
            </w:r>
          </w:p>
        </w:tc>
        <w:tc>
          <w:tcPr>
            <w:tcW w:w="1077" w:type="dxa"/>
            <w:noWrap/>
            <w:vAlign w:val="center"/>
          </w:tcPr>
          <w:p>
            <w:pPr>
              <w:keepNext w:val="0"/>
              <w:keepLines w:val="0"/>
              <w:pageBreakBefore w:val="0"/>
              <w:kinsoku/>
              <w:wordWrap/>
              <w:overflowPunct/>
              <w:topLinePunct w:val="0"/>
              <w:autoSpaceDE/>
              <w:autoSpaceDN/>
              <w:bidi w:val="0"/>
              <w:adjustRightInd/>
              <w:snapToGrid/>
              <w:spacing w:line="220" w:lineRule="exact"/>
              <w:jc w:val="center"/>
              <w:rPr>
                <w:rFonts w:hint="eastAsia" w:ascii="宋体" w:hAnsi="宋体" w:eastAsia="宋体" w:cs="宋体"/>
                <w:i w:val="0"/>
                <w:iCs w:val="0"/>
                <w:color w:val="000000"/>
                <w:sz w:val="20"/>
                <w:szCs w:val="20"/>
                <w:highlight w:val="none"/>
                <w:u w:val="none"/>
              </w:rPr>
            </w:pPr>
          </w:p>
        </w:tc>
        <w:tc>
          <w:tcPr>
            <w:tcW w:w="1231"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固体粪污和液体粪污</w:t>
            </w:r>
          </w:p>
        </w:tc>
        <w:tc>
          <w:tcPr>
            <w:tcW w:w="960"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还田利用</w:t>
            </w:r>
          </w:p>
        </w:tc>
        <w:tc>
          <w:tcPr>
            <w:tcW w:w="1021"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 xml:space="preserve">14600.00 </w:t>
            </w:r>
          </w:p>
        </w:tc>
        <w:tc>
          <w:tcPr>
            <w:tcW w:w="965"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 xml:space="preserve">11731.30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exact"/>
          <w:jc w:val="center"/>
        </w:trPr>
        <w:tc>
          <w:tcPr>
            <w:tcW w:w="570"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56</w:t>
            </w:r>
          </w:p>
        </w:tc>
        <w:tc>
          <w:tcPr>
            <w:tcW w:w="1694"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桓仁黑沟金河养鸡场</w:t>
            </w:r>
          </w:p>
        </w:tc>
        <w:tc>
          <w:tcPr>
            <w:tcW w:w="1060" w:type="dxa"/>
            <w:noWrap/>
            <w:vAlign w:val="center"/>
          </w:tcPr>
          <w:p>
            <w:pPr>
              <w:keepNext w:val="0"/>
              <w:keepLines w:val="0"/>
              <w:pageBreakBefore w:val="0"/>
              <w:kinsoku/>
              <w:wordWrap/>
              <w:overflowPunct/>
              <w:topLinePunct w:val="0"/>
              <w:autoSpaceDE/>
              <w:autoSpaceDN/>
              <w:bidi w:val="0"/>
              <w:adjustRightInd/>
              <w:snapToGrid/>
              <w:spacing w:line="220" w:lineRule="exact"/>
              <w:jc w:val="center"/>
              <w:rPr>
                <w:rFonts w:hint="eastAsia" w:ascii="宋体" w:hAnsi="宋体" w:eastAsia="宋体" w:cs="宋体"/>
                <w:i w:val="0"/>
                <w:iCs w:val="0"/>
                <w:color w:val="000000"/>
                <w:sz w:val="20"/>
                <w:szCs w:val="20"/>
                <w:highlight w:val="none"/>
                <w:u w:val="none"/>
              </w:rPr>
            </w:pPr>
          </w:p>
        </w:tc>
        <w:tc>
          <w:tcPr>
            <w:tcW w:w="939" w:type="dxa"/>
            <w:noWrap/>
            <w:vAlign w:val="center"/>
          </w:tcPr>
          <w:p>
            <w:pPr>
              <w:keepNext w:val="0"/>
              <w:keepLines w:val="0"/>
              <w:pageBreakBefore w:val="0"/>
              <w:kinsoku/>
              <w:wordWrap/>
              <w:overflowPunct/>
              <w:topLinePunct w:val="0"/>
              <w:autoSpaceDE/>
              <w:autoSpaceDN/>
              <w:bidi w:val="0"/>
              <w:adjustRightInd/>
              <w:snapToGrid/>
              <w:spacing w:line="220" w:lineRule="exact"/>
              <w:jc w:val="center"/>
              <w:rPr>
                <w:rFonts w:hint="eastAsia" w:ascii="宋体" w:hAnsi="宋体" w:eastAsia="宋体" w:cs="宋体"/>
                <w:i w:val="0"/>
                <w:iCs w:val="0"/>
                <w:color w:val="000000"/>
                <w:sz w:val="20"/>
                <w:szCs w:val="20"/>
                <w:highlight w:val="none"/>
                <w:u w:val="none"/>
              </w:rPr>
            </w:pPr>
          </w:p>
        </w:tc>
        <w:tc>
          <w:tcPr>
            <w:tcW w:w="892"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300</w:t>
            </w:r>
          </w:p>
        </w:tc>
        <w:tc>
          <w:tcPr>
            <w:tcW w:w="1077" w:type="dxa"/>
            <w:noWrap/>
            <w:vAlign w:val="center"/>
          </w:tcPr>
          <w:p>
            <w:pPr>
              <w:keepNext w:val="0"/>
              <w:keepLines w:val="0"/>
              <w:pageBreakBefore w:val="0"/>
              <w:kinsoku/>
              <w:wordWrap/>
              <w:overflowPunct/>
              <w:topLinePunct w:val="0"/>
              <w:autoSpaceDE/>
              <w:autoSpaceDN/>
              <w:bidi w:val="0"/>
              <w:adjustRightInd/>
              <w:snapToGrid/>
              <w:spacing w:line="220" w:lineRule="exact"/>
              <w:jc w:val="center"/>
              <w:rPr>
                <w:rFonts w:hint="eastAsia" w:ascii="宋体" w:hAnsi="宋体" w:eastAsia="宋体" w:cs="宋体"/>
                <w:i w:val="0"/>
                <w:iCs w:val="0"/>
                <w:color w:val="000000"/>
                <w:sz w:val="20"/>
                <w:szCs w:val="20"/>
                <w:highlight w:val="none"/>
                <w:u w:val="none"/>
              </w:rPr>
            </w:pPr>
          </w:p>
        </w:tc>
        <w:tc>
          <w:tcPr>
            <w:tcW w:w="1231"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固体粪污</w:t>
            </w:r>
          </w:p>
        </w:tc>
        <w:tc>
          <w:tcPr>
            <w:tcW w:w="960"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还田利用</w:t>
            </w:r>
          </w:p>
        </w:tc>
        <w:tc>
          <w:tcPr>
            <w:tcW w:w="1021"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 xml:space="preserve">233.60 </w:t>
            </w:r>
          </w:p>
        </w:tc>
        <w:tc>
          <w:tcPr>
            <w:tcW w:w="965"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 xml:space="preserve">233.60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exact"/>
          <w:jc w:val="center"/>
        </w:trPr>
        <w:tc>
          <w:tcPr>
            <w:tcW w:w="570"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57</w:t>
            </w:r>
          </w:p>
        </w:tc>
        <w:tc>
          <w:tcPr>
            <w:tcW w:w="1694"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桓仁古城镇盛兴生态养牛场</w:t>
            </w:r>
          </w:p>
        </w:tc>
        <w:tc>
          <w:tcPr>
            <w:tcW w:w="1060"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330</w:t>
            </w:r>
          </w:p>
        </w:tc>
        <w:tc>
          <w:tcPr>
            <w:tcW w:w="939" w:type="dxa"/>
            <w:noWrap/>
            <w:vAlign w:val="center"/>
          </w:tcPr>
          <w:p>
            <w:pPr>
              <w:keepNext w:val="0"/>
              <w:keepLines w:val="0"/>
              <w:pageBreakBefore w:val="0"/>
              <w:kinsoku/>
              <w:wordWrap/>
              <w:overflowPunct/>
              <w:topLinePunct w:val="0"/>
              <w:autoSpaceDE/>
              <w:autoSpaceDN/>
              <w:bidi w:val="0"/>
              <w:adjustRightInd/>
              <w:snapToGrid/>
              <w:spacing w:line="220" w:lineRule="exact"/>
              <w:jc w:val="center"/>
              <w:rPr>
                <w:rFonts w:hint="eastAsia" w:ascii="宋体" w:hAnsi="宋体" w:eastAsia="宋体" w:cs="宋体"/>
                <w:i w:val="0"/>
                <w:iCs w:val="0"/>
                <w:color w:val="000000"/>
                <w:sz w:val="20"/>
                <w:szCs w:val="20"/>
                <w:highlight w:val="none"/>
                <w:u w:val="none"/>
              </w:rPr>
            </w:pPr>
          </w:p>
        </w:tc>
        <w:tc>
          <w:tcPr>
            <w:tcW w:w="892"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500</w:t>
            </w:r>
          </w:p>
        </w:tc>
        <w:tc>
          <w:tcPr>
            <w:tcW w:w="1077" w:type="dxa"/>
            <w:noWrap/>
            <w:vAlign w:val="center"/>
          </w:tcPr>
          <w:p>
            <w:pPr>
              <w:keepNext w:val="0"/>
              <w:keepLines w:val="0"/>
              <w:pageBreakBefore w:val="0"/>
              <w:kinsoku/>
              <w:wordWrap/>
              <w:overflowPunct/>
              <w:topLinePunct w:val="0"/>
              <w:autoSpaceDE/>
              <w:autoSpaceDN/>
              <w:bidi w:val="0"/>
              <w:adjustRightInd/>
              <w:snapToGrid/>
              <w:spacing w:line="220" w:lineRule="exact"/>
              <w:jc w:val="center"/>
              <w:rPr>
                <w:rFonts w:hint="eastAsia" w:ascii="宋体" w:hAnsi="宋体" w:eastAsia="宋体" w:cs="宋体"/>
                <w:i w:val="0"/>
                <w:iCs w:val="0"/>
                <w:color w:val="000000"/>
                <w:sz w:val="20"/>
                <w:szCs w:val="20"/>
                <w:highlight w:val="none"/>
                <w:u w:val="none"/>
              </w:rPr>
            </w:pPr>
          </w:p>
        </w:tc>
        <w:tc>
          <w:tcPr>
            <w:tcW w:w="1231"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固体粪污和液体粪污</w:t>
            </w:r>
          </w:p>
        </w:tc>
        <w:tc>
          <w:tcPr>
            <w:tcW w:w="960"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还田利用</w:t>
            </w:r>
          </w:p>
        </w:tc>
        <w:tc>
          <w:tcPr>
            <w:tcW w:w="1021"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 xml:space="preserve">1003.75 </w:t>
            </w:r>
          </w:p>
        </w:tc>
        <w:tc>
          <w:tcPr>
            <w:tcW w:w="965"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 xml:space="preserve">888.56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exact"/>
          <w:jc w:val="center"/>
        </w:trPr>
        <w:tc>
          <w:tcPr>
            <w:tcW w:w="570"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58</w:t>
            </w:r>
          </w:p>
        </w:tc>
        <w:tc>
          <w:tcPr>
            <w:tcW w:w="1694"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桓仁满族自治县王强家畜养殖场</w:t>
            </w:r>
          </w:p>
        </w:tc>
        <w:tc>
          <w:tcPr>
            <w:tcW w:w="1060"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140</w:t>
            </w:r>
          </w:p>
        </w:tc>
        <w:tc>
          <w:tcPr>
            <w:tcW w:w="939" w:type="dxa"/>
            <w:noWrap/>
            <w:vAlign w:val="center"/>
          </w:tcPr>
          <w:p>
            <w:pPr>
              <w:keepNext w:val="0"/>
              <w:keepLines w:val="0"/>
              <w:pageBreakBefore w:val="0"/>
              <w:kinsoku/>
              <w:wordWrap/>
              <w:overflowPunct/>
              <w:topLinePunct w:val="0"/>
              <w:autoSpaceDE/>
              <w:autoSpaceDN/>
              <w:bidi w:val="0"/>
              <w:adjustRightInd/>
              <w:snapToGrid/>
              <w:spacing w:line="220" w:lineRule="exact"/>
              <w:jc w:val="center"/>
              <w:rPr>
                <w:rFonts w:hint="eastAsia" w:ascii="宋体" w:hAnsi="宋体" w:eastAsia="宋体" w:cs="宋体"/>
                <w:i w:val="0"/>
                <w:iCs w:val="0"/>
                <w:color w:val="000000"/>
                <w:sz w:val="20"/>
                <w:szCs w:val="20"/>
                <w:highlight w:val="none"/>
                <w:u w:val="none"/>
              </w:rPr>
            </w:pPr>
          </w:p>
        </w:tc>
        <w:tc>
          <w:tcPr>
            <w:tcW w:w="892"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90</w:t>
            </w:r>
          </w:p>
        </w:tc>
        <w:tc>
          <w:tcPr>
            <w:tcW w:w="1077" w:type="dxa"/>
            <w:noWrap/>
            <w:vAlign w:val="center"/>
          </w:tcPr>
          <w:p>
            <w:pPr>
              <w:keepNext w:val="0"/>
              <w:keepLines w:val="0"/>
              <w:pageBreakBefore w:val="0"/>
              <w:kinsoku/>
              <w:wordWrap/>
              <w:overflowPunct/>
              <w:topLinePunct w:val="0"/>
              <w:autoSpaceDE/>
              <w:autoSpaceDN/>
              <w:bidi w:val="0"/>
              <w:adjustRightInd/>
              <w:snapToGrid/>
              <w:spacing w:line="220" w:lineRule="exact"/>
              <w:jc w:val="center"/>
              <w:rPr>
                <w:rFonts w:hint="eastAsia" w:ascii="宋体" w:hAnsi="宋体" w:eastAsia="宋体" w:cs="宋体"/>
                <w:i w:val="0"/>
                <w:iCs w:val="0"/>
                <w:color w:val="000000"/>
                <w:sz w:val="20"/>
                <w:szCs w:val="20"/>
                <w:highlight w:val="none"/>
                <w:u w:val="none"/>
              </w:rPr>
            </w:pPr>
          </w:p>
        </w:tc>
        <w:tc>
          <w:tcPr>
            <w:tcW w:w="1231"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固体粪污和液体粪污</w:t>
            </w:r>
          </w:p>
        </w:tc>
        <w:tc>
          <w:tcPr>
            <w:tcW w:w="960"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还田利用</w:t>
            </w:r>
          </w:p>
        </w:tc>
        <w:tc>
          <w:tcPr>
            <w:tcW w:w="1021"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 xml:space="preserve">365.00 </w:t>
            </w:r>
          </w:p>
        </w:tc>
        <w:tc>
          <w:tcPr>
            <w:tcW w:w="965"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 xml:space="preserve">320.24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exact"/>
          <w:jc w:val="center"/>
        </w:trPr>
        <w:tc>
          <w:tcPr>
            <w:tcW w:w="570"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59</w:t>
            </w:r>
          </w:p>
        </w:tc>
        <w:tc>
          <w:tcPr>
            <w:tcW w:w="1694"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桓仁俊丰种禽繁育有限公司</w:t>
            </w:r>
          </w:p>
        </w:tc>
        <w:tc>
          <w:tcPr>
            <w:tcW w:w="1060" w:type="dxa"/>
            <w:noWrap/>
            <w:vAlign w:val="center"/>
          </w:tcPr>
          <w:p>
            <w:pPr>
              <w:keepNext w:val="0"/>
              <w:keepLines w:val="0"/>
              <w:pageBreakBefore w:val="0"/>
              <w:kinsoku/>
              <w:wordWrap/>
              <w:overflowPunct/>
              <w:topLinePunct w:val="0"/>
              <w:autoSpaceDE/>
              <w:autoSpaceDN/>
              <w:bidi w:val="0"/>
              <w:adjustRightInd/>
              <w:snapToGrid/>
              <w:spacing w:line="220" w:lineRule="exact"/>
              <w:jc w:val="center"/>
              <w:rPr>
                <w:rFonts w:hint="eastAsia" w:ascii="宋体" w:hAnsi="宋体" w:eastAsia="宋体" w:cs="宋体"/>
                <w:i w:val="0"/>
                <w:iCs w:val="0"/>
                <w:color w:val="000000"/>
                <w:sz w:val="20"/>
                <w:szCs w:val="20"/>
                <w:highlight w:val="none"/>
                <w:u w:val="none"/>
              </w:rPr>
            </w:pPr>
          </w:p>
        </w:tc>
        <w:tc>
          <w:tcPr>
            <w:tcW w:w="939" w:type="dxa"/>
            <w:noWrap/>
            <w:vAlign w:val="center"/>
          </w:tcPr>
          <w:p>
            <w:pPr>
              <w:keepNext w:val="0"/>
              <w:keepLines w:val="0"/>
              <w:pageBreakBefore w:val="0"/>
              <w:kinsoku/>
              <w:wordWrap/>
              <w:overflowPunct/>
              <w:topLinePunct w:val="0"/>
              <w:autoSpaceDE/>
              <w:autoSpaceDN/>
              <w:bidi w:val="0"/>
              <w:adjustRightInd/>
              <w:snapToGrid/>
              <w:spacing w:line="220" w:lineRule="exact"/>
              <w:jc w:val="center"/>
              <w:rPr>
                <w:rFonts w:hint="eastAsia" w:ascii="宋体" w:hAnsi="宋体" w:eastAsia="宋体" w:cs="宋体"/>
                <w:i w:val="0"/>
                <w:iCs w:val="0"/>
                <w:color w:val="000000"/>
                <w:sz w:val="20"/>
                <w:szCs w:val="20"/>
                <w:highlight w:val="none"/>
                <w:u w:val="none"/>
              </w:rPr>
            </w:pPr>
          </w:p>
        </w:tc>
        <w:tc>
          <w:tcPr>
            <w:tcW w:w="892"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1000</w:t>
            </w:r>
          </w:p>
        </w:tc>
        <w:tc>
          <w:tcPr>
            <w:tcW w:w="1077" w:type="dxa"/>
            <w:noWrap/>
            <w:vAlign w:val="center"/>
          </w:tcPr>
          <w:p>
            <w:pPr>
              <w:keepNext w:val="0"/>
              <w:keepLines w:val="0"/>
              <w:pageBreakBefore w:val="0"/>
              <w:kinsoku/>
              <w:wordWrap/>
              <w:overflowPunct/>
              <w:topLinePunct w:val="0"/>
              <w:autoSpaceDE/>
              <w:autoSpaceDN/>
              <w:bidi w:val="0"/>
              <w:adjustRightInd/>
              <w:snapToGrid/>
              <w:spacing w:line="220" w:lineRule="exact"/>
              <w:jc w:val="center"/>
              <w:rPr>
                <w:rFonts w:hint="eastAsia" w:ascii="宋体" w:hAnsi="宋体" w:eastAsia="宋体" w:cs="宋体"/>
                <w:i w:val="0"/>
                <w:iCs w:val="0"/>
                <w:color w:val="000000"/>
                <w:sz w:val="20"/>
                <w:szCs w:val="20"/>
                <w:highlight w:val="none"/>
                <w:u w:val="none"/>
              </w:rPr>
            </w:pPr>
          </w:p>
        </w:tc>
        <w:tc>
          <w:tcPr>
            <w:tcW w:w="1231"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固体粪污</w:t>
            </w:r>
          </w:p>
        </w:tc>
        <w:tc>
          <w:tcPr>
            <w:tcW w:w="960"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还田利用</w:t>
            </w:r>
          </w:p>
        </w:tc>
        <w:tc>
          <w:tcPr>
            <w:tcW w:w="1021"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 xml:space="preserve">4380.00 </w:t>
            </w:r>
          </w:p>
        </w:tc>
        <w:tc>
          <w:tcPr>
            <w:tcW w:w="965"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 xml:space="preserve">3593.85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exact"/>
          <w:jc w:val="center"/>
        </w:trPr>
        <w:tc>
          <w:tcPr>
            <w:tcW w:w="570"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60</w:t>
            </w:r>
          </w:p>
        </w:tc>
        <w:tc>
          <w:tcPr>
            <w:tcW w:w="1694"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桓仁满族自治县双春养猪专业合作社</w:t>
            </w:r>
          </w:p>
        </w:tc>
        <w:tc>
          <w:tcPr>
            <w:tcW w:w="1060"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850</w:t>
            </w:r>
          </w:p>
        </w:tc>
        <w:tc>
          <w:tcPr>
            <w:tcW w:w="939" w:type="dxa"/>
            <w:noWrap/>
            <w:vAlign w:val="center"/>
          </w:tcPr>
          <w:p>
            <w:pPr>
              <w:keepNext w:val="0"/>
              <w:keepLines w:val="0"/>
              <w:pageBreakBefore w:val="0"/>
              <w:kinsoku/>
              <w:wordWrap/>
              <w:overflowPunct/>
              <w:topLinePunct w:val="0"/>
              <w:autoSpaceDE/>
              <w:autoSpaceDN/>
              <w:bidi w:val="0"/>
              <w:adjustRightInd/>
              <w:snapToGrid/>
              <w:spacing w:line="220" w:lineRule="exact"/>
              <w:jc w:val="center"/>
              <w:rPr>
                <w:rFonts w:hint="eastAsia" w:ascii="宋体" w:hAnsi="宋体" w:eastAsia="宋体" w:cs="宋体"/>
                <w:i w:val="0"/>
                <w:iCs w:val="0"/>
                <w:color w:val="000000"/>
                <w:sz w:val="20"/>
                <w:szCs w:val="20"/>
                <w:highlight w:val="none"/>
                <w:u w:val="none"/>
              </w:rPr>
            </w:pPr>
          </w:p>
        </w:tc>
        <w:tc>
          <w:tcPr>
            <w:tcW w:w="892"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150</w:t>
            </w:r>
          </w:p>
        </w:tc>
        <w:tc>
          <w:tcPr>
            <w:tcW w:w="1077" w:type="dxa"/>
            <w:noWrap/>
            <w:vAlign w:val="center"/>
          </w:tcPr>
          <w:p>
            <w:pPr>
              <w:keepNext w:val="0"/>
              <w:keepLines w:val="0"/>
              <w:pageBreakBefore w:val="0"/>
              <w:kinsoku/>
              <w:wordWrap/>
              <w:overflowPunct/>
              <w:topLinePunct w:val="0"/>
              <w:autoSpaceDE/>
              <w:autoSpaceDN/>
              <w:bidi w:val="0"/>
              <w:adjustRightInd/>
              <w:snapToGrid/>
              <w:spacing w:line="220" w:lineRule="exact"/>
              <w:jc w:val="center"/>
              <w:rPr>
                <w:rFonts w:hint="eastAsia" w:ascii="宋体" w:hAnsi="宋体" w:eastAsia="宋体" w:cs="宋体"/>
                <w:i w:val="0"/>
                <w:iCs w:val="0"/>
                <w:color w:val="000000"/>
                <w:sz w:val="20"/>
                <w:szCs w:val="20"/>
                <w:highlight w:val="none"/>
                <w:u w:val="none"/>
              </w:rPr>
            </w:pPr>
          </w:p>
        </w:tc>
        <w:tc>
          <w:tcPr>
            <w:tcW w:w="1231"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固体粪污和液体粪污</w:t>
            </w:r>
          </w:p>
        </w:tc>
        <w:tc>
          <w:tcPr>
            <w:tcW w:w="960"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还田利用</w:t>
            </w:r>
          </w:p>
        </w:tc>
        <w:tc>
          <w:tcPr>
            <w:tcW w:w="1021"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 xml:space="preserve">1168.00 </w:t>
            </w:r>
          </w:p>
        </w:tc>
        <w:tc>
          <w:tcPr>
            <w:tcW w:w="965"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 xml:space="preserve">1005.87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exact"/>
          <w:jc w:val="center"/>
        </w:trPr>
        <w:tc>
          <w:tcPr>
            <w:tcW w:w="570"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61</w:t>
            </w:r>
          </w:p>
        </w:tc>
        <w:tc>
          <w:tcPr>
            <w:tcW w:w="1694"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桓仁新源种猪场</w:t>
            </w:r>
          </w:p>
        </w:tc>
        <w:tc>
          <w:tcPr>
            <w:tcW w:w="1060"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750</w:t>
            </w:r>
          </w:p>
        </w:tc>
        <w:tc>
          <w:tcPr>
            <w:tcW w:w="939" w:type="dxa"/>
            <w:noWrap/>
            <w:vAlign w:val="center"/>
          </w:tcPr>
          <w:p>
            <w:pPr>
              <w:keepNext w:val="0"/>
              <w:keepLines w:val="0"/>
              <w:pageBreakBefore w:val="0"/>
              <w:kinsoku/>
              <w:wordWrap/>
              <w:overflowPunct/>
              <w:topLinePunct w:val="0"/>
              <w:autoSpaceDE/>
              <w:autoSpaceDN/>
              <w:bidi w:val="0"/>
              <w:adjustRightInd/>
              <w:snapToGrid/>
              <w:spacing w:line="220" w:lineRule="exact"/>
              <w:jc w:val="center"/>
              <w:rPr>
                <w:rFonts w:hint="eastAsia" w:ascii="宋体" w:hAnsi="宋体" w:eastAsia="宋体" w:cs="宋体"/>
                <w:i w:val="0"/>
                <w:iCs w:val="0"/>
                <w:color w:val="000000"/>
                <w:sz w:val="20"/>
                <w:szCs w:val="20"/>
                <w:highlight w:val="none"/>
                <w:u w:val="none"/>
              </w:rPr>
            </w:pPr>
          </w:p>
        </w:tc>
        <w:tc>
          <w:tcPr>
            <w:tcW w:w="892"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240</w:t>
            </w:r>
          </w:p>
        </w:tc>
        <w:tc>
          <w:tcPr>
            <w:tcW w:w="1077" w:type="dxa"/>
            <w:noWrap/>
            <w:vAlign w:val="center"/>
          </w:tcPr>
          <w:p>
            <w:pPr>
              <w:keepNext w:val="0"/>
              <w:keepLines w:val="0"/>
              <w:pageBreakBefore w:val="0"/>
              <w:kinsoku/>
              <w:wordWrap/>
              <w:overflowPunct/>
              <w:topLinePunct w:val="0"/>
              <w:autoSpaceDE/>
              <w:autoSpaceDN/>
              <w:bidi w:val="0"/>
              <w:adjustRightInd/>
              <w:snapToGrid/>
              <w:spacing w:line="220" w:lineRule="exact"/>
              <w:jc w:val="center"/>
              <w:rPr>
                <w:rFonts w:hint="eastAsia" w:ascii="宋体" w:hAnsi="宋体" w:eastAsia="宋体" w:cs="宋体"/>
                <w:i w:val="0"/>
                <w:iCs w:val="0"/>
                <w:color w:val="000000"/>
                <w:sz w:val="20"/>
                <w:szCs w:val="20"/>
                <w:highlight w:val="none"/>
                <w:u w:val="none"/>
              </w:rPr>
            </w:pPr>
          </w:p>
        </w:tc>
        <w:tc>
          <w:tcPr>
            <w:tcW w:w="1231"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固体粪污和液体粪污</w:t>
            </w:r>
          </w:p>
        </w:tc>
        <w:tc>
          <w:tcPr>
            <w:tcW w:w="960"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还田利用</w:t>
            </w:r>
          </w:p>
        </w:tc>
        <w:tc>
          <w:tcPr>
            <w:tcW w:w="1021"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 xml:space="preserve">1857.85 </w:t>
            </w:r>
          </w:p>
        </w:tc>
        <w:tc>
          <w:tcPr>
            <w:tcW w:w="965"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 xml:space="preserve">1576.57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exact"/>
          <w:jc w:val="center"/>
        </w:trPr>
        <w:tc>
          <w:tcPr>
            <w:tcW w:w="570"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62</w:t>
            </w:r>
          </w:p>
        </w:tc>
        <w:tc>
          <w:tcPr>
            <w:tcW w:w="1694"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桓仁凤明养鸡场</w:t>
            </w:r>
          </w:p>
        </w:tc>
        <w:tc>
          <w:tcPr>
            <w:tcW w:w="1060" w:type="dxa"/>
            <w:noWrap/>
            <w:vAlign w:val="center"/>
          </w:tcPr>
          <w:p>
            <w:pPr>
              <w:keepNext w:val="0"/>
              <w:keepLines w:val="0"/>
              <w:pageBreakBefore w:val="0"/>
              <w:kinsoku/>
              <w:wordWrap/>
              <w:overflowPunct/>
              <w:topLinePunct w:val="0"/>
              <w:autoSpaceDE/>
              <w:autoSpaceDN/>
              <w:bidi w:val="0"/>
              <w:adjustRightInd/>
              <w:snapToGrid/>
              <w:spacing w:line="220" w:lineRule="exact"/>
              <w:jc w:val="center"/>
              <w:rPr>
                <w:rFonts w:hint="eastAsia" w:ascii="宋体" w:hAnsi="宋体" w:eastAsia="宋体" w:cs="宋体"/>
                <w:i w:val="0"/>
                <w:iCs w:val="0"/>
                <w:color w:val="000000"/>
                <w:sz w:val="20"/>
                <w:szCs w:val="20"/>
                <w:highlight w:val="none"/>
                <w:u w:val="none"/>
              </w:rPr>
            </w:pPr>
          </w:p>
        </w:tc>
        <w:tc>
          <w:tcPr>
            <w:tcW w:w="939" w:type="dxa"/>
            <w:noWrap/>
            <w:vAlign w:val="center"/>
          </w:tcPr>
          <w:p>
            <w:pPr>
              <w:keepNext w:val="0"/>
              <w:keepLines w:val="0"/>
              <w:pageBreakBefore w:val="0"/>
              <w:kinsoku/>
              <w:wordWrap/>
              <w:overflowPunct/>
              <w:topLinePunct w:val="0"/>
              <w:autoSpaceDE/>
              <w:autoSpaceDN/>
              <w:bidi w:val="0"/>
              <w:adjustRightInd/>
              <w:snapToGrid/>
              <w:spacing w:line="220" w:lineRule="exact"/>
              <w:jc w:val="center"/>
              <w:rPr>
                <w:rFonts w:hint="eastAsia" w:ascii="宋体" w:hAnsi="宋体" w:eastAsia="宋体" w:cs="宋体"/>
                <w:i w:val="0"/>
                <w:iCs w:val="0"/>
                <w:color w:val="000000"/>
                <w:sz w:val="20"/>
                <w:szCs w:val="20"/>
                <w:highlight w:val="none"/>
                <w:u w:val="none"/>
              </w:rPr>
            </w:pPr>
          </w:p>
        </w:tc>
        <w:tc>
          <w:tcPr>
            <w:tcW w:w="892"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400</w:t>
            </w:r>
          </w:p>
        </w:tc>
        <w:tc>
          <w:tcPr>
            <w:tcW w:w="1077" w:type="dxa"/>
            <w:noWrap/>
            <w:vAlign w:val="center"/>
          </w:tcPr>
          <w:p>
            <w:pPr>
              <w:keepNext w:val="0"/>
              <w:keepLines w:val="0"/>
              <w:pageBreakBefore w:val="0"/>
              <w:kinsoku/>
              <w:wordWrap/>
              <w:overflowPunct/>
              <w:topLinePunct w:val="0"/>
              <w:autoSpaceDE/>
              <w:autoSpaceDN/>
              <w:bidi w:val="0"/>
              <w:adjustRightInd/>
              <w:snapToGrid/>
              <w:spacing w:line="220" w:lineRule="exact"/>
              <w:jc w:val="center"/>
              <w:rPr>
                <w:rFonts w:hint="eastAsia" w:ascii="宋体" w:hAnsi="宋体" w:eastAsia="宋体" w:cs="宋体"/>
                <w:i w:val="0"/>
                <w:iCs w:val="0"/>
                <w:color w:val="000000"/>
                <w:sz w:val="20"/>
                <w:szCs w:val="20"/>
                <w:highlight w:val="none"/>
                <w:u w:val="none"/>
              </w:rPr>
            </w:pPr>
          </w:p>
        </w:tc>
        <w:tc>
          <w:tcPr>
            <w:tcW w:w="1231"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固体粪污</w:t>
            </w:r>
          </w:p>
        </w:tc>
        <w:tc>
          <w:tcPr>
            <w:tcW w:w="960"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还田利用</w:t>
            </w:r>
          </w:p>
        </w:tc>
        <w:tc>
          <w:tcPr>
            <w:tcW w:w="1021"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 xml:space="preserve">1752.00 </w:t>
            </w:r>
          </w:p>
        </w:tc>
        <w:tc>
          <w:tcPr>
            <w:tcW w:w="965"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 xml:space="preserve">1437.54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exact"/>
          <w:jc w:val="center"/>
        </w:trPr>
        <w:tc>
          <w:tcPr>
            <w:tcW w:w="570"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63</w:t>
            </w:r>
          </w:p>
        </w:tc>
        <w:tc>
          <w:tcPr>
            <w:tcW w:w="1694"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桓仁黑沟乡天汇元肉牛养殖场</w:t>
            </w:r>
          </w:p>
        </w:tc>
        <w:tc>
          <w:tcPr>
            <w:tcW w:w="1060"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230</w:t>
            </w:r>
          </w:p>
        </w:tc>
        <w:tc>
          <w:tcPr>
            <w:tcW w:w="939" w:type="dxa"/>
            <w:noWrap/>
            <w:vAlign w:val="center"/>
          </w:tcPr>
          <w:p>
            <w:pPr>
              <w:keepNext w:val="0"/>
              <w:keepLines w:val="0"/>
              <w:pageBreakBefore w:val="0"/>
              <w:kinsoku/>
              <w:wordWrap/>
              <w:overflowPunct/>
              <w:topLinePunct w:val="0"/>
              <w:autoSpaceDE/>
              <w:autoSpaceDN/>
              <w:bidi w:val="0"/>
              <w:adjustRightInd/>
              <w:snapToGrid/>
              <w:spacing w:line="220" w:lineRule="exact"/>
              <w:jc w:val="center"/>
              <w:rPr>
                <w:rFonts w:hint="eastAsia" w:ascii="宋体" w:hAnsi="宋体" w:eastAsia="宋体" w:cs="宋体"/>
                <w:i w:val="0"/>
                <w:iCs w:val="0"/>
                <w:color w:val="000000"/>
                <w:sz w:val="20"/>
                <w:szCs w:val="20"/>
                <w:highlight w:val="none"/>
                <w:u w:val="none"/>
              </w:rPr>
            </w:pPr>
          </w:p>
        </w:tc>
        <w:tc>
          <w:tcPr>
            <w:tcW w:w="892"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330</w:t>
            </w:r>
          </w:p>
        </w:tc>
        <w:tc>
          <w:tcPr>
            <w:tcW w:w="1077" w:type="dxa"/>
            <w:noWrap/>
            <w:vAlign w:val="center"/>
          </w:tcPr>
          <w:p>
            <w:pPr>
              <w:keepNext w:val="0"/>
              <w:keepLines w:val="0"/>
              <w:pageBreakBefore w:val="0"/>
              <w:kinsoku/>
              <w:wordWrap/>
              <w:overflowPunct/>
              <w:topLinePunct w:val="0"/>
              <w:autoSpaceDE/>
              <w:autoSpaceDN/>
              <w:bidi w:val="0"/>
              <w:adjustRightInd/>
              <w:snapToGrid/>
              <w:spacing w:line="220" w:lineRule="exact"/>
              <w:jc w:val="center"/>
              <w:rPr>
                <w:rFonts w:hint="eastAsia" w:ascii="宋体" w:hAnsi="宋体" w:eastAsia="宋体" w:cs="宋体"/>
                <w:i w:val="0"/>
                <w:iCs w:val="0"/>
                <w:color w:val="000000"/>
                <w:sz w:val="20"/>
                <w:szCs w:val="20"/>
                <w:highlight w:val="none"/>
                <w:u w:val="none"/>
              </w:rPr>
            </w:pPr>
          </w:p>
        </w:tc>
        <w:tc>
          <w:tcPr>
            <w:tcW w:w="1231"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固体粪污和液体粪污</w:t>
            </w:r>
          </w:p>
        </w:tc>
        <w:tc>
          <w:tcPr>
            <w:tcW w:w="960"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还田利用</w:t>
            </w:r>
          </w:p>
        </w:tc>
        <w:tc>
          <w:tcPr>
            <w:tcW w:w="1021"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 xml:space="preserve">912.50 </w:t>
            </w:r>
          </w:p>
        </w:tc>
        <w:tc>
          <w:tcPr>
            <w:tcW w:w="965"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 xml:space="preserve">773.68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exact"/>
          <w:jc w:val="center"/>
        </w:trPr>
        <w:tc>
          <w:tcPr>
            <w:tcW w:w="570"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64</w:t>
            </w:r>
          </w:p>
        </w:tc>
        <w:tc>
          <w:tcPr>
            <w:tcW w:w="1694"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桓仁花龙养鸡场</w:t>
            </w:r>
          </w:p>
        </w:tc>
        <w:tc>
          <w:tcPr>
            <w:tcW w:w="1060" w:type="dxa"/>
            <w:noWrap/>
            <w:vAlign w:val="center"/>
          </w:tcPr>
          <w:p>
            <w:pPr>
              <w:keepNext w:val="0"/>
              <w:keepLines w:val="0"/>
              <w:pageBreakBefore w:val="0"/>
              <w:kinsoku/>
              <w:wordWrap/>
              <w:overflowPunct/>
              <w:topLinePunct w:val="0"/>
              <w:autoSpaceDE/>
              <w:autoSpaceDN/>
              <w:bidi w:val="0"/>
              <w:adjustRightInd/>
              <w:snapToGrid/>
              <w:spacing w:line="220" w:lineRule="exact"/>
              <w:jc w:val="center"/>
              <w:rPr>
                <w:rFonts w:hint="eastAsia" w:ascii="宋体" w:hAnsi="宋体" w:eastAsia="宋体" w:cs="宋体"/>
                <w:i w:val="0"/>
                <w:iCs w:val="0"/>
                <w:color w:val="000000"/>
                <w:sz w:val="20"/>
                <w:szCs w:val="20"/>
                <w:highlight w:val="none"/>
                <w:u w:val="none"/>
              </w:rPr>
            </w:pPr>
          </w:p>
        </w:tc>
        <w:tc>
          <w:tcPr>
            <w:tcW w:w="939" w:type="dxa"/>
            <w:noWrap/>
            <w:vAlign w:val="center"/>
          </w:tcPr>
          <w:p>
            <w:pPr>
              <w:keepNext w:val="0"/>
              <w:keepLines w:val="0"/>
              <w:pageBreakBefore w:val="0"/>
              <w:kinsoku/>
              <w:wordWrap/>
              <w:overflowPunct/>
              <w:topLinePunct w:val="0"/>
              <w:autoSpaceDE/>
              <w:autoSpaceDN/>
              <w:bidi w:val="0"/>
              <w:adjustRightInd/>
              <w:snapToGrid/>
              <w:spacing w:line="220" w:lineRule="exact"/>
              <w:jc w:val="center"/>
              <w:rPr>
                <w:rFonts w:hint="eastAsia" w:ascii="宋体" w:hAnsi="宋体" w:eastAsia="宋体" w:cs="宋体"/>
                <w:i w:val="0"/>
                <w:iCs w:val="0"/>
                <w:color w:val="000000"/>
                <w:sz w:val="20"/>
                <w:szCs w:val="20"/>
                <w:highlight w:val="none"/>
                <w:u w:val="none"/>
              </w:rPr>
            </w:pPr>
          </w:p>
        </w:tc>
        <w:tc>
          <w:tcPr>
            <w:tcW w:w="892"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380</w:t>
            </w:r>
          </w:p>
        </w:tc>
        <w:tc>
          <w:tcPr>
            <w:tcW w:w="1077" w:type="dxa"/>
            <w:noWrap/>
            <w:vAlign w:val="center"/>
          </w:tcPr>
          <w:p>
            <w:pPr>
              <w:keepNext w:val="0"/>
              <w:keepLines w:val="0"/>
              <w:pageBreakBefore w:val="0"/>
              <w:kinsoku/>
              <w:wordWrap/>
              <w:overflowPunct/>
              <w:topLinePunct w:val="0"/>
              <w:autoSpaceDE/>
              <w:autoSpaceDN/>
              <w:bidi w:val="0"/>
              <w:adjustRightInd/>
              <w:snapToGrid/>
              <w:spacing w:line="220" w:lineRule="exact"/>
              <w:jc w:val="center"/>
              <w:rPr>
                <w:rFonts w:hint="eastAsia" w:ascii="宋体" w:hAnsi="宋体" w:eastAsia="宋体" w:cs="宋体"/>
                <w:i w:val="0"/>
                <w:iCs w:val="0"/>
                <w:color w:val="000000"/>
                <w:sz w:val="20"/>
                <w:szCs w:val="20"/>
                <w:highlight w:val="none"/>
                <w:u w:val="none"/>
              </w:rPr>
            </w:pPr>
          </w:p>
        </w:tc>
        <w:tc>
          <w:tcPr>
            <w:tcW w:w="1231"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固体粪污</w:t>
            </w:r>
          </w:p>
        </w:tc>
        <w:tc>
          <w:tcPr>
            <w:tcW w:w="960"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还田利用</w:t>
            </w:r>
          </w:p>
        </w:tc>
        <w:tc>
          <w:tcPr>
            <w:tcW w:w="1021"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 xml:space="preserve">1635.20 </w:t>
            </w:r>
          </w:p>
        </w:tc>
        <w:tc>
          <w:tcPr>
            <w:tcW w:w="965"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 xml:space="preserve">1365.66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exact"/>
          <w:jc w:val="center"/>
        </w:trPr>
        <w:tc>
          <w:tcPr>
            <w:tcW w:w="570"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65</w:t>
            </w:r>
          </w:p>
        </w:tc>
        <w:tc>
          <w:tcPr>
            <w:tcW w:w="1694"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桓仁刘波蛋鸡饲养场（个体工商户）</w:t>
            </w:r>
          </w:p>
        </w:tc>
        <w:tc>
          <w:tcPr>
            <w:tcW w:w="1060" w:type="dxa"/>
            <w:noWrap/>
            <w:vAlign w:val="center"/>
          </w:tcPr>
          <w:p>
            <w:pPr>
              <w:keepNext w:val="0"/>
              <w:keepLines w:val="0"/>
              <w:pageBreakBefore w:val="0"/>
              <w:kinsoku/>
              <w:wordWrap/>
              <w:overflowPunct/>
              <w:topLinePunct w:val="0"/>
              <w:autoSpaceDE/>
              <w:autoSpaceDN/>
              <w:bidi w:val="0"/>
              <w:adjustRightInd/>
              <w:snapToGrid/>
              <w:spacing w:line="220" w:lineRule="exact"/>
              <w:jc w:val="center"/>
              <w:rPr>
                <w:rFonts w:hint="eastAsia" w:ascii="宋体" w:hAnsi="宋体" w:eastAsia="宋体" w:cs="宋体"/>
                <w:i w:val="0"/>
                <w:iCs w:val="0"/>
                <w:color w:val="000000"/>
                <w:sz w:val="20"/>
                <w:szCs w:val="20"/>
                <w:highlight w:val="none"/>
                <w:u w:val="none"/>
              </w:rPr>
            </w:pPr>
          </w:p>
        </w:tc>
        <w:tc>
          <w:tcPr>
            <w:tcW w:w="939" w:type="dxa"/>
            <w:noWrap/>
            <w:vAlign w:val="center"/>
          </w:tcPr>
          <w:p>
            <w:pPr>
              <w:keepNext w:val="0"/>
              <w:keepLines w:val="0"/>
              <w:pageBreakBefore w:val="0"/>
              <w:kinsoku/>
              <w:wordWrap/>
              <w:overflowPunct/>
              <w:topLinePunct w:val="0"/>
              <w:autoSpaceDE/>
              <w:autoSpaceDN/>
              <w:bidi w:val="0"/>
              <w:adjustRightInd/>
              <w:snapToGrid/>
              <w:spacing w:line="220" w:lineRule="exact"/>
              <w:jc w:val="center"/>
              <w:rPr>
                <w:rFonts w:hint="eastAsia" w:ascii="宋体" w:hAnsi="宋体" w:eastAsia="宋体" w:cs="宋体"/>
                <w:i w:val="0"/>
                <w:iCs w:val="0"/>
                <w:color w:val="000000"/>
                <w:sz w:val="20"/>
                <w:szCs w:val="20"/>
                <w:highlight w:val="none"/>
                <w:u w:val="none"/>
              </w:rPr>
            </w:pPr>
          </w:p>
        </w:tc>
        <w:tc>
          <w:tcPr>
            <w:tcW w:w="892"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400</w:t>
            </w:r>
          </w:p>
        </w:tc>
        <w:tc>
          <w:tcPr>
            <w:tcW w:w="1077" w:type="dxa"/>
            <w:noWrap/>
            <w:vAlign w:val="center"/>
          </w:tcPr>
          <w:p>
            <w:pPr>
              <w:keepNext w:val="0"/>
              <w:keepLines w:val="0"/>
              <w:pageBreakBefore w:val="0"/>
              <w:kinsoku/>
              <w:wordWrap/>
              <w:overflowPunct/>
              <w:topLinePunct w:val="0"/>
              <w:autoSpaceDE/>
              <w:autoSpaceDN/>
              <w:bidi w:val="0"/>
              <w:adjustRightInd/>
              <w:snapToGrid/>
              <w:spacing w:line="220" w:lineRule="exact"/>
              <w:jc w:val="center"/>
              <w:rPr>
                <w:rFonts w:hint="eastAsia" w:ascii="宋体" w:hAnsi="宋体" w:eastAsia="宋体" w:cs="宋体"/>
                <w:i w:val="0"/>
                <w:iCs w:val="0"/>
                <w:color w:val="000000"/>
                <w:sz w:val="20"/>
                <w:szCs w:val="20"/>
                <w:highlight w:val="none"/>
                <w:u w:val="none"/>
              </w:rPr>
            </w:pPr>
          </w:p>
        </w:tc>
        <w:tc>
          <w:tcPr>
            <w:tcW w:w="1231"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固体粪污</w:t>
            </w:r>
          </w:p>
        </w:tc>
        <w:tc>
          <w:tcPr>
            <w:tcW w:w="960"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还田利用</w:t>
            </w:r>
          </w:p>
        </w:tc>
        <w:tc>
          <w:tcPr>
            <w:tcW w:w="1021"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 xml:space="preserve">467.20 </w:t>
            </w:r>
          </w:p>
        </w:tc>
        <w:tc>
          <w:tcPr>
            <w:tcW w:w="965"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 xml:space="preserve">467.20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exact"/>
          <w:jc w:val="center"/>
        </w:trPr>
        <w:tc>
          <w:tcPr>
            <w:tcW w:w="570"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66</w:t>
            </w:r>
          </w:p>
        </w:tc>
        <w:tc>
          <w:tcPr>
            <w:tcW w:w="1694"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桓仁茂沅养殖场</w:t>
            </w:r>
          </w:p>
        </w:tc>
        <w:tc>
          <w:tcPr>
            <w:tcW w:w="1060"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1000</w:t>
            </w:r>
          </w:p>
        </w:tc>
        <w:tc>
          <w:tcPr>
            <w:tcW w:w="939" w:type="dxa"/>
            <w:noWrap/>
            <w:vAlign w:val="center"/>
          </w:tcPr>
          <w:p>
            <w:pPr>
              <w:keepNext w:val="0"/>
              <w:keepLines w:val="0"/>
              <w:pageBreakBefore w:val="0"/>
              <w:kinsoku/>
              <w:wordWrap/>
              <w:overflowPunct/>
              <w:topLinePunct w:val="0"/>
              <w:autoSpaceDE/>
              <w:autoSpaceDN/>
              <w:bidi w:val="0"/>
              <w:adjustRightInd/>
              <w:snapToGrid/>
              <w:spacing w:line="220" w:lineRule="exact"/>
              <w:jc w:val="center"/>
              <w:rPr>
                <w:rFonts w:hint="eastAsia" w:ascii="宋体" w:hAnsi="宋体" w:eastAsia="宋体" w:cs="宋体"/>
                <w:i w:val="0"/>
                <w:iCs w:val="0"/>
                <w:color w:val="000000"/>
                <w:sz w:val="20"/>
                <w:szCs w:val="20"/>
                <w:highlight w:val="none"/>
                <w:u w:val="none"/>
              </w:rPr>
            </w:pPr>
          </w:p>
        </w:tc>
        <w:tc>
          <w:tcPr>
            <w:tcW w:w="892"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500</w:t>
            </w:r>
          </w:p>
        </w:tc>
        <w:tc>
          <w:tcPr>
            <w:tcW w:w="1077" w:type="dxa"/>
            <w:noWrap/>
            <w:vAlign w:val="center"/>
          </w:tcPr>
          <w:p>
            <w:pPr>
              <w:keepNext w:val="0"/>
              <w:keepLines w:val="0"/>
              <w:pageBreakBefore w:val="0"/>
              <w:kinsoku/>
              <w:wordWrap/>
              <w:overflowPunct/>
              <w:topLinePunct w:val="0"/>
              <w:autoSpaceDE/>
              <w:autoSpaceDN/>
              <w:bidi w:val="0"/>
              <w:adjustRightInd/>
              <w:snapToGrid/>
              <w:spacing w:line="220" w:lineRule="exact"/>
              <w:jc w:val="center"/>
              <w:rPr>
                <w:rFonts w:hint="eastAsia" w:ascii="宋体" w:hAnsi="宋体" w:eastAsia="宋体" w:cs="宋体"/>
                <w:i w:val="0"/>
                <w:iCs w:val="0"/>
                <w:color w:val="000000"/>
                <w:sz w:val="20"/>
                <w:szCs w:val="20"/>
                <w:highlight w:val="none"/>
                <w:u w:val="none"/>
              </w:rPr>
            </w:pPr>
          </w:p>
        </w:tc>
        <w:tc>
          <w:tcPr>
            <w:tcW w:w="1231"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固体粪污和液体粪污</w:t>
            </w:r>
          </w:p>
        </w:tc>
        <w:tc>
          <w:tcPr>
            <w:tcW w:w="960"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还田利用</w:t>
            </w:r>
          </w:p>
        </w:tc>
        <w:tc>
          <w:tcPr>
            <w:tcW w:w="1021"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 xml:space="preserve">1748.35 </w:t>
            </w:r>
          </w:p>
        </w:tc>
        <w:tc>
          <w:tcPr>
            <w:tcW w:w="965"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 xml:space="preserve">1452.39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exact"/>
          <w:jc w:val="center"/>
        </w:trPr>
        <w:tc>
          <w:tcPr>
            <w:tcW w:w="570"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67</w:t>
            </w:r>
          </w:p>
        </w:tc>
        <w:tc>
          <w:tcPr>
            <w:tcW w:w="1694"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桓仁材朱种猪场</w:t>
            </w:r>
          </w:p>
        </w:tc>
        <w:tc>
          <w:tcPr>
            <w:tcW w:w="1060"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4300</w:t>
            </w:r>
          </w:p>
        </w:tc>
        <w:tc>
          <w:tcPr>
            <w:tcW w:w="939" w:type="dxa"/>
            <w:noWrap/>
            <w:vAlign w:val="center"/>
          </w:tcPr>
          <w:p>
            <w:pPr>
              <w:keepNext w:val="0"/>
              <w:keepLines w:val="0"/>
              <w:pageBreakBefore w:val="0"/>
              <w:kinsoku/>
              <w:wordWrap/>
              <w:overflowPunct/>
              <w:topLinePunct w:val="0"/>
              <w:autoSpaceDE/>
              <w:autoSpaceDN/>
              <w:bidi w:val="0"/>
              <w:adjustRightInd/>
              <w:snapToGrid/>
              <w:spacing w:line="220" w:lineRule="exact"/>
              <w:jc w:val="center"/>
              <w:rPr>
                <w:rFonts w:hint="eastAsia" w:ascii="宋体" w:hAnsi="宋体" w:eastAsia="宋体" w:cs="宋体"/>
                <w:i w:val="0"/>
                <w:iCs w:val="0"/>
                <w:color w:val="000000"/>
                <w:sz w:val="20"/>
                <w:szCs w:val="20"/>
                <w:highlight w:val="none"/>
                <w:u w:val="none"/>
              </w:rPr>
            </w:pPr>
          </w:p>
        </w:tc>
        <w:tc>
          <w:tcPr>
            <w:tcW w:w="892"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150</w:t>
            </w:r>
          </w:p>
        </w:tc>
        <w:tc>
          <w:tcPr>
            <w:tcW w:w="1077" w:type="dxa"/>
            <w:noWrap/>
            <w:vAlign w:val="center"/>
          </w:tcPr>
          <w:p>
            <w:pPr>
              <w:keepNext w:val="0"/>
              <w:keepLines w:val="0"/>
              <w:pageBreakBefore w:val="0"/>
              <w:kinsoku/>
              <w:wordWrap/>
              <w:overflowPunct/>
              <w:topLinePunct w:val="0"/>
              <w:autoSpaceDE/>
              <w:autoSpaceDN/>
              <w:bidi w:val="0"/>
              <w:adjustRightInd/>
              <w:snapToGrid/>
              <w:spacing w:line="220" w:lineRule="exact"/>
              <w:jc w:val="center"/>
              <w:rPr>
                <w:rFonts w:hint="eastAsia" w:ascii="宋体" w:hAnsi="宋体" w:eastAsia="宋体" w:cs="宋体"/>
                <w:i w:val="0"/>
                <w:iCs w:val="0"/>
                <w:color w:val="000000"/>
                <w:sz w:val="20"/>
                <w:szCs w:val="20"/>
                <w:highlight w:val="none"/>
                <w:u w:val="none"/>
              </w:rPr>
            </w:pPr>
          </w:p>
        </w:tc>
        <w:tc>
          <w:tcPr>
            <w:tcW w:w="1231"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固体粪污和液体粪污</w:t>
            </w:r>
          </w:p>
        </w:tc>
        <w:tc>
          <w:tcPr>
            <w:tcW w:w="960"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还田利用</w:t>
            </w:r>
          </w:p>
        </w:tc>
        <w:tc>
          <w:tcPr>
            <w:tcW w:w="1021"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 xml:space="preserve">3577.00 </w:t>
            </w:r>
          </w:p>
        </w:tc>
        <w:tc>
          <w:tcPr>
            <w:tcW w:w="965"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 xml:space="preserve">3019.64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exact"/>
          <w:jc w:val="center"/>
        </w:trPr>
        <w:tc>
          <w:tcPr>
            <w:tcW w:w="570"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68</w:t>
            </w:r>
          </w:p>
        </w:tc>
        <w:tc>
          <w:tcPr>
            <w:tcW w:w="1694"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桓仁云飞养猪场</w:t>
            </w:r>
          </w:p>
        </w:tc>
        <w:tc>
          <w:tcPr>
            <w:tcW w:w="1060"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1533</w:t>
            </w:r>
          </w:p>
        </w:tc>
        <w:tc>
          <w:tcPr>
            <w:tcW w:w="939" w:type="dxa"/>
            <w:noWrap/>
            <w:vAlign w:val="center"/>
          </w:tcPr>
          <w:p>
            <w:pPr>
              <w:keepNext w:val="0"/>
              <w:keepLines w:val="0"/>
              <w:pageBreakBefore w:val="0"/>
              <w:kinsoku/>
              <w:wordWrap/>
              <w:overflowPunct/>
              <w:topLinePunct w:val="0"/>
              <w:autoSpaceDE/>
              <w:autoSpaceDN/>
              <w:bidi w:val="0"/>
              <w:adjustRightInd/>
              <w:snapToGrid/>
              <w:spacing w:line="220" w:lineRule="exact"/>
              <w:jc w:val="center"/>
              <w:rPr>
                <w:rFonts w:hint="eastAsia" w:ascii="宋体" w:hAnsi="宋体" w:eastAsia="宋体" w:cs="宋体"/>
                <w:i w:val="0"/>
                <w:iCs w:val="0"/>
                <w:color w:val="000000"/>
                <w:sz w:val="20"/>
                <w:szCs w:val="20"/>
                <w:highlight w:val="none"/>
                <w:u w:val="none"/>
              </w:rPr>
            </w:pPr>
          </w:p>
        </w:tc>
        <w:tc>
          <w:tcPr>
            <w:tcW w:w="892"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270</w:t>
            </w:r>
          </w:p>
        </w:tc>
        <w:tc>
          <w:tcPr>
            <w:tcW w:w="1077" w:type="dxa"/>
            <w:noWrap/>
            <w:vAlign w:val="center"/>
          </w:tcPr>
          <w:p>
            <w:pPr>
              <w:keepNext w:val="0"/>
              <w:keepLines w:val="0"/>
              <w:pageBreakBefore w:val="0"/>
              <w:kinsoku/>
              <w:wordWrap/>
              <w:overflowPunct/>
              <w:topLinePunct w:val="0"/>
              <w:autoSpaceDE/>
              <w:autoSpaceDN/>
              <w:bidi w:val="0"/>
              <w:adjustRightInd/>
              <w:snapToGrid/>
              <w:spacing w:line="220" w:lineRule="exact"/>
              <w:jc w:val="center"/>
              <w:rPr>
                <w:rFonts w:hint="eastAsia" w:ascii="宋体" w:hAnsi="宋体" w:eastAsia="宋体" w:cs="宋体"/>
                <w:i w:val="0"/>
                <w:iCs w:val="0"/>
                <w:color w:val="000000"/>
                <w:sz w:val="20"/>
                <w:szCs w:val="20"/>
                <w:highlight w:val="none"/>
                <w:u w:val="none"/>
              </w:rPr>
            </w:pPr>
          </w:p>
        </w:tc>
        <w:tc>
          <w:tcPr>
            <w:tcW w:w="1231"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固体粪污和液体粪污</w:t>
            </w:r>
          </w:p>
        </w:tc>
        <w:tc>
          <w:tcPr>
            <w:tcW w:w="960"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还田利用</w:t>
            </w:r>
          </w:p>
        </w:tc>
        <w:tc>
          <w:tcPr>
            <w:tcW w:w="1021"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 xml:space="preserve">2142.55 </w:t>
            </w:r>
          </w:p>
        </w:tc>
        <w:tc>
          <w:tcPr>
            <w:tcW w:w="965"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 xml:space="preserve">1775.14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exact"/>
          <w:jc w:val="center"/>
        </w:trPr>
        <w:tc>
          <w:tcPr>
            <w:tcW w:w="570"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69</w:t>
            </w:r>
          </w:p>
        </w:tc>
        <w:tc>
          <w:tcPr>
            <w:tcW w:w="1694"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桓仁会利养鸡场</w:t>
            </w:r>
          </w:p>
        </w:tc>
        <w:tc>
          <w:tcPr>
            <w:tcW w:w="1060" w:type="dxa"/>
            <w:noWrap/>
            <w:vAlign w:val="center"/>
          </w:tcPr>
          <w:p>
            <w:pPr>
              <w:keepNext w:val="0"/>
              <w:keepLines w:val="0"/>
              <w:pageBreakBefore w:val="0"/>
              <w:kinsoku/>
              <w:wordWrap/>
              <w:overflowPunct/>
              <w:topLinePunct w:val="0"/>
              <w:autoSpaceDE/>
              <w:autoSpaceDN/>
              <w:bidi w:val="0"/>
              <w:adjustRightInd/>
              <w:snapToGrid/>
              <w:spacing w:line="220" w:lineRule="exact"/>
              <w:jc w:val="center"/>
              <w:rPr>
                <w:rFonts w:hint="eastAsia" w:ascii="宋体" w:hAnsi="宋体" w:eastAsia="宋体" w:cs="宋体"/>
                <w:i w:val="0"/>
                <w:iCs w:val="0"/>
                <w:color w:val="000000"/>
                <w:sz w:val="20"/>
                <w:szCs w:val="20"/>
                <w:highlight w:val="none"/>
                <w:u w:val="none"/>
              </w:rPr>
            </w:pPr>
          </w:p>
        </w:tc>
        <w:tc>
          <w:tcPr>
            <w:tcW w:w="939" w:type="dxa"/>
            <w:noWrap/>
            <w:vAlign w:val="center"/>
          </w:tcPr>
          <w:p>
            <w:pPr>
              <w:keepNext w:val="0"/>
              <w:keepLines w:val="0"/>
              <w:pageBreakBefore w:val="0"/>
              <w:kinsoku/>
              <w:wordWrap/>
              <w:overflowPunct/>
              <w:topLinePunct w:val="0"/>
              <w:autoSpaceDE/>
              <w:autoSpaceDN/>
              <w:bidi w:val="0"/>
              <w:adjustRightInd/>
              <w:snapToGrid/>
              <w:spacing w:line="220" w:lineRule="exact"/>
              <w:jc w:val="center"/>
              <w:rPr>
                <w:rFonts w:hint="eastAsia" w:ascii="宋体" w:hAnsi="宋体" w:eastAsia="宋体" w:cs="宋体"/>
                <w:i w:val="0"/>
                <w:iCs w:val="0"/>
                <w:color w:val="000000"/>
                <w:sz w:val="20"/>
                <w:szCs w:val="20"/>
                <w:highlight w:val="none"/>
                <w:u w:val="none"/>
              </w:rPr>
            </w:pPr>
          </w:p>
        </w:tc>
        <w:tc>
          <w:tcPr>
            <w:tcW w:w="892"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300</w:t>
            </w:r>
          </w:p>
        </w:tc>
        <w:tc>
          <w:tcPr>
            <w:tcW w:w="1077" w:type="dxa"/>
            <w:noWrap/>
            <w:vAlign w:val="center"/>
          </w:tcPr>
          <w:p>
            <w:pPr>
              <w:keepNext w:val="0"/>
              <w:keepLines w:val="0"/>
              <w:pageBreakBefore w:val="0"/>
              <w:kinsoku/>
              <w:wordWrap/>
              <w:overflowPunct/>
              <w:topLinePunct w:val="0"/>
              <w:autoSpaceDE/>
              <w:autoSpaceDN/>
              <w:bidi w:val="0"/>
              <w:adjustRightInd/>
              <w:snapToGrid/>
              <w:spacing w:line="220" w:lineRule="exact"/>
              <w:jc w:val="center"/>
              <w:rPr>
                <w:rFonts w:hint="eastAsia" w:ascii="宋体" w:hAnsi="宋体" w:eastAsia="宋体" w:cs="宋体"/>
                <w:i w:val="0"/>
                <w:iCs w:val="0"/>
                <w:color w:val="000000"/>
                <w:sz w:val="20"/>
                <w:szCs w:val="20"/>
                <w:highlight w:val="none"/>
                <w:u w:val="none"/>
              </w:rPr>
            </w:pPr>
          </w:p>
        </w:tc>
        <w:tc>
          <w:tcPr>
            <w:tcW w:w="1231"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固体粪污</w:t>
            </w:r>
          </w:p>
        </w:tc>
        <w:tc>
          <w:tcPr>
            <w:tcW w:w="960"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还田利用</w:t>
            </w:r>
          </w:p>
        </w:tc>
        <w:tc>
          <w:tcPr>
            <w:tcW w:w="1021"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 xml:space="preserve">700.80 </w:t>
            </w:r>
          </w:p>
        </w:tc>
        <w:tc>
          <w:tcPr>
            <w:tcW w:w="965"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 xml:space="preserve">700.80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exact"/>
          <w:jc w:val="center"/>
        </w:trPr>
        <w:tc>
          <w:tcPr>
            <w:tcW w:w="570"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70</w:t>
            </w:r>
          </w:p>
        </w:tc>
        <w:tc>
          <w:tcPr>
            <w:tcW w:w="1694"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桓仁钿宇牧业有限公司</w:t>
            </w:r>
          </w:p>
        </w:tc>
        <w:tc>
          <w:tcPr>
            <w:tcW w:w="1060" w:type="dxa"/>
            <w:noWrap/>
            <w:vAlign w:val="center"/>
          </w:tcPr>
          <w:p>
            <w:pPr>
              <w:keepNext w:val="0"/>
              <w:keepLines w:val="0"/>
              <w:pageBreakBefore w:val="0"/>
              <w:kinsoku/>
              <w:wordWrap/>
              <w:overflowPunct/>
              <w:topLinePunct w:val="0"/>
              <w:autoSpaceDE/>
              <w:autoSpaceDN/>
              <w:bidi w:val="0"/>
              <w:adjustRightInd/>
              <w:snapToGrid/>
              <w:spacing w:line="220" w:lineRule="exact"/>
              <w:jc w:val="center"/>
              <w:rPr>
                <w:rFonts w:hint="eastAsia" w:ascii="宋体" w:hAnsi="宋体" w:eastAsia="宋体" w:cs="宋体"/>
                <w:i w:val="0"/>
                <w:iCs w:val="0"/>
                <w:color w:val="000000"/>
                <w:sz w:val="20"/>
                <w:szCs w:val="20"/>
                <w:highlight w:val="none"/>
                <w:u w:val="none"/>
              </w:rPr>
            </w:pPr>
          </w:p>
        </w:tc>
        <w:tc>
          <w:tcPr>
            <w:tcW w:w="939" w:type="dxa"/>
            <w:noWrap/>
            <w:vAlign w:val="center"/>
          </w:tcPr>
          <w:p>
            <w:pPr>
              <w:keepNext w:val="0"/>
              <w:keepLines w:val="0"/>
              <w:pageBreakBefore w:val="0"/>
              <w:kinsoku/>
              <w:wordWrap/>
              <w:overflowPunct/>
              <w:topLinePunct w:val="0"/>
              <w:autoSpaceDE/>
              <w:autoSpaceDN/>
              <w:bidi w:val="0"/>
              <w:adjustRightInd/>
              <w:snapToGrid/>
              <w:spacing w:line="220" w:lineRule="exact"/>
              <w:jc w:val="center"/>
              <w:rPr>
                <w:rFonts w:hint="eastAsia" w:ascii="宋体" w:hAnsi="宋体" w:eastAsia="宋体" w:cs="宋体"/>
                <w:i w:val="0"/>
                <w:iCs w:val="0"/>
                <w:color w:val="000000"/>
                <w:sz w:val="20"/>
                <w:szCs w:val="20"/>
                <w:highlight w:val="none"/>
                <w:u w:val="none"/>
              </w:rPr>
            </w:pPr>
          </w:p>
        </w:tc>
        <w:tc>
          <w:tcPr>
            <w:tcW w:w="892"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980</w:t>
            </w:r>
          </w:p>
        </w:tc>
        <w:tc>
          <w:tcPr>
            <w:tcW w:w="1077" w:type="dxa"/>
            <w:noWrap/>
            <w:vAlign w:val="center"/>
          </w:tcPr>
          <w:p>
            <w:pPr>
              <w:keepNext w:val="0"/>
              <w:keepLines w:val="0"/>
              <w:pageBreakBefore w:val="0"/>
              <w:kinsoku/>
              <w:wordWrap/>
              <w:overflowPunct/>
              <w:topLinePunct w:val="0"/>
              <w:autoSpaceDE/>
              <w:autoSpaceDN/>
              <w:bidi w:val="0"/>
              <w:adjustRightInd/>
              <w:snapToGrid/>
              <w:spacing w:line="220" w:lineRule="exact"/>
              <w:jc w:val="center"/>
              <w:rPr>
                <w:rFonts w:hint="eastAsia" w:ascii="宋体" w:hAnsi="宋体" w:eastAsia="宋体" w:cs="宋体"/>
                <w:i w:val="0"/>
                <w:iCs w:val="0"/>
                <w:color w:val="000000"/>
                <w:sz w:val="20"/>
                <w:szCs w:val="20"/>
                <w:highlight w:val="none"/>
                <w:u w:val="none"/>
              </w:rPr>
            </w:pPr>
          </w:p>
        </w:tc>
        <w:tc>
          <w:tcPr>
            <w:tcW w:w="1231"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固体粪污</w:t>
            </w:r>
          </w:p>
        </w:tc>
        <w:tc>
          <w:tcPr>
            <w:tcW w:w="960"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还田利用</w:t>
            </w:r>
          </w:p>
        </w:tc>
        <w:tc>
          <w:tcPr>
            <w:tcW w:w="1021"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 xml:space="preserve">584.00 </w:t>
            </w:r>
          </w:p>
        </w:tc>
        <w:tc>
          <w:tcPr>
            <w:tcW w:w="965"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 xml:space="preserve">584.00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1" w:hRule="exact"/>
          <w:jc w:val="center"/>
        </w:trPr>
        <w:tc>
          <w:tcPr>
            <w:tcW w:w="570"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71</w:t>
            </w:r>
          </w:p>
        </w:tc>
        <w:tc>
          <w:tcPr>
            <w:tcW w:w="1694"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桓仁普乐堡振国养殖场</w:t>
            </w:r>
          </w:p>
        </w:tc>
        <w:tc>
          <w:tcPr>
            <w:tcW w:w="1060" w:type="dxa"/>
            <w:noWrap/>
            <w:vAlign w:val="center"/>
          </w:tcPr>
          <w:p>
            <w:pPr>
              <w:keepNext w:val="0"/>
              <w:keepLines w:val="0"/>
              <w:pageBreakBefore w:val="0"/>
              <w:kinsoku/>
              <w:wordWrap/>
              <w:overflowPunct/>
              <w:topLinePunct w:val="0"/>
              <w:autoSpaceDE/>
              <w:autoSpaceDN/>
              <w:bidi w:val="0"/>
              <w:adjustRightInd/>
              <w:snapToGrid/>
              <w:spacing w:line="220" w:lineRule="exact"/>
              <w:jc w:val="center"/>
              <w:rPr>
                <w:rFonts w:hint="eastAsia" w:ascii="宋体" w:hAnsi="宋体" w:eastAsia="宋体" w:cs="宋体"/>
                <w:i w:val="0"/>
                <w:iCs w:val="0"/>
                <w:color w:val="000000"/>
                <w:sz w:val="20"/>
                <w:szCs w:val="20"/>
                <w:highlight w:val="none"/>
                <w:u w:val="none"/>
              </w:rPr>
            </w:pPr>
          </w:p>
        </w:tc>
        <w:tc>
          <w:tcPr>
            <w:tcW w:w="939" w:type="dxa"/>
            <w:noWrap/>
            <w:vAlign w:val="center"/>
          </w:tcPr>
          <w:p>
            <w:pPr>
              <w:keepNext w:val="0"/>
              <w:keepLines w:val="0"/>
              <w:pageBreakBefore w:val="0"/>
              <w:kinsoku/>
              <w:wordWrap/>
              <w:overflowPunct/>
              <w:topLinePunct w:val="0"/>
              <w:autoSpaceDE/>
              <w:autoSpaceDN/>
              <w:bidi w:val="0"/>
              <w:adjustRightInd/>
              <w:snapToGrid/>
              <w:spacing w:line="220" w:lineRule="exact"/>
              <w:jc w:val="center"/>
              <w:rPr>
                <w:rFonts w:hint="eastAsia" w:ascii="宋体" w:hAnsi="宋体" w:eastAsia="宋体" w:cs="宋体"/>
                <w:i w:val="0"/>
                <w:iCs w:val="0"/>
                <w:color w:val="000000"/>
                <w:sz w:val="20"/>
                <w:szCs w:val="20"/>
                <w:highlight w:val="none"/>
                <w:u w:val="none"/>
              </w:rPr>
            </w:pPr>
          </w:p>
        </w:tc>
        <w:tc>
          <w:tcPr>
            <w:tcW w:w="892"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1500</w:t>
            </w:r>
          </w:p>
        </w:tc>
        <w:tc>
          <w:tcPr>
            <w:tcW w:w="1077" w:type="dxa"/>
            <w:noWrap/>
            <w:vAlign w:val="center"/>
          </w:tcPr>
          <w:p>
            <w:pPr>
              <w:keepNext w:val="0"/>
              <w:keepLines w:val="0"/>
              <w:pageBreakBefore w:val="0"/>
              <w:kinsoku/>
              <w:wordWrap/>
              <w:overflowPunct/>
              <w:topLinePunct w:val="0"/>
              <w:autoSpaceDE/>
              <w:autoSpaceDN/>
              <w:bidi w:val="0"/>
              <w:adjustRightInd/>
              <w:snapToGrid/>
              <w:spacing w:line="220" w:lineRule="exact"/>
              <w:jc w:val="center"/>
              <w:rPr>
                <w:rFonts w:hint="eastAsia" w:ascii="宋体" w:hAnsi="宋体" w:eastAsia="宋体" w:cs="宋体"/>
                <w:i w:val="0"/>
                <w:iCs w:val="0"/>
                <w:color w:val="000000"/>
                <w:sz w:val="20"/>
                <w:szCs w:val="20"/>
                <w:highlight w:val="none"/>
                <w:u w:val="none"/>
              </w:rPr>
            </w:pPr>
          </w:p>
        </w:tc>
        <w:tc>
          <w:tcPr>
            <w:tcW w:w="1231"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固体粪污</w:t>
            </w:r>
          </w:p>
        </w:tc>
        <w:tc>
          <w:tcPr>
            <w:tcW w:w="960"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还田利用、固体粪污委托处理生产有机肥</w:t>
            </w:r>
          </w:p>
        </w:tc>
        <w:tc>
          <w:tcPr>
            <w:tcW w:w="1021"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 xml:space="preserve">18396.00 </w:t>
            </w:r>
          </w:p>
        </w:tc>
        <w:tc>
          <w:tcPr>
            <w:tcW w:w="965"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 xml:space="preserve">16983.28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exact"/>
          <w:jc w:val="center"/>
        </w:trPr>
        <w:tc>
          <w:tcPr>
            <w:tcW w:w="570"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72</w:t>
            </w:r>
          </w:p>
        </w:tc>
        <w:tc>
          <w:tcPr>
            <w:tcW w:w="1694"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桓仁旺祺蛋鸡饲养场</w:t>
            </w:r>
          </w:p>
        </w:tc>
        <w:tc>
          <w:tcPr>
            <w:tcW w:w="1060" w:type="dxa"/>
            <w:noWrap/>
            <w:vAlign w:val="center"/>
          </w:tcPr>
          <w:p>
            <w:pPr>
              <w:keepNext w:val="0"/>
              <w:keepLines w:val="0"/>
              <w:pageBreakBefore w:val="0"/>
              <w:kinsoku/>
              <w:wordWrap/>
              <w:overflowPunct/>
              <w:topLinePunct w:val="0"/>
              <w:autoSpaceDE/>
              <w:autoSpaceDN/>
              <w:bidi w:val="0"/>
              <w:adjustRightInd/>
              <w:snapToGrid/>
              <w:spacing w:line="220" w:lineRule="exact"/>
              <w:jc w:val="center"/>
              <w:rPr>
                <w:rFonts w:hint="eastAsia" w:ascii="宋体" w:hAnsi="宋体" w:eastAsia="宋体" w:cs="宋体"/>
                <w:i w:val="0"/>
                <w:iCs w:val="0"/>
                <w:color w:val="000000"/>
                <w:sz w:val="20"/>
                <w:szCs w:val="20"/>
                <w:highlight w:val="none"/>
                <w:u w:val="none"/>
              </w:rPr>
            </w:pPr>
          </w:p>
        </w:tc>
        <w:tc>
          <w:tcPr>
            <w:tcW w:w="939" w:type="dxa"/>
            <w:noWrap/>
            <w:vAlign w:val="center"/>
          </w:tcPr>
          <w:p>
            <w:pPr>
              <w:keepNext w:val="0"/>
              <w:keepLines w:val="0"/>
              <w:pageBreakBefore w:val="0"/>
              <w:kinsoku/>
              <w:wordWrap/>
              <w:overflowPunct/>
              <w:topLinePunct w:val="0"/>
              <w:autoSpaceDE/>
              <w:autoSpaceDN/>
              <w:bidi w:val="0"/>
              <w:adjustRightInd/>
              <w:snapToGrid/>
              <w:spacing w:line="220" w:lineRule="exact"/>
              <w:jc w:val="center"/>
              <w:rPr>
                <w:rFonts w:hint="eastAsia" w:ascii="宋体" w:hAnsi="宋体" w:eastAsia="宋体" w:cs="宋体"/>
                <w:i w:val="0"/>
                <w:iCs w:val="0"/>
                <w:color w:val="000000"/>
                <w:sz w:val="20"/>
                <w:szCs w:val="20"/>
                <w:highlight w:val="none"/>
                <w:u w:val="none"/>
              </w:rPr>
            </w:pPr>
          </w:p>
        </w:tc>
        <w:tc>
          <w:tcPr>
            <w:tcW w:w="892"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400</w:t>
            </w:r>
          </w:p>
        </w:tc>
        <w:tc>
          <w:tcPr>
            <w:tcW w:w="1077" w:type="dxa"/>
            <w:noWrap/>
            <w:vAlign w:val="center"/>
          </w:tcPr>
          <w:p>
            <w:pPr>
              <w:keepNext w:val="0"/>
              <w:keepLines w:val="0"/>
              <w:pageBreakBefore w:val="0"/>
              <w:kinsoku/>
              <w:wordWrap/>
              <w:overflowPunct/>
              <w:topLinePunct w:val="0"/>
              <w:autoSpaceDE/>
              <w:autoSpaceDN/>
              <w:bidi w:val="0"/>
              <w:adjustRightInd/>
              <w:snapToGrid/>
              <w:spacing w:line="220" w:lineRule="exact"/>
              <w:jc w:val="center"/>
              <w:rPr>
                <w:rFonts w:hint="eastAsia" w:ascii="宋体" w:hAnsi="宋体" w:eastAsia="宋体" w:cs="宋体"/>
                <w:i w:val="0"/>
                <w:iCs w:val="0"/>
                <w:color w:val="000000"/>
                <w:sz w:val="20"/>
                <w:szCs w:val="20"/>
                <w:highlight w:val="none"/>
                <w:u w:val="none"/>
              </w:rPr>
            </w:pPr>
          </w:p>
        </w:tc>
        <w:tc>
          <w:tcPr>
            <w:tcW w:w="1231"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固体粪污</w:t>
            </w:r>
          </w:p>
        </w:tc>
        <w:tc>
          <w:tcPr>
            <w:tcW w:w="960"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还田利用</w:t>
            </w:r>
          </w:p>
        </w:tc>
        <w:tc>
          <w:tcPr>
            <w:tcW w:w="1021"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 xml:space="preserve">584.00 </w:t>
            </w:r>
          </w:p>
        </w:tc>
        <w:tc>
          <w:tcPr>
            <w:tcW w:w="965"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 xml:space="preserve">479.18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exact"/>
          <w:jc w:val="center"/>
        </w:trPr>
        <w:tc>
          <w:tcPr>
            <w:tcW w:w="570"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73</w:t>
            </w:r>
          </w:p>
        </w:tc>
        <w:tc>
          <w:tcPr>
            <w:tcW w:w="1694"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桓仁二棚甸子镇兴旺养鸡场</w:t>
            </w:r>
          </w:p>
        </w:tc>
        <w:tc>
          <w:tcPr>
            <w:tcW w:w="1060" w:type="dxa"/>
            <w:noWrap/>
            <w:vAlign w:val="center"/>
          </w:tcPr>
          <w:p>
            <w:pPr>
              <w:keepNext w:val="0"/>
              <w:keepLines w:val="0"/>
              <w:pageBreakBefore w:val="0"/>
              <w:kinsoku/>
              <w:wordWrap/>
              <w:overflowPunct/>
              <w:topLinePunct w:val="0"/>
              <w:autoSpaceDE/>
              <w:autoSpaceDN/>
              <w:bidi w:val="0"/>
              <w:adjustRightInd/>
              <w:snapToGrid/>
              <w:spacing w:line="220" w:lineRule="exact"/>
              <w:jc w:val="center"/>
              <w:rPr>
                <w:rFonts w:hint="eastAsia" w:ascii="宋体" w:hAnsi="宋体" w:eastAsia="宋体" w:cs="宋体"/>
                <w:i w:val="0"/>
                <w:iCs w:val="0"/>
                <w:color w:val="000000"/>
                <w:sz w:val="20"/>
                <w:szCs w:val="20"/>
                <w:highlight w:val="none"/>
                <w:u w:val="none"/>
              </w:rPr>
            </w:pPr>
          </w:p>
        </w:tc>
        <w:tc>
          <w:tcPr>
            <w:tcW w:w="939" w:type="dxa"/>
            <w:noWrap/>
            <w:vAlign w:val="center"/>
          </w:tcPr>
          <w:p>
            <w:pPr>
              <w:keepNext w:val="0"/>
              <w:keepLines w:val="0"/>
              <w:pageBreakBefore w:val="0"/>
              <w:kinsoku/>
              <w:wordWrap/>
              <w:overflowPunct/>
              <w:topLinePunct w:val="0"/>
              <w:autoSpaceDE/>
              <w:autoSpaceDN/>
              <w:bidi w:val="0"/>
              <w:adjustRightInd/>
              <w:snapToGrid/>
              <w:spacing w:line="220" w:lineRule="exact"/>
              <w:jc w:val="center"/>
              <w:rPr>
                <w:rFonts w:hint="eastAsia" w:ascii="宋体" w:hAnsi="宋体" w:eastAsia="宋体" w:cs="宋体"/>
                <w:i w:val="0"/>
                <w:iCs w:val="0"/>
                <w:color w:val="000000"/>
                <w:sz w:val="20"/>
                <w:szCs w:val="20"/>
                <w:highlight w:val="none"/>
                <w:u w:val="none"/>
              </w:rPr>
            </w:pPr>
          </w:p>
        </w:tc>
        <w:tc>
          <w:tcPr>
            <w:tcW w:w="892"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600</w:t>
            </w:r>
          </w:p>
        </w:tc>
        <w:tc>
          <w:tcPr>
            <w:tcW w:w="1077" w:type="dxa"/>
            <w:noWrap/>
            <w:vAlign w:val="center"/>
          </w:tcPr>
          <w:p>
            <w:pPr>
              <w:keepNext w:val="0"/>
              <w:keepLines w:val="0"/>
              <w:pageBreakBefore w:val="0"/>
              <w:kinsoku/>
              <w:wordWrap/>
              <w:overflowPunct/>
              <w:topLinePunct w:val="0"/>
              <w:autoSpaceDE/>
              <w:autoSpaceDN/>
              <w:bidi w:val="0"/>
              <w:adjustRightInd/>
              <w:snapToGrid/>
              <w:spacing w:line="220" w:lineRule="exact"/>
              <w:jc w:val="center"/>
              <w:rPr>
                <w:rFonts w:hint="eastAsia" w:ascii="宋体" w:hAnsi="宋体" w:eastAsia="宋体" w:cs="宋体"/>
                <w:i w:val="0"/>
                <w:iCs w:val="0"/>
                <w:color w:val="000000"/>
                <w:sz w:val="20"/>
                <w:szCs w:val="20"/>
                <w:highlight w:val="none"/>
                <w:u w:val="none"/>
              </w:rPr>
            </w:pPr>
          </w:p>
        </w:tc>
        <w:tc>
          <w:tcPr>
            <w:tcW w:w="1231"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固体粪污</w:t>
            </w:r>
          </w:p>
        </w:tc>
        <w:tc>
          <w:tcPr>
            <w:tcW w:w="960"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还田利用</w:t>
            </w:r>
          </w:p>
        </w:tc>
        <w:tc>
          <w:tcPr>
            <w:tcW w:w="1021"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 xml:space="preserve">1752.00 </w:t>
            </w:r>
          </w:p>
        </w:tc>
        <w:tc>
          <w:tcPr>
            <w:tcW w:w="965"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 xml:space="preserve">1685.07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3" w:hRule="exact"/>
          <w:jc w:val="center"/>
        </w:trPr>
        <w:tc>
          <w:tcPr>
            <w:tcW w:w="570"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74</w:t>
            </w:r>
          </w:p>
        </w:tc>
        <w:tc>
          <w:tcPr>
            <w:tcW w:w="1694"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桓仁满族自治县鞠春河家禽家畜养殖场</w:t>
            </w:r>
          </w:p>
        </w:tc>
        <w:tc>
          <w:tcPr>
            <w:tcW w:w="1060" w:type="dxa"/>
            <w:noWrap/>
            <w:vAlign w:val="center"/>
          </w:tcPr>
          <w:p>
            <w:pPr>
              <w:keepNext w:val="0"/>
              <w:keepLines w:val="0"/>
              <w:pageBreakBefore w:val="0"/>
              <w:kinsoku/>
              <w:wordWrap/>
              <w:overflowPunct/>
              <w:topLinePunct w:val="0"/>
              <w:autoSpaceDE/>
              <w:autoSpaceDN/>
              <w:bidi w:val="0"/>
              <w:adjustRightInd/>
              <w:snapToGrid/>
              <w:spacing w:line="220" w:lineRule="exact"/>
              <w:jc w:val="center"/>
              <w:rPr>
                <w:rFonts w:hint="eastAsia" w:ascii="宋体" w:hAnsi="宋体" w:eastAsia="宋体" w:cs="宋体"/>
                <w:i w:val="0"/>
                <w:iCs w:val="0"/>
                <w:color w:val="000000"/>
                <w:sz w:val="20"/>
                <w:szCs w:val="20"/>
                <w:highlight w:val="none"/>
                <w:u w:val="none"/>
              </w:rPr>
            </w:pPr>
          </w:p>
        </w:tc>
        <w:tc>
          <w:tcPr>
            <w:tcW w:w="939" w:type="dxa"/>
            <w:noWrap/>
            <w:vAlign w:val="center"/>
          </w:tcPr>
          <w:p>
            <w:pPr>
              <w:keepNext w:val="0"/>
              <w:keepLines w:val="0"/>
              <w:pageBreakBefore w:val="0"/>
              <w:kinsoku/>
              <w:wordWrap/>
              <w:overflowPunct/>
              <w:topLinePunct w:val="0"/>
              <w:autoSpaceDE/>
              <w:autoSpaceDN/>
              <w:bidi w:val="0"/>
              <w:adjustRightInd/>
              <w:snapToGrid/>
              <w:spacing w:line="220" w:lineRule="exact"/>
              <w:jc w:val="center"/>
              <w:rPr>
                <w:rFonts w:hint="eastAsia" w:ascii="宋体" w:hAnsi="宋体" w:eastAsia="宋体" w:cs="宋体"/>
                <w:i w:val="0"/>
                <w:iCs w:val="0"/>
                <w:color w:val="000000"/>
                <w:sz w:val="20"/>
                <w:szCs w:val="20"/>
                <w:highlight w:val="none"/>
                <w:u w:val="none"/>
              </w:rPr>
            </w:pPr>
          </w:p>
        </w:tc>
        <w:tc>
          <w:tcPr>
            <w:tcW w:w="892"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216</w:t>
            </w:r>
          </w:p>
        </w:tc>
        <w:tc>
          <w:tcPr>
            <w:tcW w:w="1077" w:type="dxa"/>
            <w:noWrap/>
            <w:vAlign w:val="center"/>
          </w:tcPr>
          <w:p>
            <w:pPr>
              <w:keepNext w:val="0"/>
              <w:keepLines w:val="0"/>
              <w:pageBreakBefore w:val="0"/>
              <w:kinsoku/>
              <w:wordWrap/>
              <w:overflowPunct/>
              <w:topLinePunct w:val="0"/>
              <w:autoSpaceDE/>
              <w:autoSpaceDN/>
              <w:bidi w:val="0"/>
              <w:adjustRightInd/>
              <w:snapToGrid/>
              <w:spacing w:line="220" w:lineRule="exact"/>
              <w:jc w:val="center"/>
              <w:rPr>
                <w:rFonts w:hint="eastAsia" w:ascii="宋体" w:hAnsi="宋体" w:eastAsia="宋体" w:cs="宋体"/>
                <w:i w:val="0"/>
                <w:iCs w:val="0"/>
                <w:color w:val="000000"/>
                <w:sz w:val="20"/>
                <w:szCs w:val="20"/>
                <w:highlight w:val="none"/>
                <w:u w:val="none"/>
              </w:rPr>
            </w:pPr>
          </w:p>
        </w:tc>
        <w:tc>
          <w:tcPr>
            <w:tcW w:w="1231"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固体粪污</w:t>
            </w:r>
          </w:p>
        </w:tc>
        <w:tc>
          <w:tcPr>
            <w:tcW w:w="960"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还田利用</w:t>
            </w:r>
          </w:p>
        </w:tc>
        <w:tc>
          <w:tcPr>
            <w:tcW w:w="1021"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 xml:space="preserve">467.20 </w:t>
            </w:r>
          </w:p>
        </w:tc>
        <w:tc>
          <w:tcPr>
            <w:tcW w:w="965"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 xml:space="preserve">467.20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exact"/>
          <w:jc w:val="center"/>
        </w:trPr>
        <w:tc>
          <w:tcPr>
            <w:tcW w:w="570"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75</w:t>
            </w:r>
          </w:p>
        </w:tc>
        <w:tc>
          <w:tcPr>
            <w:tcW w:w="1694"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桓仁满族自治县马旭先锋养牛场</w:t>
            </w:r>
          </w:p>
        </w:tc>
        <w:tc>
          <w:tcPr>
            <w:tcW w:w="1060"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100</w:t>
            </w:r>
          </w:p>
        </w:tc>
        <w:tc>
          <w:tcPr>
            <w:tcW w:w="939" w:type="dxa"/>
            <w:noWrap/>
            <w:vAlign w:val="center"/>
          </w:tcPr>
          <w:p>
            <w:pPr>
              <w:keepNext w:val="0"/>
              <w:keepLines w:val="0"/>
              <w:pageBreakBefore w:val="0"/>
              <w:kinsoku/>
              <w:wordWrap/>
              <w:overflowPunct/>
              <w:topLinePunct w:val="0"/>
              <w:autoSpaceDE/>
              <w:autoSpaceDN/>
              <w:bidi w:val="0"/>
              <w:adjustRightInd/>
              <w:snapToGrid/>
              <w:spacing w:line="220" w:lineRule="exact"/>
              <w:jc w:val="center"/>
              <w:rPr>
                <w:rFonts w:hint="eastAsia" w:ascii="宋体" w:hAnsi="宋体" w:eastAsia="宋体" w:cs="宋体"/>
                <w:i w:val="0"/>
                <w:iCs w:val="0"/>
                <w:color w:val="000000"/>
                <w:sz w:val="20"/>
                <w:szCs w:val="20"/>
                <w:highlight w:val="none"/>
                <w:u w:val="none"/>
              </w:rPr>
            </w:pPr>
          </w:p>
        </w:tc>
        <w:tc>
          <w:tcPr>
            <w:tcW w:w="892"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150</w:t>
            </w:r>
          </w:p>
        </w:tc>
        <w:tc>
          <w:tcPr>
            <w:tcW w:w="1077" w:type="dxa"/>
            <w:noWrap/>
            <w:vAlign w:val="center"/>
          </w:tcPr>
          <w:p>
            <w:pPr>
              <w:keepNext w:val="0"/>
              <w:keepLines w:val="0"/>
              <w:pageBreakBefore w:val="0"/>
              <w:kinsoku/>
              <w:wordWrap/>
              <w:overflowPunct/>
              <w:topLinePunct w:val="0"/>
              <w:autoSpaceDE/>
              <w:autoSpaceDN/>
              <w:bidi w:val="0"/>
              <w:adjustRightInd/>
              <w:snapToGrid/>
              <w:spacing w:line="220" w:lineRule="exact"/>
              <w:jc w:val="center"/>
              <w:rPr>
                <w:rFonts w:hint="eastAsia" w:ascii="宋体" w:hAnsi="宋体" w:eastAsia="宋体" w:cs="宋体"/>
                <w:i w:val="0"/>
                <w:iCs w:val="0"/>
                <w:color w:val="000000"/>
                <w:sz w:val="20"/>
                <w:szCs w:val="20"/>
                <w:highlight w:val="none"/>
                <w:u w:val="none"/>
              </w:rPr>
            </w:pPr>
          </w:p>
        </w:tc>
        <w:tc>
          <w:tcPr>
            <w:tcW w:w="1231"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固体粪污和液体粪污</w:t>
            </w:r>
          </w:p>
        </w:tc>
        <w:tc>
          <w:tcPr>
            <w:tcW w:w="960"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还田利用</w:t>
            </w:r>
          </w:p>
        </w:tc>
        <w:tc>
          <w:tcPr>
            <w:tcW w:w="1021"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 xml:space="preserve">456.25 </w:t>
            </w:r>
          </w:p>
        </w:tc>
        <w:tc>
          <w:tcPr>
            <w:tcW w:w="965"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 xml:space="preserve">412.52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exact"/>
          <w:jc w:val="center"/>
        </w:trPr>
        <w:tc>
          <w:tcPr>
            <w:tcW w:w="570"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76</w:t>
            </w:r>
          </w:p>
        </w:tc>
        <w:tc>
          <w:tcPr>
            <w:tcW w:w="1694"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桓仁辽东天赐种禽示范场</w:t>
            </w:r>
          </w:p>
        </w:tc>
        <w:tc>
          <w:tcPr>
            <w:tcW w:w="1060" w:type="dxa"/>
            <w:noWrap/>
            <w:vAlign w:val="center"/>
          </w:tcPr>
          <w:p>
            <w:pPr>
              <w:keepNext w:val="0"/>
              <w:keepLines w:val="0"/>
              <w:pageBreakBefore w:val="0"/>
              <w:kinsoku/>
              <w:wordWrap/>
              <w:overflowPunct/>
              <w:topLinePunct w:val="0"/>
              <w:autoSpaceDE/>
              <w:autoSpaceDN/>
              <w:bidi w:val="0"/>
              <w:adjustRightInd/>
              <w:snapToGrid/>
              <w:spacing w:line="220" w:lineRule="exact"/>
              <w:jc w:val="center"/>
              <w:rPr>
                <w:rFonts w:hint="eastAsia" w:ascii="宋体" w:hAnsi="宋体" w:eastAsia="宋体" w:cs="宋体"/>
                <w:i w:val="0"/>
                <w:iCs w:val="0"/>
                <w:color w:val="000000"/>
                <w:sz w:val="20"/>
                <w:szCs w:val="20"/>
                <w:highlight w:val="none"/>
                <w:u w:val="none"/>
              </w:rPr>
            </w:pPr>
          </w:p>
        </w:tc>
        <w:tc>
          <w:tcPr>
            <w:tcW w:w="939" w:type="dxa"/>
            <w:noWrap/>
            <w:vAlign w:val="center"/>
          </w:tcPr>
          <w:p>
            <w:pPr>
              <w:keepNext w:val="0"/>
              <w:keepLines w:val="0"/>
              <w:pageBreakBefore w:val="0"/>
              <w:kinsoku/>
              <w:wordWrap/>
              <w:overflowPunct/>
              <w:topLinePunct w:val="0"/>
              <w:autoSpaceDE/>
              <w:autoSpaceDN/>
              <w:bidi w:val="0"/>
              <w:adjustRightInd/>
              <w:snapToGrid/>
              <w:spacing w:line="220" w:lineRule="exact"/>
              <w:jc w:val="center"/>
              <w:rPr>
                <w:rFonts w:hint="eastAsia" w:ascii="宋体" w:hAnsi="宋体" w:eastAsia="宋体" w:cs="宋体"/>
                <w:i w:val="0"/>
                <w:iCs w:val="0"/>
                <w:color w:val="000000"/>
                <w:sz w:val="20"/>
                <w:szCs w:val="20"/>
                <w:highlight w:val="none"/>
                <w:u w:val="none"/>
              </w:rPr>
            </w:pPr>
          </w:p>
        </w:tc>
        <w:tc>
          <w:tcPr>
            <w:tcW w:w="892"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450</w:t>
            </w:r>
          </w:p>
        </w:tc>
        <w:tc>
          <w:tcPr>
            <w:tcW w:w="1077" w:type="dxa"/>
            <w:noWrap/>
            <w:vAlign w:val="center"/>
          </w:tcPr>
          <w:p>
            <w:pPr>
              <w:keepNext w:val="0"/>
              <w:keepLines w:val="0"/>
              <w:pageBreakBefore w:val="0"/>
              <w:kinsoku/>
              <w:wordWrap/>
              <w:overflowPunct/>
              <w:topLinePunct w:val="0"/>
              <w:autoSpaceDE/>
              <w:autoSpaceDN/>
              <w:bidi w:val="0"/>
              <w:adjustRightInd/>
              <w:snapToGrid/>
              <w:spacing w:line="220" w:lineRule="exact"/>
              <w:jc w:val="center"/>
              <w:rPr>
                <w:rFonts w:hint="eastAsia" w:ascii="宋体" w:hAnsi="宋体" w:eastAsia="宋体" w:cs="宋体"/>
                <w:i w:val="0"/>
                <w:iCs w:val="0"/>
                <w:color w:val="000000"/>
                <w:sz w:val="20"/>
                <w:szCs w:val="20"/>
                <w:highlight w:val="none"/>
                <w:u w:val="none"/>
              </w:rPr>
            </w:pPr>
          </w:p>
        </w:tc>
        <w:tc>
          <w:tcPr>
            <w:tcW w:w="1231"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固体粪污</w:t>
            </w:r>
          </w:p>
        </w:tc>
        <w:tc>
          <w:tcPr>
            <w:tcW w:w="960"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还田利用</w:t>
            </w:r>
          </w:p>
        </w:tc>
        <w:tc>
          <w:tcPr>
            <w:tcW w:w="1021"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 xml:space="preserve">584.00 </w:t>
            </w:r>
          </w:p>
        </w:tc>
        <w:tc>
          <w:tcPr>
            <w:tcW w:w="965"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 xml:space="preserve">584.00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exact"/>
          <w:jc w:val="center"/>
        </w:trPr>
        <w:tc>
          <w:tcPr>
            <w:tcW w:w="570"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77</w:t>
            </w:r>
          </w:p>
        </w:tc>
        <w:tc>
          <w:tcPr>
            <w:tcW w:w="1694"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桓仁兴恒养殖扶贫产业园区</w:t>
            </w:r>
          </w:p>
        </w:tc>
        <w:tc>
          <w:tcPr>
            <w:tcW w:w="1060" w:type="dxa"/>
            <w:noWrap/>
            <w:vAlign w:val="center"/>
          </w:tcPr>
          <w:p>
            <w:pPr>
              <w:keepNext w:val="0"/>
              <w:keepLines w:val="0"/>
              <w:pageBreakBefore w:val="0"/>
              <w:kinsoku/>
              <w:wordWrap/>
              <w:overflowPunct/>
              <w:topLinePunct w:val="0"/>
              <w:autoSpaceDE/>
              <w:autoSpaceDN/>
              <w:bidi w:val="0"/>
              <w:adjustRightInd/>
              <w:snapToGrid/>
              <w:spacing w:line="220" w:lineRule="exact"/>
              <w:jc w:val="center"/>
              <w:rPr>
                <w:rFonts w:hint="eastAsia" w:ascii="宋体" w:hAnsi="宋体" w:eastAsia="宋体" w:cs="宋体"/>
                <w:i w:val="0"/>
                <w:iCs w:val="0"/>
                <w:color w:val="000000"/>
                <w:sz w:val="20"/>
                <w:szCs w:val="20"/>
                <w:highlight w:val="none"/>
                <w:u w:val="none"/>
              </w:rPr>
            </w:pPr>
          </w:p>
        </w:tc>
        <w:tc>
          <w:tcPr>
            <w:tcW w:w="939" w:type="dxa"/>
            <w:noWrap/>
            <w:vAlign w:val="center"/>
          </w:tcPr>
          <w:p>
            <w:pPr>
              <w:keepNext w:val="0"/>
              <w:keepLines w:val="0"/>
              <w:pageBreakBefore w:val="0"/>
              <w:kinsoku/>
              <w:wordWrap/>
              <w:overflowPunct/>
              <w:topLinePunct w:val="0"/>
              <w:autoSpaceDE/>
              <w:autoSpaceDN/>
              <w:bidi w:val="0"/>
              <w:adjustRightInd/>
              <w:snapToGrid/>
              <w:spacing w:line="220" w:lineRule="exact"/>
              <w:jc w:val="center"/>
              <w:rPr>
                <w:rFonts w:hint="eastAsia" w:ascii="宋体" w:hAnsi="宋体" w:eastAsia="宋体" w:cs="宋体"/>
                <w:i w:val="0"/>
                <w:iCs w:val="0"/>
                <w:color w:val="000000"/>
                <w:sz w:val="20"/>
                <w:szCs w:val="20"/>
                <w:highlight w:val="none"/>
                <w:u w:val="none"/>
              </w:rPr>
            </w:pPr>
          </w:p>
        </w:tc>
        <w:tc>
          <w:tcPr>
            <w:tcW w:w="892"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2530</w:t>
            </w:r>
          </w:p>
        </w:tc>
        <w:tc>
          <w:tcPr>
            <w:tcW w:w="1077" w:type="dxa"/>
            <w:noWrap/>
            <w:vAlign w:val="center"/>
          </w:tcPr>
          <w:p>
            <w:pPr>
              <w:keepNext w:val="0"/>
              <w:keepLines w:val="0"/>
              <w:pageBreakBefore w:val="0"/>
              <w:kinsoku/>
              <w:wordWrap/>
              <w:overflowPunct/>
              <w:topLinePunct w:val="0"/>
              <w:autoSpaceDE/>
              <w:autoSpaceDN/>
              <w:bidi w:val="0"/>
              <w:adjustRightInd/>
              <w:snapToGrid/>
              <w:spacing w:line="220" w:lineRule="exact"/>
              <w:jc w:val="center"/>
              <w:rPr>
                <w:rFonts w:hint="eastAsia" w:ascii="宋体" w:hAnsi="宋体" w:eastAsia="宋体" w:cs="宋体"/>
                <w:i w:val="0"/>
                <w:iCs w:val="0"/>
                <w:color w:val="000000"/>
                <w:sz w:val="20"/>
                <w:szCs w:val="20"/>
                <w:highlight w:val="none"/>
                <w:u w:val="none"/>
              </w:rPr>
            </w:pPr>
          </w:p>
        </w:tc>
        <w:tc>
          <w:tcPr>
            <w:tcW w:w="1231"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固体粪污</w:t>
            </w:r>
          </w:p>
        </w:tc>
        <w:tc>
          <w:tcPr>
            <w:tcW w:w="960"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还田利用</w:t>
            </w:r>
          </w:p>
        </w:tc>
        <w:tc>
          <w:tcPr>
            <w:tcW w:w="1021"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 xml:space="preserve">7008.00 </w:t>
            </w:r>
          </w:p>
        </w:tc>
        <w:tc>
          <w:tcPr>
            <w:tcW w:w="965"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 xml:space="preserve">6819.32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exact"/>
          <w:jc w:val="center"/>
        </w:trPr>
        <w:tc>
          <w:tcPr>
            <w:tcW w:w="570"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78</w:t>
            </w:r>
          </w:p>
        </w:tc>
        <w:tc>
          <w:tcPr>
            <w:tcW w:w="1694"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桓仁生态农牧综合专业合作社</w:t>
            </w:r>
          </w:p>
        </w:tc>
        <w:tc>
          <w:tcPr>
            <w:tcW w:w="1060" w:type="dxa"/>
            <w:noWrap/>
            <w:vAlign w:val="center"/>
          </w:tcPr>
          <w:p>
            <w:pPr>
              <w:keepNext w:val="0"/>
              <w:keepLines w:val="0"/>
              <w:pageBreakBefore w:val="0"/>
              <w:kinsoku/>
              <w:wordWrap/>
              <w:overflowPunct/>
              <w:topLinePunct w:val="0"/>
              <w:autoSpaceDE/>
              <w:autoSpaceDN/>
              <w:bidi w:val="0"/>
              <w:adjustRightInd/>
              <w:snapToGrid/>
              <w:spacing w:line="220" w:lineRule="exact"/>
              <w:jc w:val="center"/>
              <w:rPr>
                <w:rFonts w:hint="eastAsia" w:ascii="宋体" w:hAnsi="宋体" w:eastAsia="宋体" w:cs="宋体"/>
                <w:i w:val="0"/>
                <w:iCs w:val="0"/>
                <w:color w:val="000000"/>
                <w:sz w:val="20"/>
                <w:szCs w:val="20"/>
                <w:highlight w:val="none"/>
                <w:u w:val="none"/>
              </w:rPr>
            </w:pPr>
          </w:p>
        </w:tc>
        <w:tc>
          <w:tcPr>
            <w:tcW w:w="939" w:type="dxa"/>
            <w:noWrap/>
            <w:vAlign w:val="center"/>
          </w:tcPr>
          <w:p>
            <w:pPr>
              <w:keepNext w:val="0"/>
              <w:keepLines w:val="0"/>
              <w:pageBreakBefore w:val="0"/>
              <w:kinsoku/>
              <w:wordWrap/>
              <w:overflowPunct/>
              <w:topLinePunct w:val="0"/>
              <w:autoSpaceDE/>
              <w:autoSpaceDN/>
              <w:bidi w:val="0"/>
              <w:adjustRightInd/>
              <w:snapToGrid/>
              <w:spacing w:line="220" w:lineRule="exact"/>
              <w:jc w:val="center"/>
              <w:rPr>
                <w:rFonts w:hint="eastAsia" w:ascii="宋体" w:hAnsi="宋体" w:eastAsia="宋体" w:cs="宋体"/>
                <w:i w:val="0"/>
                <w:iCs w:val="0"/>
                <w:color w:val="000000"/>
                <w:sz w:val="20"/>
                <w:szCs w:val="20"/>
                <w:highlight w:val="none"/>
                <w:u w:val="none"/>
              </w:rPr>
            </w:pPr>
          </w:p>
        </w:tc>
        <w:tc>
          <w:tcPr>
            <w:tcW w:w="892"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455</w:t>
            </w:r>
          </w:p>
        </w:tc>
        <w:tc>
          <w:tcPr>
            <w:tcW w:w="1077" w:type="dxa"/>
            <w:noWrap/>
            <w:vAlign w:val="center"/>
          </w:tcPr>
          <w:p>
            <w:pPr>
              <w:keepNext w:val="0"/>
              <w:keepLines w:val="0"/>
              <w:pageBreakBefore w:val="0"/>
              <w:kinsoku/>
              <w:wordWrap/>
              <w:overflowPunct/>
              <w:topLinePunct w:val="0"/>
              <w:autoSpaceDE/>
              <w:autoSpaceDN/>
              <w:bidi w:val="0"/>
              <w:adjustRightInd/>
              <w:snapToGrid/>
              <w:spacing w:line="220" w:lineRule="exact"/>
              <w:jc w:val="center"/>
              <w:rPr>
                <w:rFonts w:hint="eastAsia" w:ascii="宋体" w:hAnsi="宋体" w:eastAsia="宋体" w:cs="宋体"/>
                <w:i w:val="0"/>
                <w:iCs w:val="0"/>
                <w:color w:val="000000"/>
                <w:sz w:val="20"/>
                <w:szCs w:val="20"/>
                <w:highlight w:val="none"/>
                <w:u w:val="none"/>
              </w:rPr>
            </w:pPr>
          </w:p>
        </w:tc>
        <w:tc>
          <w:tcPr>
            <w:tcW w:w="1231"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固体粪污</w:t>
            </w:r>
          </w:p>
        </w:tc>
        <w:tc>
          <w:tcPr>
            <w:tcW w:w="960"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还田利用</w:t>
            </w:r>
          </w:p>
        </w:tc>
        <w:tc>
          <w:tcPr>
            <w:tcW w:w="1021"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 xml:space="preserve">0.00 </w:t>
            </w:r>
          </w:p>
        </w:tc>
        <w:tc>
          <w:tcPr>
            <w:tcW w:w="965"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 xml:space="preserve">0.00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exact"/>
          <w:jc w:val="center"/>
        </w:trPr>
        <w:tc>
          <w:tcPr>
            <w:tcW w:w="570"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79</w:t>
            </w:r>
          </w:p>
        </w:tc>
        <w:tc>
          <w:tcPr>
            <w:tcW w:w="1694"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桓仁满族自治县英春养鸡场</w:t>
            </w:r>
          </w:p>
        </w:tc>
        <w:tc>
          <w:tcPr>
            <w:tcW w:w="1060" w:type="dxa"/>
            <w:noWrap/>
            <w:vAlign w:val="center"/>
          </w:tcPr>
          <w:p>
            <w:pPr>
              <w:keepNext w:val="0"/>
              <w:keepLines w:val="0"/>
              <w:pageBreakBefore w:val="0"/>
              <w:kinsoku/>
              <w:wordWrap/>
              <w:overflowPunct/>
              <w:topLinePunct w:val="0"/>
              <w:autoSpaceDE/>
              <w:autoSpaceDN/>
              <w:bidi w:val="0"/>
              <w:adjustRightInd/>
              <w:snapToGrid/>
              <w:spacing w:line="220" w:lineRule="exact"/>
              <w:jc w:val="center"/>
              <w:rPr>
                <w:rFonts w:hint="eastAsia" w:ascii="宋体" w:hAnsi="宋体" w:eastAsia="宋体" w:cs="宋体"/>
                <w:i w:val="0"/>
                <w:iCs w:val="0"/>
                <w:color w:val="000000"/>
                <w:sz w:val="20"/>
                <w:szCs w:val="20"/>
                <w:highlight w:val="none"/>
                <w:u w:val="none"/>
              </w:rPr>
            </w:pPr>
          </w:p>
        </w:tc>
        <w:tc>
          <w:tcPr>
            <w:tcW w:w="939" w:type="dxa"/>
            <w:noWrap/>
            <w:vAlign w:val="center"/>
          </w:tcPr>
          <w:p>
            <w:pPr>
              <w:keepNext w:val="0"/>
              <w:keepLines w:val="0"/>
              <w:pageBreakBefore w:val="0"/>
              <w:kinsoku/>
              <w:wordWrap/>
              <w:overflowPunct/>
              <w:topLinePunct w:val="0"/>
              <w:autoSpaceDE/>
              <w:autoSpaceDN/>
              <w:bidi w:val="0"/>
              <w:adjustRightInd/>
              <w:snapToGrid/>
              <w:spacing w:line="220" w:lineRule="exact"/>
              <w:jc w:val="center"/>
              <w:rPr>
                <w:rFonts w:hint="eastAsia" w:ascii="宋体" w:hAnsi="宋体" w:eastAsia="宋体" w:cs="宋体"/>
                <w:i w:val="0"/>
                <w:iCs w:val="0"/>
                <w:color w:val="000000"/>
                <w:sz w:val="20"/>
                <w:szCs w:val="20"/>
                <w:highlight w:val="none"/>
                <w:u w:val="none"/>
              </w:rPr>
            </w:pPr>
          </w:p>
        </w:tc>
        <w:tc>
          <w:tcPr>
            <w:tcW w:w="892"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700</w:t>
            </w:r>
          </w:p>
        </w:tc>
        <w:tc>
          <w:tcPr>
            <w:tcW w:w="1077" w:type="dxa"/>
            <w:noWrap/>
            <w:vAlign w:val="center"/>
          </w:tcPr>
          <w:p>
            <w:pPr>
              <w:keepNext w:val="0"/>
              <w:keepLines w:val="0"/>
              <w:pageBreakBefore w:val="0"/>
              <w:kinsoku/>
              <w:wordWrap/>
              <w:overflowPunct/>
              <w:topLinePunct w:val="0"/>
              <w:autoSpaceDE/>
              <w:autoSpaceDN/>
              <w:bidi w:val="0"/>
              <w:adjustRightInd/>
              <w:snapToGrid/>
              <w:spacing w:line="220" w:lineRule="exact"/>
              <w:jc w:val="center"/>
              <w:rPr>
                <w:rFonts w:hint="eastAsia" w:ascii="宋体" w:hAnsi="宋体" w:eastAsia="宋体" w:cs="宋体"/>
                <w:i w:val="0"/>
                <w:iCs w:val="0"/>
                <w:color w:val="000000"/>
                <w:sz w:val="20"/>
                <w:szCs w:val="20"/>
                <w:highlight w:val="none"/>
                <w:u w:val="none"/>
              </w:rPr>
            </w:pPr>
          </w:p>
        </w:tc>
        <w:tc>
          <w:tcPr>
            <w:tcW w:w="1231"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固体粪污</w:t>
            </w:r>
          </w:p>
        </w:tc>
        <w:tc>
          <w:tcPr>
            <w:tcW w:w="960"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还田利用</w:t>
            </w:r>
          </w:p>
        </w:tc>
        <w:tc>
          <w:tcPr>
            <w:tcW w:w="1021"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 xml:space="preserve">1752.00 </w:t>
            </w:r>
          </w:p>
        </w:tc>
        <w:tc>
          <w:tcPr>
            <w:tcW w:w="965"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 xml:space="preserve">1491.52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exact"/>
          <w:jc w:val="center"/>
        </w:trPr>
        <w:tc>
          <w:tcPr>
            <w:tcW w:w="570"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80</w:t>
            </w:r>
          </w:p>
        </w:tc>
        <w:tc>
          <w:tcPr>
            <w:tcW w:w="1694"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桓仁会佺家禽家畜养殖中心</w:t>
            </w:r>
          </w:p>
        </w:tc>
        <w:tc>
          <w:tcPr>
            <w:tcW w:w="1060" w:type="dxa"/>
            <w:noWrap/>
            <w:vAlign w:val="center"/>
          </w:tcPr>
          <w:p>
            <w:pPr>
              <w:keepNext w:val="0"/>
              <w:keepLines w:val="0"/>
              <w:pageBreakBefore w:val="0"/>
              <w:kinsoku/>
              <w:wordWrap/>
              <w:overflowPunct/>
              <w:topLinePunct w:val="0"/>
              <w:autoSpaceDE/>
              <w:autoSpaceDN/>
              <w:bidi w:val="0"/>
              <w:adjustRightInd/>
              <w:snapToGrid/>
              <w:spacing w:line="220" w:lineRule="exact"/>
              <w:jc w:val="center"/>
              <w:rPr>
                <w:rFonts w:hint="eastAsia" w:ascii="宋体" w:hAnsi="宋体" w:eastAsia="宋体" w:cs="宋体"/>
                <w:i w:val="0"/>
                <w:iCs w:val="0"/>
                <w:color w:val="000000"/>
                <w:sz w:val="20"/>
                <w:szCs w:val="20"/>
                <w:highlight w:val="none"/>
                <w:u w:val="none"/>
              </w:rPr>
            </w:pPr>
          </w:p>
        </w:tc>
        <w:tc>
          <w:tcPr>
            <w:tcW w:w="939" w:type="dxa"/>
            <w:noWrap/>
            <w:vAlign w:val="center"/>
          </w:tcPr>
          <w:p>
            <w:pPr>
              <w:keepNext w:val="0"/>
              <w:keepLines w:val="0"/>
              <w:pageBreakBefore w:val="0"/>
              <w:kinsoku/>
              <w:wordWrap/>
              <w:overflowPunct/>
              <w:topLinePunct w:val="0"/>
              <w:autoSpaceDE/>
              <w:autoSpaceDN/>
              <w:bidi w:val="0"/>
              <w:adjustRightInd/>
              <w:snapToGrid/>
              <w:spacing w:line="220" w:lineRule="exact"/>
              <w:jc w:val="center"/>
              <w:rPr>
                <w:rFonts w:hint="eastAsia" w:ascii="宋体" w:hAnsi="宋体" w:eastAsia="宋体" w:cs="宋体"/>
                <w:i w:val="0"/>
                <w:iCs w:val="0"/>
                <w:color w:val="000000"/>
                <w:sz w:val="20"/>
                <w:szCs w:val="20"/>
                <w:highlight w:val="none"/>
                <w:u w:val="none"/>
              </w:rPr>
            </w:pPr>
          </w:p>
        </w:tc>
        <w:tc>
          <w:tcPr>
            <w:tcW w:w="892"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800</w:t>
            </w:r>
          </w:p>
        </w:tc>
        <w:tc>
          <w:tcPr>
            <w:tcW w:w="1077" w:type="dxa"/>
            <w:noWrap/>
            <w:vAlign w:val="center"/>
          </w:tcPr>
          <w:p>
            <w:pPr>
              <w:keepNext w:val="0"/>
              <w:keepLines w:val="0"/>
              <w:pageBreakBefore w:val="0"/>
              <w:kinsoku/>
              <w:wordWrap/>
              <w:overflowPunct/>
              <w:topLinePunct w:val="0"/>
              <w:autoSpaceDE/>
              <w:autoSpaceDN/>
              <w:bidi w:val="0"/>
              <w:adjustRightInd/>
              <w:snapToGrid/>
              <w:spacing w:line="220" w:lineRule="exact"/>
              <w:jc w:val="center"/>
              <w:rPr>
                <w:rFonts w:hint="eastAsia" w:ascii="宋体" w:hAnsi="宋体" w:eastAsia="宋体" w:cs="宋体"/>
                <w:i w:val="0"/>
                <w:iCs w:val="0"/>
                <w:color w:val="000000"/>
                <w:sz w:val="20"/>
                <w:szCs w:val="20"/>
                <w:highlight w:val="none"/>
                <w:u w:val="none"/>
              </w:rPr>
            </w:pPr>
          </w:p>
        </w:tc>
        <w:tc>
          <w:tcPr>
            <w:tcW w:w="1231"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固体粪污</w:t>
            </w:r>
          </w:p>
        </w:tc>
        <w:tc>
          <w:tcPr>
            <w:tcW w:w="960"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还田利用</w:t>
            </w:r>
          </w:p>
        </w:tc>
        <w:tc>
          <w:tcPr>
            <w:tcW w:w="1021"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 xml:space="preserve">700.80 </w:t>
            </w:r>
          </w:p>
        </w:tc>
        <w:tc>
          <w:tcPr>
            <w:tcW w:w="965"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 xml:space="preserve">700.80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exact"/>
          <w:jc w:val="center"/>
        </w:trPr>
        <w:tc>
          <w:tcPr>
            <w:tcW w:w="570"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81</w:t>
            </w:r>
          </w:p>
        </w:tc>
        <w:tc>
          <w:tcPr>
            <w:tcW w:w="1694"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桓仁佟盛飞养鸡场</w:t>
            </w:r>
          </w:p>
        </w:tc>
        <w:tc>
          <w:tcPr>
            <w:tcW w:w="1060" w:type="dxa"/>
            <w:noWrap/>
            <w:vAlign w:val="center"/>
          </w:tcPr>
          <w:p>
            <w:pPr>
              <w:keepNext w:val="0"/>
              <w:keepLines w:val="0"/>
              <w:pageBreakBefore w:val="0"/>
              <w:kinsoku/>
              <w:wordWrap/>
              <w:overflowPunct/>
              <w:topLinePunct w:val="0"/>
              <w:autoSpaceDE/>
              <w:autoSpaceDN/>
              <w:bidi w:val="0"/>
              <w:adjustRightInd/>
              <w:snapToGrid/>
              <w:spacing w:line="220" w:lineRule="exact"/>
              <w:jc w:val="center"/>
              <w:rPr>
                <w:rFonts w:hint="eastAsia" w:ascii="宋体" w:hAnsi="宋体" w:eastAsia="宋体" w:cs="宋体"/>
                <w:i w:val="0"/>
                <w:iCs w:val="0"/>
                <w:color w:val="000000"/>
                <w:sz w:val="20"/>
                <w:szCs w:val="20"/>
                <w:highlight w:val="none"/>
                <w:u w:val="none"/>
              </w:rPr>
            </w:pPr>
          </w:p>
        </w:tc>
        <w:tc>
          <w:tcPr>
            <w:tcW w:w="939" w:type="dxa"/>
            <w:noWrap/>
            <w:vAlign w:val="center"/>
          </w:tcPr>
          <w:p>
            <w:pPr>
              <w:keepNext w:val="0"/>
              <w:keepLines w:val="0"/>
              <w:pageBreakBefore w:val="0"/>
              <w:kinsoku/>
              <w:wordWrap/>
              <w:overflowPunct/>
              <w:topLinePunct w:val="0"/>
              <w:autoSpaceDE/>
              <w:autoSpaceDN/>
              <w:bidi w:val="0"/>
              <w:adjustRightInd/>
              <w:snapToGrid/>
              <w:spacing w:line="220" w:lineRule="exact"/>
              <w:jc w:val="center"/>
              <w:rPr>
                <w:rFonts w:hint="eastAsia" w:ascii="宋体" w:hAnsi="宋体" w:eastAsia="宋体" w:cs="宋体"/>
                <w:i w:val="0"/>
                <w:iCs w:val="0"/>
                <w:color w:val="000000"/>
                <w:sz w:val="20"/>
                <w:szCs w:val="20"/>
                <w:highlight w:val="none"/>
                <w:u w:val="none"/>
              </w:rPr>
            </w:pPr>
          </w:p>
        </w:tc>
        <w:tc>
          <w:tcPr>
            <w:tcW w:w="892"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300</w:t>
            </w:r>
          </w:p>
        </w:tc>
        <w:tc>
          <w:tcPr>
            <w:tcW w:w="1077" w:type="dxa"/>
            <w:noWrap/>
            <w:vAlign w:val="center"/>
          </w:tcPr>
          <w:p>
            <w:pPr>
              <w:keepNext w:val="0"/>
              <w:keepLines w:val="0"/>
              <w:pageBreakBefore w:val="0"/>
              <w:kinsoku/>
              <w:wordWrap/>
              <w:overflowPunct/>
              <w:topLinePunct w:val="0"/>
              <w:autoSpaceDE/>
              <w:autoSpaceDN/>
              <w:bidi w:val="0"/>
              <w:adjustRightInd/>
              <w:snapToGrid/>
              <w:spacing w:line="220" w:lineRule="exact"/>
              <w:jc w:val="center"/>
              <w:rPr>
                <w:rFonts w:hint="eastAsia" w:ascii="宋体" w:hAnsi="宋体" w:eastAsia="宋体" w:cs="宋体"/>
                <w:i w:val="0"/>
                <w:iCs w:val="0"/>
                <w:color w:val="000000"/>
                <w:sz w:val="20"/>
                <w:szCs w:val="20"/>
                <w:highlight w:val="none"/>
                <w:u w:val="none"/>
              </w:rPr>
            </w:pPr>
          </w:p>
        </w:tc>
        <w:tc>
          <w:tcPr>
            <w:tcW w:w="1231"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固体粪污</w:t>
            </w:r>
          </w:p>
        </w:tc>
        <w:tc>
          <w:tcPr>
            <w:tcW w:w="960"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还田利用</w:t>
            </w:r>
          </w:p>
        </w:tc>
        <w:tc>
          <w:tcPr>
            <w:tcW w:w="1021"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 xml:space="preserve">876.00 </w:t>
            </w:r>
          </w:p>
        </w:tc>
        <w:tc>
          <w:tcPr>
            <w:tcW w:w="965"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 xml:space="preserve">856.64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exact"/>
          <w:jc w:val="center"/>
        </w:trPr>
        <w:tc>
          <w:tcPr>
            <w:tcW w:w="570"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82</w:t>
            </w:r>
          </w:p>
        </w:tc>
        <w:tc>
          <w:tcPr>
            <w:tcW w:w="1694"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桓仁禽旺家禽家畜养殖场</w:t>
            </w:r>
          </w:p>
        </w:tc>
        <w:tc>
          <w:tcPr>
            <w:tcW w:w="1060" w:type="dxa"/>
            <w:noWrap/>
            <w:vAlign w:val="center"/>
          </w:tcPr>
          <w:p>
            <w:pPr>
              <w:keepNext w:val="0"/>
              <w:keepLines w:val="0"/>
              <w:pageBreakBefore w:val="0"/>
              <w:kinsoku/>
              <w:wordWrap/>
              <w:overflowPunct/>
              <w:topLinePunct w:val="0"/>
              <w:autoSpaceDE/>
              <w:autoSpaceDN/>
              <w:bidi w:val="0"/>
              <w:adjustRightInd/>
              <w:snapToGrid/>
              <w:spacing w:line="220" w:lineRule="exact"/>
              <w:jc w:val="center"/>
              <w:rPr>
                <w:rFonts w:hint="eastAsia" w:ascii="宋体" w:hAnsi="宋体" w:eastAsia="宋体" w:cs="宋体"/>
                <w:i w:val="0"/>
                <w:iCs w:val="0"/>
                <w:color w:val="000000"/>
                <w:sz w:val="20"/>
                <w:szCs w:val="20"/>
                <w:highlight w:val="none"/>
                <w:u w:val="none"/>
              </w:rPr>
            </w:pPr>
          </w:p>
        </w:tc>
        <w:tc>
          <w:tcPr>
            <w:tcW w:w="939" w:type="dxa"/>
            <w:noWrap/>
            <w:vAlign w:val="center"/>
          </w:tcPr>
          <w:p>
            <w:pPr>
              <w:keepNext w:val="0"/>
              <w:keepLines w:val="0"/>
              <w:pageBreakBefore w:val="0"/>
              <w:kinsoku/>
              <w:wordWrap/>
              <w:overflowPunct/>
              <w:topLinePunct w:val="0"/>
              <w:autoSpaceDE/>
              <w:autoSpaceDN/>
              <w:bidi w:val="0"/>
              <w:adjustRightInd/>
              <w:snapToGrid/>
              <w:spacing w:line="220" w:lineRule="exact"/>
              <w:jc w:val="center"/>
              <w:rPr>
                <w:rFonts w:hint="eastAsia" w:ascii="宋体" w:hAnsi="宋体" w:eastAsia="宋体" w:cs="宋体"/>
                <w:i w:val="0"/>
                <w:iCs w:val="0"/>
                <w:color w:val="000000"/>
                <w:sz w:val="20"/>
                <w:szCs w:val="20"/>
                <w:highlight w:val="none"/>
                <w:u w:val="none"/>
              </w:rPr>
            </w:pPr>
          </w:p>
        </w:tc>
        <w:tc>
          <w:tcPr>
            <w:tcW w:w="892"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570</w:t>
            </w:r>
          </w:p>
        </w:tc>
        <w:tc>
          <w:tcPr>
            <w:tcW w:w="1077" w:type="dxa"/>
            <w:noWrap/>
            <w:vAlign w:val="center"/>
          </w:tcPr>
          <w:p>
            <w:pPr>
              <w:keepNext w:val="0"/>
              <w:keepLines w:val="0"/>
              <w:pageBreakBefore w:val="0"/>
              <w:kinsoku/>
              <w:wordWrap/>
              <w:overflowPunct/>
              <w:topLinePunct w:val="0"/>
              <w:autoSpaceDE/>
              <w:autoSpaceDN/>
              <w:bidi w:val="0"/>
              <w:adjustRightInd/>
              <w:snapToGrid/>
              <w:spacing w:line="220" w:lineRule="exact"/>
              <w:jc w:val="center"/>
              <w:rPr>
                <w:rFonts w:hint="eastAsia" w:ascii="宋体" w:hAnsi="宋体" w:eastAsia="宋体" w:cs="宋体"/>
                <w:i w:val="0"/>
                <w:iCs w:val="0"/>
                <w:color w:val="000000"/>
                <w:sz w:val="20"/>
                <w:szCs w:val="20"/>
                <w:highlight w:val="none"/>
                <w:u w:val="none"/>
              </w:rPr>
            </w:pPr>
          </w:p>
        </w:tc>
        <w:tc>
          <w:tcPr>
            <w:tcW w:w="1231"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固体粪污</w:t>
            </w:r>
          </w:p>
        </w:tc>
        <w:tc>
          <w:tcPr>
            <w:tcW w:w="960"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还田利用</w:t>
            </w:r>
          </w:p>
        </w:tc>
        <w:tc>
          <w:tcPr>
            <w:tcW w:w="1021"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 xml:space="preserve">0.00 </w:t>
            </w:r>
          </w:p>
        </w:tc>
        <w:tc>
          <w:tcPr>
            <w:tcW w:w="965"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 xml:space="preserve">0.00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exact"/>
          <w:jc w:val="center"/>
        </w:trPr>
        <w:tc>
          <w:tcPr>
            <w:tcW w:w="570"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83</w:t>
            </w:r>
          </w:p>
        </w:tc>
        <w:tc>
          <w:tcPr>
            <w:tcW w:w="1694"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桓仁七星牧业有限公司信航生态农场</w:t>
            </w:r>
          </w:p>
        </w:tc>
        <w:tc>
          <w:tcPr>
            <w:tcW w:w="1060" w:type="dxa"/>
            <w:noWrap/>
            <w:vAlign w:val="center"/>
          </w:tcPr>
          <w:p>
            <w:pPr>
              <w:keepNext w:val="0"/>
              <w:keepLines w:val="0"/>
              <w:pageBreakBefore w:val="0"/>
              <w:kinsoku/>
              <w:wordWrap/>
              <w:overflowPunct/>
              <w:topLinePunct w:val="0"/>
              <w:autoSpaceDE/>
              <w:autoSpaceDN/>
              <w:bidi w:val="0"/>
              <w:adjustRightInd/>
              <w:snapToGrid/>
              <w:spacing w:line="220" w:lineRule="exact"/>
              <w:jc w:val="center"/>
              <w:rPr>
                <w:rFonts w:hint="eastAsia" w:ascii="宋体" w:hAnsi="宋体" w:eastAsia="宋体" w:cs="宋体"/>
                <w:i w:val="0"/>
                <w:iCs w:val="0"/>
                <w:color w:val="000000"/>
                <w:sz w:val="20"/>
                <w:szCs w:val="20"/>
                <w:highlight w:val="none"/>
                <w:u w:val="none"/>
              </w:rPr>
            </w:pPr>
          </w:p>
        </w:tc>
        <w:tc>
          <w:tcPr>
            <w:tcW w:w="939" w:type="dxa"/>
            <w:noWrap/>
            <w:vAlign w:val="center"/>
          </w:tcPr>
          <w:p>
            <w:pPr>
              <w:keepNext w:val="0"/>
              <w:keepLines w:val="0"/>
              <w:pageBreakBefore w:val="0"/>
              <w:kinsoku/>
              <w:wordWrap/>
              <w:overflowPunct/>
              <w:topLinePunct w:val="0"/>
              <w:autoSpaceDE/>
              <w:autoSpaceDN/>
              <w:bidi w:val="0"/>
              <w:adjustRightInd/>
              <w:snapToGrid/>
              <w:spacing w:line="220" w:lineRule="exact"/>
              <w:jc w:val="center"/>
              <w:rPr>
                <w:rFonts w:hint="eastAsia" w:ascii="宋体" w:hAnsi="宋体" w:eastAsia="宋体" w:cs="宋体"/>
                <w:i w:val="0"/>
                <w:iCs w:val="0"/>
                <w:color w:val="000000"/>
                <w:sz w:val="20"/>
                <w:szCs w:val="20"/>
                <w:highlight w:val="none"/>
                <w:u w:val="none"/>
              </w:rPr>
            </w:pPr>
          </w:p>
        </w:tc>
        <w:tc>
          <w:tcPr>
            <w:tcW w:w="892"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1950</w:t>
            </w:r>
          </w:p>
        </w:tc>
        <w:tc>
          <w:tcPr>
            <w:tcW w:w="1077" w:type="dxa"/>
            <w:noWrap/>
            <w:vAlign w:val="center"/>
          </w:tcPr>
          <w:p>
            <w:pPr>
              <w:keepNext w:val="0"/>
              <w:keepLines w:val="0"/>
              <w:pageBreakBefore w:val="0"/>
              <w:kinsoku/>
              <w:wordWrap/>
              <w:overflowPunct/>
              <w:topLinePunct w:val="0"/>
              <w:autoSpaceDE/>
              <w:autoSpaceDN/>
              <w:bidi w:val="0"/>
              <w:adjustRightInd/>
              <w:snapToGrid/>
              <w:spacing w:line="220" w:lineRule="exact"/>
              <w:jc w:val="center"/>
              <w:rPr>
                <w:rFonts w:hint="eastAsia" w:ascii="宋体" w:hAnsi="宋体" w:eastAsia="宋体" w:cs="宋体"/>
                <w:i w:val="0"/>
                <w:iCs w:val="0"/>
                <w:color w:val="000000"/>
                <w:sz w:val="20"/>
                <w:szCs w:val="20"/>
                <w:highlight w:val="none"/>
                <w:u w:val="none"/>
              </w:rPr>
            </w:pPr>
          </w:p>
        </w:tc>
        <w:tc>
          <w:tcPr>
            <w:tcW w:w="1231"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固体粪污</w:t>
            </w:r>
          </w:p>
        </w:tc>
        <w:tc>
          <w:tcPr>
            <w:tcW w:w="960"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还田利用</w:t>
            </w:r>
          </w:p>
        </w:tc>
        <w:tc>
          <w:tcPr>
            <w:tcW w:w="1021"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 xml:space="preserve">5840.00 </w:t>
            </w:r>
          </w:p>
        </w:tc>
        <w:tc>
          <w:tcPr>
            <w:tcW w:w="965"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 xml:space="preserve">5840.00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exact"/>
          <w:jc w:val="center"/>
        </w:trPr>
        <w:tc>
          <w:tcPr>
            <w:tcW w:w="570"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84</w:t>
            </w:r>
          </w:p>
        </w:tc>
        <w:tc>
          <w:tcPr>
            <w:tcW w:w="1694"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桓仁志礼养鸡场</w:t>
            </w:r>
          </w:p>
        </w:tc>
        <w:tc>
          <w:tcPr>
            <w:tcW w:w="1060" w:type="dxa"/>
            <w:noWrap/>
            <w:vAlign w:val="center"/>
          </w:tcPr>
          <w:p>
            <w:pPr>
              <w:keepNext w:val="0"/>
              <w:keepLines w:val="0"/>
              <w:pageBreakBefore w:val="0"/>
              <w:kinsoku/>
              <w:wordWrap/>
              <w:overflowPunct/>
              <w:topLinePunct w:val="0"/>
              <w:autoSpaceDE/>
              <w:autoSpaceDN/>
              <w:bidi w:val="0"/>
              <w:adjustRightInd/>
              <w:snapToGrid/>
              <w:spacing w:line="220" w:lineRule="exact"/>
              <w:jc w:val="center"/>
              <w:rPr>
                <w:rFonts w:hint="eastAsia" w:ascii="宋体" w:hAnsi="宋体" w:eastAsia="宋体" w:cs="宋体"/>
                <w:i w:val="0"/>
                <w:iCs w:val="0"/>
                <w:color w:val="000000"/>
                <w:sz w:val="20"/>
                <w:szCs w:val="20"/>
                <w:highlight w:val="none"/>
                <w:u w:val="none"/>
              </w:rPr>
            </w:pPr>
          </w:p>
        </w:tc>
        <w:tc>
          <w:tcPr>
            <w:tcW w:w="939" w:type="dxa"/>
            <w:noWrap/>
            <w:vAlign w:val="center"/>
          </w:tcPr>
          <w:p>
            <w:pPr>
              <w:keepNext w:val="0"/>
              <w:keepLines w:val="0"/>
              <w:pageBreakBefore w:val="0"/>
              <w:kinsoku/>
              <w:wordWrap/>
              <w:overflowPunct/>
              <w:topLinePunct w:val="0"/>
              <w:autoSpaceDE/>
              <w:autoSpaceDN/>
              <w:bidi w:val="0"/>
              <w:adjustRightInd/>
              <w:snapToGrid/>
              <w:spacing w:line="220" w:lineRule="exact"/>
              <w:jc w:val="center"/>
              <w:rPr>
                <w:rFonts w:hint="eastAsia" w:ascii="宋体" w:hAnsi="宋体" w:eastAsia="宋体" w:cs="宋体"/>
                <w:i w:val="0"/>
                <w:iCs w:val="0"/>
                <w:color w:val="000000"/>
                <w:sz w:val="20"/>
                <w:szCs w:val="20"/>
                <w:highlight w:val="none"/>
                <w:u w:val="none"/>
              </w:rPr>
            </w:pPr>
          </w:p>
        </w:tc>
        <w:tc>
          <w:tcPr>
            <w:tcW w:w="892"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500</w:t>
            </w:r>
          </w:p>
        </w:tc>
        <w:tc>
          <w:tcPr>
            <w:tcW w:w="1077" w:type="dxa"/>
            <w:noWrap/>
            <w:vAlign w:val="center"/>
          </w:tcPr>
          <w:p>
            <w:pPr>
              <w:keepNext w:val="0"/>
              <w:keepLines w:val="0"/>
              <w:pageBreakBefore w:val="0"/>
              <w:kinsoku/>
              <w:wordWrap/>
              <w:overflowPunct/>
              <w:topLinePunct w:val="0"/>
              <w:autoSpaceDE/>
              <w:autoSpaceDN/>
              <w:bidi w:val="0"/>
              <w:adjustRightInd/>
              <w:snapToGrid/>
              <w:spacing w:line="220" w:lineRule="exact"/>
              <w:jc w:val="center"/>
              <w:rPr>
                <w:rFonts w:hint="eastAsia" w:ascii="宋体" w:hAnsi="宋体" w:eastAsia="宋体" w:cs="宋体"/>
                <w:i w:val="0"/>
                <w:iCs w:val="0"/>
                <w:color w:val="000000"/>
                <w:sz w:val="20"/>
                <w:szCs w:val="20"/>
                <w:highlight w:val="none"/>
                <w:u w:val="none"/>
              </w:rPr>
            </w:pPr>
          </w:p>
        </w:tc>
        <w:tc>
          <w:tcPr>
            <w:tcW w:w="1231"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固体粪污</w:t>
            </w:r>
          </w:p>
        </w:tc>
        <w:tc>
          <w:tcPr>
            <w:tcW w:w="960"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还田利用</w:t>
            </w:r>
          </w:p>
        </w:tc>
        <w:tc>
          <w:tcPr>
            <w:tcW w:w="1021"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 xml:space="preserve">467.20 </w:t>
            </w:r>
          </w:p>
        </w:tc>
        <w:tc>
          <w:tcPr>
            <w:tcW w:w="965"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 xml:space="preserve">467.20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exact"/>
          <w:jc w:val="center"/>
        </w:trPr>
        <w:tc>
          <w:tcPr>
            <w:tcW w:w="570"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85</w:t>
            </w:r>
          </w:p>
        </w:tc>
        <w:tc>
          <w:tcPr>
            <w:tcW w:w="1694"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桓仁瑞丰园农牧有限责任公司</w:t>
            </w:r>
          </w:p>
        </w:tc>
        <w:tc>
          <w:tcPr>
            <w:tcW w:w="1060" w:type="dxa"/>
            <w:noWrap/>
            <w:vAlign w:val="center"/>
          </w:tcPr>
          <w:p>
            <w:pPr>
              <w:keepNext w:val="0"/>
              <w:keepLines w:val="0"/>
              <w:pageBreakBefore w:val="0"/>
              <w:kinsoku/>
              <w:wordWrap/>
              <w:overflowPunct/>
              <w:topLinePunct w:val="0"/>
              <w:autoSpaceDE/>
              <w:autoSpaceDN/>
              <w:bidi w:val="0"/>
              <w:adjustRightInd/>
              <w:snapToGrid/>
              <w:spacing w:line="220" w:lineRule="exact"/>
              <w:jc w:val="center"/>
              <w:rPr>
                <w:rFonts w:hint="eastAsia" w:ascii="宋体" w:hAnsi="宋体" w:eastAsia="宋体" w:cs="宋体"/>
                <w:i w:val="0"/>
                <w:iCs w:val="0"/>
                <w:color w:val="000000"/>
                <w:sz w:val="20"/>
                <w:szCs w:val="20"/>
                <w:highlight w:val="none"/>
                <w:u w:val="none"/>
              </w:rPr>
            </w:pPr>
          </w:p>
        </w:tc>
        <w:tc>
          <w:tcPr>
            <w:tcW w:w="939" w:type="dxa"/>
            <w:noWrap/>
            <w:vAlign w:val="center"/>
          </w:tcPr>
          <w:p>
            <w:pPr>
              <w:keepNext w:val="0"/>
              <w:keepLines w:val="0"/>
              <w:pageBreakBefore w:val="0"/>
              <w:kinsoku/>
              <w:wordWrap/>
              <w:overflowPunct/>
              <w:topLinePunct w:val="0"/>
              <w:autoSpaceDE/>
              <w:autoSpaceDN/>
              <w:bidi w:val="0"/>
              <w:adjustRightInd/>
              <w:snapToGrid/>
              <w:spacing w:line="220" w:lineRule="exact"/>
              <w:jc w:val="center"/>
              <w:rPr>
                <w:rFonts w:hint="eastAsia" w:ascii="宋体" w:hAnsi="宋体" w:eastAsia="宋体" w:cs="宋体"/>
                <w:i w:val="0"/>
                <w:iCs w:val="0"/>
                <w:color w:val="000000"/>
                <w:sz w:val="20"/>
                <w:szCs w:val="20"/>
                <w:highlight w:val="none"/>
                <w:u w:val="none"/>
              </w:rPr>
            </w:pPr>
          </w:p>
        </w:tc>
        <w:tc>
          <w:tcPr>
            <w:tcW w:w="892"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1800</w:t>
            </w:r>
          </w:p>
        </w:tc>
        <w:tc>
          <w:tcPr>
            <w:tcW w:w="1077" w:type="dxa"/>
            <w:noWrap/>
            <w:vAlign w:val="center"/>
          </w:tcPr>
          <w:p>
            <w:pPr>
              <w:keepNext w:val="0"/>
              <w:keepLines w:val="0"/>
              <w:pageBreakBefore w:val="0"/>
              <w:kinsoku/>
              <w:wordWrap/>
              <w:overflowPunct/>
              <w:topLinePunct w:val="0"/>
              <w:autoSpaceDE/>
              <w:autoSpaceDN/>
              <w:bidi w:val="0"/>
              <w:adjustRightInd/>
              <w:snapToGrid/>
              <w:spacing w:line="220" w:lineRule="exact"/>
              <w:jc w:val="center"/>
              <w:rPr>
                <w:rFonts w:hint="eastAsia" w:ascii="宋体" w:hAnsi="宋体" w:eastAsia="宋体" w:cs="宋体"/>
                <w:i w:val="0"/>
                <w:iCs w:val="0"/>
                <w:color w:val="000000"/>
                <w:sz w:val="20"/>
                <w:szCs w:val="20"/>
                <w:highlight w:val="none"/>
                <w:u w:val="none"/>
              </w:rPr>
            </w:pPr>
          </w:p>
        </w:tc>
        <w:tc>
          <w:tcPr>
            <w:tcW w:w="1231"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固体粪污</w:t>
            </w:r>
          </w:p>
        </w:tc>
        <w:tc>
          <w:tcPr>
            <w:tcW w:w="960"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还田利用</w:t>
            </w:r>
          </w:p>
        </w:tc>
        <w:tc>
          <w:tcPr>
            <w:tcW w:w="1021"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 xml:space="preserve">3504.00 </w:t>
            </w:r>
          </w:p>
        </w:tc>
        <w:tc>
          <w:tcPr>
            <w:tcW w:w="965"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 xml:space="preserve">3504.00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exact"/>
          <w:jc w:val="center"/>
        </w:trPr>
        <w:tc>
          <w:tcPr>
            <w:tcW w:w="570"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86</w:t>
            </w:r>
          </w:p>
        </w:tc>
        <w:tc>
          <w:tcPr>
            <w:tcW w:w="1694"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桓仁殿双种养殖家庭农场</w:t>
            </w:r>
          </w:p>
        </w:tc>
        <w:tc>
          <w:tcPr>
            <w:tcW w:w="1060" w:type="dxa"/>
            <w:noWrap/>
            <w:vAlign w:val="center"/>
          </w:tcPr>
          <w:p>
            <w:pPr>
              <w:keepNext w:val="0"/>
              <w:keepLines w:val="0"/>
              <w:pageBreakBefore w:val="0"/>
              <w:kinsoku/>
              <w:wordWrap/>
              <w:overflowPunct/>
              <w:topLinePunct w:val="0"/>
              <w:autoSpaceDE/>
              <w:autoSpaceDN/>
              <w:bidi w:val="0"/>
              <w:adjustRightInd/>
              <w:snapToGrid/>
              <w:spacing w:line="220" w:lineRule="exact"/>
              <w:jc w:val="center"/>
              <w:rPr>
                <w:rFonts w:hint="eastAsia" w:ascii="宋体" w:hAnsi="宋体" w:eastAsia="宋体" w:cs="宋体"/>
                <w:i w:val="0"/>
                <w:iCs w:val="0"/>
                <w:color w:val="000000"/>
                <w:sz w:val="20"/>
                <w:szCs w:val="20"/>
                <w:highlight w:val="none"/>
                <w:u w:val="none"/>
              </w:rPr>
            </w:pPr>
          </w:p>
        </w:tc>
        <w:tc>
          <w:tcPr>
            <w:tcW w:w="939" w:type="dxa"/>
            <w:noWrap/>
            <w:vAlign w:val="center"/>
          </w:tcPr>
          <w:p>
            <w:pPr>
              <w:keepNext w:val="0"/>
              <w:keepLines w:val="0"/>
              <w:pageBreakBefore w:val="0"/>
              <w:kinsoku/>
              <w:wordWrap/>
              <w:overflowPunct/>
              <w:topLinePunct w:val="0"/>
              <w:autoSpaceDE/>
              <w:autoSpaceDN/>
              <w:bidi w:val="0"/>
              <w:adjustRightInd/>
              <w:snapToGrid/>
              <w:spacing w:line="220" w:lineRule="exact"/>
              <w:jc w:val="center"/>
              <w:rPr>
                <w:rFonts w:hint="eastAsia" w:ascii="宋体" w:hAnsi="宋体" w:eastAsia="宋体" w:cs="宋体"/>
                <w:i w:val="0"/>
                <w:iCs w:val="0"/>
                <w:color w:val="000000"/>
                <w:sz w:val="20"/>
                <w:szCs w:val="20"/>
                <w:highlight w:val="none"/>
                <w:u w:val="none"/>
              </w:rPr>
            </w:pPr>
          </w:p>
        </w:tc>
        <w:tc>
          <w:tcPr>
            <w:tcW w:w="892"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200</w:t>
            </w:r>
          </w:p>
        </w:tc>
        <w:tc>
          <w:tcPr>
            <w:tcW w:w="1077" w:type="dxa"/>
            <w:noWrap/>
            <w:vAlign w:val="center"/>
          </w:tcPr>
          <w:p>
            <w:pPr>
              <w:keepNext w:val="0"/>
              <w:keepLines w:val="0"/>
              <w:pageBreakBefore w:val="0"/>
              <w:kinsoku/>
              <w:wordWrap/>
              <w:overflowPunct/>
              <w:topLinePunct w:val="0"/>
              <w:autoSpaceDE/>
              <w:autoSpaceDN/>
              <w:bidi w:val="0"/>
              <w:adjustRightInd/>
              <w:snapToGrid/>
              <w:spacing w:line="220" w:lineRule="exact"/>
              <w:jc w:val="center"/>
              <w:rPr>
                <w:rFonts w:hint="eastAsia" w:ascii="宋体" w:hAnsi="宋体" w:eastAsia="宋体" w:cs="宋体"/>
                <w:i w:val="0"/>
                <w:iCs w:val="0"/>
                <w:color w:val="000000"/>
                <w:sz w:val="20"/>
                <w:szCs w:val="20"/>
                <w:highlight w:val="none"/>
                <w:u w:val="none"/>
              </w:rPr>
            </w:pPr>
          </w:p>
        </w:tc>
        <w:tc>
          <w:tcPr>
            <w:tcW w:w="1231"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固体粪污</w:t>
            </w:r>
          </w:p>
        </w:tc>
        <w:tc>
          <w:tcPr>
            <w:tcW w:w="960"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还田利用</w:t>
            </w:r>
          </w:p>
        </w:tc>
        <w:tc>
          <w:tcPr>
            <w:tcW w:w="1021"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 xml:space="preserve">584.00 </w:t>
            </w:r>
          </w:p>
        </w:tc>
        <w:tc>
          <w:tcPr>
            <w:tcW w:w="965"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 xml:space="preserve">479.18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95" w:hRule="exact"/>
          <w:jc w:val="center"/>
        </w:trPr>
        <w:tc>
          <w:tcPr>
            <w:tcW w:w="570"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87</w:t>
            </w:r>
          </w:p>
        </w:tc>
        <w:tc>
          <w:tcPr>
            <w:tcW w:w="1694"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桓仁德鹏家禽家畜养殖场</w:t>
            </w:r>
          </w:p>
        </w:tc>
        <w:tc>
          <w:tcPr>
            <w:tcW w:w="1060" w:type="dxa"/>
            <w:noWrap/>
            <w:vAlign w:val="center"/>
          </w:tcPr>
          <w:p>
            <w:pPr>
              <w:keepNext w:val="0"/>
              <w:keepLines w:val="0"/>
              <w:pageBreakBefore w:val="0"/>
              <w:kinsoku/>
              <w:wordWrap/>
              <w:overflowPunct/>
              <w:topLinePunct w:val="0"/>
              <w:autoSpaceDE/>
              <w:autoSpaceDN/>
              <w:bidi w:val="0"/>
              <w:adjustRightInd/>
              <w:snapToGrid/>
              <w:spacing w:line="220" w:lineRule="exact"/>
              <w:jc w:val="center"/>
              <w:rPr>
                <w:rFonts w:hint="eastAsia" w:ascii="宋体" w:hAnsi="宋体" w:eastAsia="宋体" w:cs="宋体"/>
                <w:i w:val="0"/>
                <w:iCs w:val="0"/>
                <w:color w:val="000000"/>
                <w:sz w:val="20"/>
                <w:szCs w:val="20"/>
                <w:highlight w:val="none"/>
                <w:u w:val="none"/>
              </w:rPr>
            </w:pPr>
          </w:p>
        </w:tc>
        <w:tc>
          <w:tcPr>
            <w:tcW w:w="939" w:type="dxa"/>
            <w:noWrap/>
            <w:vAlign w:val="center"/>
          </w:tcPr>
          <w:p>
            <w:pPr>
              <w:keepNext w:val="0"/>
              <w:keepLines w:val="0"/>
              <w:pageBreakBefore w:val="0"/>
              <w:kinsoku/>
              <w:wordWrap/>
              <w:overflowPunct/>
              <w:topLinePunct w:val="0"/>
              <w:autoSpaceDE/>
              <w:autoSpaceDN/>
              <w:bidi w:val="0"/>
              <w:adjustRightInd/>
              <w:snapToGrid/>
              <w:spacing w:line="220" w:lineRule="exact"/>
              <w:jc w:val="center"/>
              <w:rPr>
                <w:rFonts w:hint="eastAsia" w:ascii="宋体" w:hAnsi="宋体" w:eastAsia="宋体" w:cs="宋体"/>
                <w:i w:val="0"/>
                <w:iCs w:val="0"/>
                <w:color w:val="000000"/>
                <w:sz w:val="20"/>
                <w:szCs w:val="20"/>
                <w:highlight w:val="none"/>
                <w:u w:val="none"/>
              </w:rPr>
            </w:pPr>
          </w:p>
        </w:tc>
        <w:tc>
          <w:tcPr>
            <w:tcW w:w="892"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1300</w:t>
            </w:r>
          </w:p>
        </w:tc>
        <w:tc>
          <w:tcPr>
            <w:tcW w:w="1077" w:type="dxa"/>
            <w:noWrap/>
            <w:vAlign w:val="center"/>
          </w:tcPr>
          <w:p>
            <w:pPr>
              <w:keepNext w:val="0"/>
              <w:keepLines w:val="0"/>
              <w:pageBreakBefore w:val="0"/>
              <w:kinsoku/>
              <w:wordWrap/>
              <w:overflowPunct/>
              <w:topLinePunct w:val="0"/>
              <w:autoSpaceDE/>
              <w:autoSpaceDN/>
              <w:bidi w:val="0"/>
              <w:adjustRightInd/>
              <w:snapToGrid/>
              <w:spacing w:line="220" w:lineRule="exact"/>
              <w:jc w:val="center"/>
              <w:rPr>
                <w:rFonts w:hint="eastAsia" w:ascii="宋体" w:hAnsi="宋体" w:eastAsia="宋体" w:cs="宋体"/>
                <w:i w:val="0"/>
                <w:iCs w:val="0"/>
                <w:color w:val="000000"/>
                <w:sz w:val="20"/>
                <w:szCs w:val="20"/>
                <w:highlight w:val="none"/>
                <w:u w:val="none"/>
              </w:rPr>
            </w:pPr>
          </w:p>
        </w:tc>
        <w:tc>
          <w:tcPr>
            <w:tcW w:w="1231"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固体粪污</w:t>
            </w:r>
          </w:p>
        </w:tc>
        <w:tc>
          <w:tcPr>
            <w:tcW w:w="960"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还田利用、固体粪污委托处理生产有机肥</w:t>
            </w:r>
          </w:p>
        </w:tc>
        <w:tc>
          <w:tcPr>
            <w:tcW w:w="1021"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 xml:space="preserve">3504.00 </w:t>
            </w:r>
          </w:p>
        </w:tc>
        <w:tc>
          <w:tcPr>
            <w:tcW w:w="965"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 xml:space="preserve">3351.70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exact"/>
          <w:jc w:val="center"/>
        </w:trPr>
        <w:tc>
          <w:tcPr>
            <w:tcW w:w="570"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88</w:t>
            </w:r>
          </w:p>
        </w:tc>
        <w:tc>
          <w:tcPr>
            <w:tcW w:w="1694"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桓仁二道沟蛋鸡场</w:t>
            </w:r>
          </w:p>
        </w:tc>
        <w:tc>
          <w:tcPr>
            <w:tcW w:w="1060" w:type="dxa"/>
            <w:noWrap/>
            <w:vAlign w:val="center"/>
          </w:tcPr>
          <w:p>
            <w:pPr>
              <w:keepNext w:val="0"/>
              <w:keepLines w:val="0"/>
              <w:pageBreakBefore w:val="0"/>
              <w:kinsoku/>
              <w:wordWrap/>
              <w:overflowPunct/>
              <w:topLinePunct w:val="0"/>
              <w:autoSpaceDE/>
              <w:autoSpaceDN/>
              <w:bidi w:val="0"/>
              <w:adjustRightInd/>
              <w:snapToGrid/>
              <w:spacing w:line="220" w:lineRule="exact"/>
              <w:jc w:val="center"/>
              <w:rPr>
                <w:rFonts w:hint="eastAsia" w:ascii="宋体" w:hAnsi="宋体" w:eastAsia="宋体" w:cs="宋体"/>
                <w:i w:val="0"/>
                <w:iCs w:val="0"/>
                <w:color w:val="000000"/>
                <w:sz w:val="20"/>
                <w:szCs w:val="20"/>
                <w:highlight w:val="none"/>
                <w:u w:val="none"/>
              </w:rPr>
            </w:pPr>
          </w:p>
        </w:tc>
        <w:tc>
          <w:tcPr>
            <w:tcW w:w="939" w:type="dxa"/>
            <w:noWrap/>
            <w:vAlign w:val="center"/>
          </w:tcPr>
          <w:p>
            <w:pPr>
              <w:keepNext w:val="0"/>
              <w:keepLines w:val="0"/>
              <w:pageBreakBefore w:val="0"/>
              <w:kinsoku/>
              <w:wordWrap/>
              <w:overflowPunct/>
              <w:topLinePunct w:val="0"/>
              <w:autoSpaceDE/>
              <w:autoSpaceDN/>
              <w:bidi w:val="0"/>
              <w:adjustRightInd/>
              <w:snapToGrid/>
              <w:spacing w:line="220" w:lineRule="exact"/>
              <w:jc w:val="center"/>
              <w:rPr>
                <w:rFonts w:hint="eastAsia" w:ascii="宋体" w:hAnsi="宋体" w:eastAsia="宋体" w:cs="宋体"/>
                <w:i w:val="0"/>
                <w:iCs w:val="0"/>
                <w:color w:val="000000"/>
                <w:sz w:val="20"/>
                <w:szCs w:val="20"/>
                <w:highlight w:val="none"/>
                <w:u w:val="none"/>
              </w:rPr>
            </w:pPr>
          </w:p>
        </w:tc>
        <w:tc>
          <w:tcPr>
            <w:tcW w:w="892"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650</w:t>
            </w:r>
          </w:p>
        </w:tc>
        <w:tc>
          <w:tcPr>
            <w:tcW w:w="1077" w:type="dxa"/>
            <w:noWrap/>
            <w:vAlign w:val="center"/>
          </w:tcPr>
          <w:p>
            <w:pPr>
              <w:keepNext w:val="0"/>
              <w:keepLines w:val="0"/>
              <w:pageBreakBefore w:val="0"/>
              <w:kinsoku/>
              <w:wordWrap/>
              <w:overflowPunct/>
              <w:topLinePunct w:val="0"/>
              <w:autoSpaceDE/>
              <w:autoSpaceDN/>
              <w:bidi w:val="0"/>
              <w:adjustRightInd/>
              <w:snapToGrid/>
              <w:spacing w:line="220" w:lineRule="exact"/>
              <w:jc w:val="center"/>
              <w:rPr>
                <w:rFonts w:hint="eastAsia" w:ascii="宋体" w:hAnsi="宋体" w:eastAsia="宋体" w:cs="宋体"/>
                <w:i w:val="0"/>
                <w:iCs w:val="0"/>
                <w:color w:val="000000"/>
                <w:sz w:val="20"/>
                <w:szCs w:val="20"/>
                <w:highlight w:val="none"/>
                <w:u w:val="none"/>
              </w:rPr>
            </w:pPr>
          </w:p>
        </w:tc>
        <w:tc>
          <w:tcPr>
            <w:tcW w:w="1231"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固体粪污</w:t>
            </w:r>
          </w:p>
        </w:tc>
        <w:tc>
          <w:tcPr>
            <w:tcW w:w="960"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还田利用</w:t>
            </w:r>
          </w:p>
        </w:tc>
        <w:tc>
          <w:tcPr>
            <w:tcW w:w="1021"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 xml:space="preserve">350.40 </w:t>
            </w:r>
          </w:p>
        </w:tc>
        <w:tc>
          <w:tcPr>
            <w:tcW w:w="965"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 xml:space="preserve">350.40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exact"/>
          <w:jc w:val="center"/>
        </w:trPr>
        <w:tc>
          <w:tcPr>
            <w:tcW w:w="570"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89</w:t>
            </w:r>
          </w:p>
        </w:tc>
        <w:tc>
          <w:tcPr>
            <w:tcW w:w="1694"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桓仁广富绒山羊养殖场</w:t>
            </w:r>
          </w:p>
        </w:tc>
        <w:tc>
          <w:tcPr>
            <w:tcW w:w="1060"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20</w:t>
            </w:r>
          </w:p>
        </w:tc>
        <w:tc>
          <w:tcPr>
            <w:tcW w:w="939" w:type="dxa"/>
            <w:noWrap/>
            <w:vAlign w:val="center"/>
          </w:tcPr>
          <w:p>
            <w:pPr>
              <w:keepNext w:val="0"/>
              <w:keepLines w:val="0"/>
              <w:pageBreakBefore w:val="0"/>
              <w:kinsoku/>
              <w:wordWrap/>
              <w:overflowPunct/>
              <w:topLinePunct w:val="0"/>
              <w:autoSpaceDE/>
              <w:autoSpaceDN/>
              <w:bidi w:val="0"/>
              <w:adjustRightInd/>
              <w:snapToGrid/>
              <w:spacing w:line="220" w:lineRule="exact"/>
              <w:jc w:val="center"/>
              <w:rPr>
                <w:rFonts w:hint="eastAsia" w:ascii="宋体" w:hAnsi="宋体" w:eastAsia="宋体" w:cs="宋体"/>
                <w:i w:val="0"/>
                <w:iCs w:val="0"/>
                <w:color w:val="000000"/>
                <w:sz w:val="20"/>
                <w:szCs w:val="20"/>
                <w:highlight w:val="none"/>
                <w:u w:val="none"/>
              </w:rPr>
            </w:pPr>
          </w:p>
        </w:tc>
        <w:tc>
          <w:tcPr>
            <w:tcW w:w="892"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60</w:t>
            </w:r>
          </w:p>
        </w:tc>
        <w:tc>
          <w:tcPr>
            <w:tcW w:w="1077" w:type="dxa"/>
            <w:noWrap/>
            <w:vAlign w:val="center"/>
          </w:tcPr>
          <w:p>
            <w:pPr>
              <w:keepNext w:val="0"/>
              <w:keepLines w:val="0"/>
              <w:pageBreakBefore w:val="0"/>
              <w:kinsoku/>
              <w:wordWrap/>
              <w:overflowPunct/>
              <w:topLinePunct w:val="0"/>
              <w:autoSpaceDE/>
              <w:autoSpaceDN/>
              <w:bidi w:val="0"/>
              <w:adjustRightInd/>
              <w:snapToGrid/>
              <w:spacing w:line="220" w:lineRule="exact"/>
              <w:jc w:val="center"/>
              <w:rPr>
                <w:rFonts w:hint="eastAsia" w:ascii="宋体" w:hAnsi="宋体" w:eastAsia="宋体" w:cs="宋体"/>
                <w:i w:val="0"/>
                <w:iCs w:val="0"/>
                <w:color w:val="000000"/>
                <w:sz w:val="20"/>
                <w:szCs w:val="20"/>
                <w:highlight w:val="none"/>
                <w:u w:val="none"/>
              </w:rPr>
            </w:pPr>
          </w:p>
        </w:tc>
        <w:tc>
          <w:tcPr>
            <w:tcW w:w="1231"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固体粪污和液体粪污</w:t>
            </w:r>
          </w:p>
        </w:tc>
        <w:tc>
          <w:tcPr>
            <w:tcW w:w="960"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还田利用</w:t>
            </w:r>
          </w:p>
        </w:tc>
        <w:tc>
          <w:tcPr>
            <w:tcW w:w="1021"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 xml:space="preserve">237.25 </w:t>
            </w:r>
          </w:p>
        </w:tc>
        <w:tc>
          <w:tcPr>
            <w:tcW w:w="965"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 xml:space="preserve">197.91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exact"/>
          <w:jc w:val="center"/>
        </w:trPr>
        <w:tc>
          <w:tcPr>
            <w:tcW w:w="570"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90</w:t>
            </w:r>
          </w:p>
        </w:tc>
        <w:tc>
          <w:tcPr>
            <w:tcW w:w="1694"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盛地牧业</w:t>
            </w:r>
          </w:p>
        </w:tc>
        <w:tc>
          <w:tcPr>
            <w:tcW w:w="1060"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2600</w:t>
            </w:r>
          </w:p>
        </w:tc>
        <w:tc>
          <w:tcPr>
            <w:tcW w:w="939" w:type="dxa"/>
            <w:noWrap/>
            <w:vAlign w:val="center"/>
          </w:tcPr>
          <w:p>
            <w:pPr>
              <w:keepNext w:val="0"/>
              <w:keepLines w:val="0"/>
              <w:pageBreakBefore w:val="0"/>
              <w:kinsoku/>
              <w:wordWrap/>
              <w:overflowPunct/>
              <w:topLinePunct w:val="0"/>
              <w:autoSpaceDE/>
              <w:autoSpaceDN/>
              <w:bidi w:val="0"/>
              <w:adjustRightInd/>
              <w:snapToGrid/>
              <w:spacing w:line="220" w:lineRule="exact"/>
              <w:jc w:val="center"/>
              <w:rPr>
                <w:rFonts w:hint="eastAsia" w:ascii="宋体" w:hAnsi="宋体" w:eastAsia="宋体" w:cs="宋体"/>
                <w:i w:val="0"/>
                <w:iCs w:val="0"/>
                <w:color w:val="000000"/>
                <w:sz w:val="20"/>
                <w:szCs w:val="20"/>
                <w:highlight w:val="none"/>
                <w:u w:val="none"/>
              </w:rPr>
            </w:pPr>
          </w:p>
        </w:tc>
        <w:tc>
          <w:tcPr>
            <w:tcW w:w="892"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2950</w:t>
            </w:r>
          </w:p>
        </w:tc>
        <w:tc>
          <w:tcPr>
            <w:tcW w:w="1077" w:type="dxa"/>
            <w:noWrap/>
            <w:vAlign w:val="center"/>
          </w:tcPr>
          <w:p>
            <w:pPr>
              <w:keepNext w:val="0"/>
              <w:keepLines w:val="0"/>
              <w:pageBreakBefore w:val="0"/>
              <w:kinsoku/>
              <w:wordWrap/>
              <w:overflowPunct/>
              <w:topLinePunct w:val="0"/>
              <w:autoSpaceDE/>
              <w:autoSpaceDN/>
              <w:bidi w:val="0"/>
              <w:adjustRightInd/>
              <w:snapToGrid/>
              <w:spacing w:line="220" w:lineRule="exact"/>
              <w:jc w:val="center"/>
              <w:rPr>
                <w:rFonts w:hint="eastAsia" w:ascii="宋体" w:hAnsi="宋体" w:eastAsia="宋体" w:cs="宋体"/>
                <w:i w:val="0"/>
                <w:iCs w:val="0"/>
                <w:color w:val="000000"/>
                <w:sz w:val="20"/>
                <w:szCs w:val="20"/>
                <w:highlight w:val="none"/>
                <w:u w:val="none"/>
              </w:rPr>
            </w:pPr>
          </w:p>
        </w:tc>
        <w:tc>
          <w:tcPr>
            <w:tcW w:w="1231"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固体粪污和液体粪污</w:t>
            </w:r>
          </w:p>
        </w:tc>
        <w:tc>
          <w:tcPr>
            <w:tcW w:w="960"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还田利用</w:t>
            </w:r>
          </w:p>
        </w:tc>
        <w:tc>
          <w:tcPr>
            <w:tcW w:w="1021"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 xml:space="preserve">1051.20 </w:t>
            </w:r>
          </w:p>
        </w:tc>
        <w:tc>
          <w:tcPr>
            <w:tcW w:w="965"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 xml:space="preserve">1051.20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exact"/>
          <w:jc w:val="center"/>
        </w:trPr>
        <w:tc>
          <w:tcPr>
            <w:tcW w:w="570"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91</w:t>
            </w:r>
          </w:p>
        </w:tc>
        <w:tc>
          <w:tcPr>
            <w:tcW w:w="1694"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本溪天女木兰牧业有限公司</w:t>
            </w:r>
          </w:p>
        </w:tc>
        <w:tc>
          <w:tcPr>
            <w:tcW w:w="1060"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30000</w:t>
            </w:r>
          </w:p>
        </w:tc>
        <w:tc>
          <w:tcPr>
            <w:tcW w:w="939" w:type="dxa"/>
            <w:noWrap/>
            <w:vAlign w:val="center"/>
          </w:tcPr>
          <w:p>
            <w:pPr>
              <w:keepNext w:val="0"/>
              <w:keepLines w:val="0"/>
              <w:pageBreakBefore w:val="0"/>
              <w:kinsoku/>
              <w:wordWrap/>
              <w:overflowPunct/>
              <w:topLinePunct w:val="0"/>
              <w:autoSpaceDE/>
              <w:autoSpaceDN/>
              <w:bidi w:val="0"/>
              <w:adjustRightInd/>
              <w:snapToGrid/>
              <w:spacing w:line="220" w:lineRule="exact"/>
              <w:jc w:val="center"/>
              <w:rPr>
                <w:rFonts w:hint="eastAsia" w:ascii="宋体" w:hAnsi="宋体" w:eastAsia="宋体" w:cs="宋体"/>
                <w:i w:val="0"/>
                <w:iCs w:val="0"/>
                <w:color w:val="000000"/>
                <w:sz w:val="20"/>
                <w:szCs w:val="20"/>
                <w:highlight w:val="none"/>
                <w:u w:val="none"/>
              </w:rPr>
            </w:pPr>
          </w:p>
        </w:tc>
        <w:tc>
          <w:tcPr>
            <w:tcW w:w="892"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1500</w:t>
            </w:r>
          </w:p>
        </w:tc>
        <w:tc>
          <w:tcPr>
            <w:tcW w:w="1077" w:type="dxa"/>
            <w:noWrap/>
            <w:vAlign w:val="center"/>
          </w:tcPr>
          <w:p>
            <w:pPr>
              <w:keepNext w:val="0"/>
              <w:keepLines w:val="0"/>
              <w:pageBreakBefore w:val="0"/>
              <w:kinsoku/>
              <w:wordWrap/>
              <w:overflowPunct/>
              <w:topLinePunct w:val="0"/>
              <w:autoSpaceDE/>
              <w:autoSpaceDN/>
              <w:bidi w:val="0"/>
              <w:adjustRightInd/>
              <w:snapToGrid/>
              <w:spacing w:line="220" w:lineRule="exact"/>
              <w:jc w:val="center"/>
              <w:rPr>
                <w:rFonts w:hint="eastAsia" w:ascii="宋体" w:hAnsi="宋体" w:eastAsia="宋体" w:cs="宋体"/>
                <w:i w:val="0"/>
                <w:iCs w:val="0"/>
                <w:color w:val="000000"/>
                <w:sz w:val="20"/>
                <w:szCs w:val="20"/>
                <w:highlight w:val="none"/>
                <w:u w:val="none"/>
              </w:rPr>
            </w:pPr>
          </w:p>
        </w:tc>
        <w:tc>
          <w:tcPr>
            <w:tcW w:w="1231"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固体粪污和液体粪污</w:t>
            </w:r>
          </w:p>
        </w:tc>
        <w:tc>
          <w:tcPr>
            <w:tcW w:w="960"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还田利用</w:t>
            </w:r>
          </w:p>
        </w:tc>
        <w:tc>
          <w:tcPr>
            <w:tcW w:w="1021"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 xml:space="preserve">9271.00 </w:t>
            </w:r>
          </w:p>
        </w:tc>
        <w:tc>
          <w:tcPr>
            <w:tcW w:w="965"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 xml:space="preserve">9271.00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exact"/>
          <w:jc w:val="center"/>
        </w:trPr>
        <w:tc>
          <w:tcPr>
            <w:tcW w:w="570"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92</w:t>
            </w:r>
          </w:p>
        </w:tc>
        <w:tc>
          <w:tcPr>
            <w:tcW w:w="1694"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本溪天女木兰种猪饲养有限公司</w:t>
            </w:r>
          </w:p>
        </w:tc>
        <w:tc>
          <w:tcPr>
            <w:tcW w:w="1060"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1000</w:t>
            </w:r>
          </w:p>
        </w:tc>
        <w:tc>
          <w:tcPr>
            <w:tcW w:w="939" w:type="dxa"/>
            <w:noWrap/>
            <w:vAlign w:val="center"/>
          </w:tcPr>
          <w:p>
            <w:pPr>
              <w:keepNext w:val="0"/>
              <w:keepLines w:val="0"/>
              <w:pageBreakBefore w:val="0"/>
              <w:kinsoku/>
              <w:wordWrap/>
              <w:overflowPunct/>
              <w:topLinePunct w:val="0"/>
              <w:autoSpaceDE/>
              <w:autoSpaceDN/>
              <w:bidi w:val="0"/>
              <w:adjustRightInd/>
              <w:snapToGrid/>
              <w:spacing w:line="220" w:lineRule="exact"/>
              <w:jc w:val="center"/>
              <w:rPr>
                <w:rFonts w:hint="eastAsia" w:ascii="宋体" w:hAnsi="宋体" w:eastAsia="宋体" w:cs="宋体"/>
                <w:i w:val="0"/>
                <w:iCs w:val="0"/>
                <w:color w:val="000000"/>
                <w:sz w:val="20"/>
                <w:szCs w:val="20"/>
                <w:highlight w:val="none"/>
                <w:u w:val="none"/>
              </w:rPr>
            </w:pPr>
          </w:p>
        </w:tc>
        <w:tc>
          <w:tcPr>
            <w:tcW w:w="892"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400</w:t>
            </w:r>
          </w:p>
        </w:tc>
        <w:tc>
          <w:tcPr>
            <w:tcW w:w="1077"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300</w:t>
            </w:r>
          </w:p>
        </w:tc>
        <w:tc>
          <w:tcPr>
            <w:tcW w:w="1231"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固体粪污和液体粪污</w:t>
            </w:r>
          </w:p>
        </w:tc>
        <w:tc>
          <w:tcPr>
            <w:tcW w:w="960"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还田利用</w:t>
            </w:r>
          </w:p>
        </w:tc>
        <w:tc>
          <w:tcPr>
            <w:tcW w:w="1021"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 xml:space="preserve">5099.05 </w:t>
            </w:r>
          </w:p>
        </w:tc>
        <w:tc>
          <w:tcPr>
            <w:tcW w:w="965"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 xml:space="preserve">5099.05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exact"/>
          <w:jc w:val="center"/>
        </w:trPr>
        <w:tc>
          <w:tcPr>
            <w:tcW w:w="570"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93</w:t>
            </w:r>
          </w:p>
        </w:tc>
        <w:tc>
          <w:tcPr>
            <w:tcW w:w="1694"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本溪宏大牧业发展有限公司</w:t>
            </w:r>
          </w:p>
        </w:tc>
        <w:tc>
          <w:tcPr>
            <w:tcW w:w="1060"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10000</w:t>
            </w:r>
          </w:p>
        </w:tc>
        <w:tc>
          <w:tcPr>
            <w:tcW w:w="939" w:type="dxa"/>
            <w:noWrap/>
            <w:vAlign w:val="center"/>
          </w:tcPr>
          <w:p>
            <w:pPr>
              <w:keepNext w:val="0"/>
              <w:keepLines w:val="0"/>
              <w:pageBreakBefore w:val="0"/>
              <w:kinsoku/>
              <w:wordWrap/>
              <w:overflowPunct/>
              <w:topLinePunct w:val="0"/>
              <w:autoSpaceDE/>
              <w:autoSpaceDN/>
              <w:bidi w:val="0"/>
              <w:adjustRightInd/>
              <w:snapToGrid/>
              <w:spacing w:line="220" w:lineRule="exact"/>
              <w:jc w:val="center"/>
              <w:rPr>
                <w:rFonts w:hint="eastAsia" w:ascii="宋体" w:hAnsi="宋体" w:eastAsia="宋体" w:cs="宋体"/>
                <w:i w:val="0"/>
                <w:iCs w:val="0"/>
                <w:color w:val="000000"/>
                <w:sz w:val="20"/>
                <w:szCs w:val="20"/>
                <w:highlight w:val="none"/>
                <w:u w:val="none"/>
              </w:rPr>
            </w:pPr>
          </w:p>
        </w:tc>
        <w:tc>
          <w:tcPr>
            <w:tcW w:w="892"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2700</w:t>
            </w:r>
          </w:p>
        </w:tc>
        <w:tc>
          <w:tcPr>
            <w:tcW w:w="1077" w:type="dxa"/>
            <w:noWrap/>
            <w:vAlign w:val="center"/>
          </w:tcPr>
          <w:p>
            <w:pPr>
              <w:keepNext w:val="0"/>
              <w:keepLines w:val="0"/>
              <w:pageBreakBefore w:val="0"/>
              <w:kinsoku/>
              <w:wordWrap/>
              <w:overflowPunct/>
              <w:topLinePunct w:val="0"/>
              <w:autoSpaceDE/>
              <w:autoSpaceDN/>
              <w:bidi w:val="0"/>
              <w:adjustRightInd/>
              <w:snapToGrid/>
              <w:spacing w:line="220" w:lineRule="exact"/>
              <w:jc w:val="center"/>
              <w:rPr>
                <w:rFonts w:hint="eastAsia" w:ascii="宋体" w:hAnsi="宋体" w:eastAsia="宋体" w:cs="宋体"/>
                <w:i w:val="0"/>
                <w:iCs w:val="0"/>
                <w:color w:val="000000"/>
                <w:sz w:val="20"/>
                <w:szCs w:val="20"/>
                <w:highlight w:val="none"/>
                <w:u w:val="none"/>
              </w:rPr>
            </w:pPr>
          </w:p>
        </w:tc>
        <w:tc>
          <w:tcPr>
            <w:tcW w:w="1231"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固体粪污和液体粪污</w:t>
            </w:r>
          </w:p>
        </w:tc>
        <w:tc>
          <w:tcPr>
            <w:tcW w:w="960"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还田利用</w:t>
            </w:r>
          </w:p>
        </w:tc>
        <w:tc>
          <w:tcPr>
            <w:tcW w:w="1021"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 xml:space="preserve">52538.11 </w:t>
            </w:r>
          </w:p>
        </w:tc>
        <w:tc>
          <w:tcPr>
            <w:tcW w:w="965"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 xml:space="preserve">52538.11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exact"/>
          <w:jc w:val="center"/>
        </w:trPr>
        <w:tc>
          <w:tcPr>
            <w:tcW w:w="570"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94</w:t>
            </w:r>
          </w:p>
        </w:tc>
        <w:tc>
          <w:tcPr>
            <w:tcW w:w="1694"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本溪市明山区福旺养猪专业合作社</w:t>
            </w:r>
          </w:p>
        </w:tc>
        <w:tc>
          <w:tcPr>
            <w:tcW w:w="1060"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1400</w:t>
            </w:r>
          </w:p>
        </w:tc>
        <w:tc>
          <w:tcPr>
            <w:tcW w:w="939"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600</w:t>
            </w:r>
          </w:p>
        </w:tc>
        <w:tc>
          <w:tcPr>
            <w:tcW w:w="892"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600</w:t>
            </w:r>
          </w:p>
        </w:tc>
        <w:tc>
          <w:tcPr>
            <w:tcW w:w="1077" w:type="dxa"/>
            <w:noWrap/>
            <w:vAlign w:val="center"/>
          </w:tcPr>
          <w:p>
            <w:pPr>
              <w:keepNext w:val="0"/>
              <w:keepLines w:val="0"/>
              <w:pageBreakBefore w:val="0"/>
              <w:kinsoku/>
              <w:wordWrap/>
              <w:overflowPunct/>
              <w:topLinePunct w:val="0"/>
              <w:autoSpaceDE/>
              <w:autoSpaceDN/>
              <w:bidi w:val="0"/>
              <w:adjustRightInd/>
              <w:snapToGrid/>
              <w:spacing w:line="220" w:lineRule="exact"/>
              <w:jc w:val="center"/>
              <w:rPr>
                <w:rFonts w:hint="eastAsia" w:ascii="宋体" w:hAnsi="宋体" w:eastAsia="宋体" w:cs="宋体"/>
                <w:i w:val="0"/>
                <w:iCs w:val="0"/>
                <w:color w:val="000000"/>
                <w:sz w:val="20"/>
                <w:szCs w:val="20"/>
                <w:highlight w:val="none"/>
                <w:u w:val="none"/>
              </w:rPr>
            </w:pPr>
          </w:p>
        </w:tc>
        <w:tc>
          <w:tcPr>
            <w:tcW w:w="1231"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固体粪污和液体粪污</w:t>
            </w:r>
          </w:p>
        </w:tc>
        <w:tc>
          <w:tcPr>
            <w:tcW w:w="960"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还田利用</w:t>
            </w:r>
          </w:p>
        </w:tc>
        <w:tc>
          <w:tcPr>
            <w:tcW w:w="1021"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 xml:space="preserve">2288.55 </w:t>
            </w:r>
          </w:p>
        </w:tc>
        <w:tc>
          <w:tcPr>
            <w:tcW w:w="965"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 xml:space="preserve">2288.55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exact"/>
          <w:jc w:val="center"/>
        </w:trPr>
        <w:tc>
          <w:tcPr>
            <w:tcW w:w="570"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95</w:t>
            </w:r>
          </w:p>
        </w:tc>
        <w:tc>
          <w:tcPr>
            <w:tcW w:w="1694"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本溪市兴盛种猪场</w:t>
            </w:r>
          </w:p>
        </w:tc>
        <w:tc>
          <w:tcPr>
            <w:tcW w:w="1060"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300</w:t>
            </w:r>
          </w:p>
        </w:tc>
        <w:tc>
          <w:tcPr>
            <w:tcW w:w="939" w:type="dxa"/>
            <w:noWrap/>
            <w:vAlign w:val="center"/>
          </w:tcPr>
          <w:p>
            <w:pPr>
              <w:keepNext w:val="0"/>
              <w:keepLines w:val="0"/>
              <w:pageBreakBefore w:val="0"/>
              <w:kinsoku/>
              <w:wordWrap/>
              <w:overflowPunct/>
              <w:topLinePunct w:val="0"/>
              <w:autoSpaceDE/>
              <w:autoSpaceDN/>
              <w:bidi w:val="0"/>
              <w:adjustRightInd/>
              <w:snapToGrid/>
              <w:spacing w:line="220" w:lineRule="exact"/>
              <w:jc w:val="center"/>
              <w:rPr>
                <w:rFonts w:hint="eastAsia" w:ascii="宋体" w:hAnsi="宋体" w:eastAsia="宋体" w:cs="宋体"/>
                <w:i w:val="0"/>
                <w:iCs w:val="0"/>
                <w:color w:val="000000"/>
                <w:sz w:val="20"/>
                <w:szCs w:val="20"/>
                <w:highlight w:val="none"/>
                <w:u w:val="none"/>
              </w:rPr>
            </w:pPr>
          </w:p>
        </w:tc>
        <w:tc>
          <w:tcPr>
            <w:tcW w:w="892"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220</w:t>
            </w:r>
          </w:p>
        </w:tc>
        <w:tc>
          <w:tcPr>
            <w:tcW w:w="1077" w:type="dxa"/>
            <w:noWrap/>
            <w:vAlign w:val="center"/>
          </w:tcPr>
          <w:p>
            <w:pPr>
              <w:keepNext w:val="0"/>
              <w:keepLines w:val="0"/>
              <w:pageBreakBefore w:val="0"/>
              <w:kinsoku/>
              <w:wordWrap/>
              <w:overflowPunct/>
              <w:topLinePunct w:val="0"/>
              <w:autoSpaceDE/>
              <w:autoSpaceDN/>
              <w:bidi w:val="0"/>
              <w:adjustRightInd/>
              <w:snapToGrid/>
              <w:spacing w:line="220" w:lineRule="exact"/>
              <w:jc w:val="center"/>
              <w:rPr>
                <w:rFonts w:hint="eastAsia" w:ascii="宋体" w:hAnsi="宋体" w:eastAsia="宋体" w:cs="宋体"/>
                <w:i w:val="0"/>
                <w:iCs w:val="0"/>
                <w:color w:val="000000"/>
                <w:sz w:val="20"/>
                <w:szCs w:val="20"/>
                <w:highlight w:val="none"/>
                <w:u w:val="none"/>
              </w:rPr>
            </w:pPr>
          </w:p>
        </w:tc>
        <w:tc>
          <w:tcPr>
            <w:tcW w:w="1231"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固体粪污和液体粪污</w:t>
            </w:r>
          </w:p>
        </w:tc>
        <w:tc>
          <w:tcPr>
            <w:tcW w:w="960"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还田利用</w:t>
            </w:r>
          </w:p>
        </w:tc>
        <w:tc>
          <w:tcPr>
            <w:tcW w:w="1021"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 xml:space="preserve">1003.75 </w:t>
            </w:r>
          </w:p>
        </w:tc>
        <w:tc>
          <w:tcPr>
            <w:tcW w:w="965"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 xml:space="preserve">873.10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11" w:hRule="exact"/>
          <w:jc w:val="center"/>
        </w:trPr>
        <w:tc>
          <w:tcPr>
            <w:tcW w:w="570"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96</w:t>
            </w:r>
          </w:p>
        </w:tc>
        <w:tc>
          <w:tcPr>
            <w:tcW w:w="1694"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本溪市得粮家禽养殖有限公司</w:t>
            </w:r>
          </w:p>
        </w:tc>
        <w:tc>
          <w:tcPr>
            <w:tcW w:w="1060"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1050</w:t>
            </w:r>
          </w:p>
        </w:tc>
        <w:tc>
          <w:tcPr>
            <w:tcW w:w="939" w:type="dxa"/>
            <w:noWrap/>
            <w:vAlign w:val="center"/>
          </w:tcPr>
          <w:p>
            <w:pPr>
              <w:keepNext w:val="0"/>
              <w:keepLines w:val="0"/>
              <w:pageBreakBefore w:val="0"/>
              <w:kinsoku/>
              <w:wordWrap/>
              <w:overflowPunct/>
              <w:topLinePunct w:val="0"/>
              <w:autoSpaceDE/>
              <w:autoSpaceDN/>
              <w:bidi w:val="0"/>
              <w:adjustRightInd/>
              <w:snapToGrid/>
              <w:spacing w:line="220" w:lineRule="exact"/>
              <w:jc w:val="center"/>
              <w:rPr>
                <w:rFonts w:hint="eastAsia" w:ascii="宋体" w:hAnsi="宋体" w:eastAsia="宋体" w:cs="宋体"/>
                <w:i w:val="0"/>
                <w:iCs w:val="0"/>
                <w:color w:val="000000"/>
                <w:sz w:val="20"/>
                <w:szCs w:val="20"/>
                <w:highlight w:val="none"/>
                <w:u w:val="none"/>
              </w:rPr>
            </w:pPr>
          </w:p>
        </w:tc>
        <w:tc>
          <w:tcPr>
            <w:tcW w:w="892"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1200</w:t>
            </w:r>
          </w:p>
        </w:tc>
        <w:tc>
          <w:tcPr>
            <w:tcW w:w="1077" w:type="dxa"/>
            <w:noWrap/>
            <w:vAlign w:val="center"/>
          </w:tcPr>
          <w:p>
            <w:pPr>
              <w:keepNext w:val="0"/>
              <w:keepLines w:val="0"/>
              <w:pageBreakBefore w:val="0"/>
              <w:kinsoku/>
              <w:wordWrap/>
              <w:overflowPunct/>
              <w:topLinePunct w:val="0"/>
              <w:autoSpaceDE/>
              <w:autoSpaceDN/>
              <w:bidi w:val="0"/>
              <w:adjustRightInd/>
              <w:snapToGrid/>
              <w:spacing w:line="220" w:lineRule="exact"/>
              <w:jc w:val="center"/>
              <w:rPr>
                <w:rFonts w:hint="eastAsia" w:ascii="宋体" w:hAnsi="宋体" w:eastAsia="宋体" w:cs="宋体"/>
                <w:i w:val="0"/>
                <w:iCs w:val="0"/>
                <w:color w:val="000000"/>
                <w:sz w:val="20"/>
                <w:szCs w:val="20"/>
                <w:highlight w:val="none"/>
                <w:u w:val="none"/>
              </w:rPr>
            </w:pPr>
          </w:p>
        </w:tc>
        <w:tc>
          <w:tcPr>
            <w:tcW w:w="1231"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固体粪污和液体粪污</w:t>
            </w:r>
          </w:p>
        </w:tc>
        <w:tc>
          <w:tcPr>
            <w:tcW w:w="960"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还田利用、固体粪污委托处理生产有机肥</w:t>
            </w:r>
          </w:p>
        </w:tc>
        <w:tc>
          <w:tcPr>
            <w:tcW w:w="1021"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 xml:space="preserve">17812.00 </w:t>
            </w:r>
          </w:p>
        </w:tc>
        <w:tc>
          <w:tcPr>
            <w:tcW w:w="965"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 xml:space="preserve">15329.79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4" w:hRule="exact"/>
          <w:jc w:val="center"/>
        </w:trPr>
        <w:tc>
          <w:tcPr>
            <w:tcW w:w="570"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97</w:t>
            </w:r>
          </w:p>
        </w:tc>
        <w:tc>
          <w:tcPr>
            <w:tcW w:w="1694"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本溪市南芬区红运种猪场</w:t>
            </w:r>
          </w:p>
        </w:tc>
        <w:tc>
          <w:tcPr>
            <w:tcW w:w="1060"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21000</w:t>
            </w:r>
          </w:p>
        </w:tc>
        <w:tc>
          <w:tcPr>
            <w:tcW w:w="939" w:type="dxa"/>
            <w:noWrap/>
            <w:vAlign w:val="center"/>
          </w:tcPr>
          <w:p>
            <w:pPr>
              <w:keepNext w:val="0"/>
              <w:keepLines w:val="0"/>
              <w:pageBreakBefore w:val="0"/>
              <w:kinsoku/>
              <w:wordWrap/>
              <w:overflowPunct/>
              <w:topLinePunct w:val="0"/>
              <w:autoSpaceDE/>
              <w:autoSpaceDN/>
              <w:bidi w:val="0"/>
              <w:adjustRightInd/>
              <w:snapToGrid/>
              <w:spacing w:line="220" w:lineRule="exact"/>
              <w:jc w:val="center"/>
              <w:rPr>
                <w:rFonts w:hint="eastAsia" w:ascii="宋体" w:hAnsi="宋体" w:eastAsia="宋体" w:cs="宋体"/>
                <w:i w:val="0"/>
                <w:iCs w:val="0"/>
                <w:color w:val="000000"/>
                <w:sz w:val="20"/>
                <w:szCs w:val="20"/>
                <w:highlight w:val="none"/>
                <w:u w:val="none"/>
              </w:rPr>
            </w:pPr>
          </w:p>
        </w:tc>
        <w:tc>
          <w:tcPr>
            <w:tcW w:w="892"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1500</w:t>
            </w:r>
          </w:p>
        </w:tc>
        <w:tc>
          <w:tcPr>
            <w:tcW w:w="1077" w:type="dxa"/>
            <w:noWrap/>
            <w:vAlign w:val="center"/>
          </w:tcPr>
          <w:p>
            <w:pPr>
              <w:keepNext w:val="0"/>
              <w:keepLines w:val="0"/>
              <w:pageBreakBefore w:val="0"/>
              <w:kinsoku/>
              <w:wordWrap/>
              <w:overflowPunct/>
              <w:topLinePunct w:val="0"/>
              <w:autoSpaceDE/>
              <w:autoSpaceDN/>
              <w:bidi w:val="0"/>
              <w:adjustRightInd/>
              <w:snapToGrid/>
              <w:spacing w:line="220" w:lineRule="exact"/>
              <w:jc w:val="center"/>
              <w:rPr>
                <w:rFonts w:hint="eastAsia" w:ascii="宋体" w:hAnsi="宋体" w:eastAsia="宋体" w:cs="宋体"/>
                <w:i w:val="0"/>
                <w:iCs w:val="0"/>
                <w:color w:val="000000"/>
                <w:sz w:val="20"/>
                <w:szCs w:val="20"/>
                <w:highlight w:val="none"/>
                <w:u w:val="none"/>
              </w:rPr>
            </w:pPr>
          </w:p>
        </w:tc>
        <w:tc>
          <w:tcPr>
            <w:tcW w:w="1231"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固体粪污和液体粪污</w:t>
            </w:r>
          </w:p>
        </w:tc>
        <w:tc>
          <w:tcPr>
            <w:tcW w:w="960"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还田利用</w:t>
            </w:r>
          </w:p>
        </w:tc>
        <w:tc>
          <w:tcPr>
            <w:tcW w:w="1021"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 xml:space="preserve">27196.15 </w:t>
            </w:r>
          </w:p>
        </w:tc>
        <w:tc>
          <w:tcPr>
            <w:tcW w:w="965"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 xml:space="preserve">22012.48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exact"/>
          <w:jc w:val="center"/>
        </w:trPr>
        <w:tc>
          <w:tcPr>
            <w:tcW w:w="570"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98</w:t>
            </w:r>
          </w:p>
        </w:tc>
        <w:tc>
          <w:tcPr>
            <w:tcW w:w="1694"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金添养殖场</w:t>
            </w:r>
          </w:p>
        </w:tc>
        <w:tc>
          <w:tcPr>
            <w:tcW w:w="1060" w:type="dxa"/>
            <w:noWrap/>
            <w:vAlign w:val="center"/>
          </w:tcPr>
          <w:p>
            <w:pPr>
              <w:keepNext w:val="0"/>
              <w:keepLines w:val="0"/>
              <w:pageBreakBefore w:val="0"/>
              <w:kinsoku/>
              <w:wordWrap/>
              <w:overflowPunct/>
              <w:topLinePunct w:val="0"/>
              <w:autoSpaceDE/>
              <w:autoSpaceDN/>
              <w:bidi w:val="0"/>
              <w:adjustRightInd/>
              <w:snapToGrid/>
              <w:spacing w:line="220" w:lineRule="exact"/>
              <w:jc w:val="center"/>
              <w:rPr>
                <w:rFonts w:hint="eastAsia" w:ascii="宋体" w:hAnsi="宋体" w:eastAsia="宋体" w:cs="宋体"/>
                <w:i w:val="0"/>
                <w:iCs w:val="0"/>
                <w:color w:val="000000"/>
                <w:sz w:val="20"/>
                <w:szCs w:val="20"/>
                <w:highlight w:val="none"/>
                <w:u w:val="none"/>
              </w:rPr>
            </w:pPr>
          </w:p>
        </w:tc>
        <w:tc>
          <w:tcPr>
            <w:tcW w:w="939" w:type="dxa"/>
            <w:noWrap/>
            <w:vAlign w:val="center"/>
          </w:tcPr>
          <w:p>
            <w:pPr>
              <w:keepNext w:val="0"/>
              <w:keepLines w:val="0"/>
              <w:pageBreakBefore w:val="0"/>
              <w:kinsoku/>
              <w:wordWrap/>
              <w:overflowPunct/>
              <w:topLinePunct w:val="0"/>
              <w:autoSpaceDE/>
              <w:autoSpaceDN/>
              <w:bidi w:val="0"/>
              <w:adjustRightInd/>
              <w:snapToGrid/>
              <w:spacing w:line="220" w:lineRule="exact"/>
              <w:jc w:val="center"/>
              <w:rPr>
                <w:rFonts w:hint="eastAsia" w:ascii="宋体" w:hAnsi="宋体" w:eastAsia="宋体" w:cs="宋体"/>
                <w:i w:val="0"/>
                <w:iCs w:val="0"/>
                <w:color w:val="000000"/>
                <w:sz w:val="20"/>
                <w:szCs w:val="20"/>
                <w:highlight w:val="none"/>
                <w:u w:val="none"/>
              </w:rPr>
            </w:pPr>
          </w:p>
        </w:tc>
        <w:tc>
          <w:tcPr>
            <w:tcW w:w="892"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600</w:t>
            </w:r>
          </w:p>
        </w:tc>
        <w:tc>
          <w:tcPr>
            <w:tcW w:w="1077" w:type="dxa"/>
            <w:noWrap/>
            <w:vAlign w:val="center"/>
          </w:tcPr>
          <w:p>
            <w:pPr>
              <w:keepNext w:val="0"/>
              <w:keepLines w:val="0"/>
              <w:pageBreakBefore w:val="0"/>
              <w:kinsoku/>
              <w:wordWrap/>
              <w:overflowPunct/>
              <w:topLinePunct w:val="0"/>
              <w:autoSpaceDE/>
              <w:autoSpaceDN/>
              <w:bidi w:val="0"/>
              <w:adjustRightInd/>
              <w:snapToGrid/>
              <w:spacing w:line="220" w:lineRule="exact"/>
              <w:jc w:val="center"/>
              <w:rPr>
                <w:rFonts w:hint="eastAsia" w:ascii="宋体" w:hAnsi="宋体" w:eastAsia="宋体" w:cs="宋体"/>
                <w:i w:val="0"/>
                <w:iCs w:val="0"/>
                <w:color w:val="000000"/>
                <w:sz w:val="20"/>
                <w:szCs w:val="20"/>
                <w:highlight w:val="none"/>
                <w:u w:val="none"/>
              </w:rPr>
            </w:pPr>
          </w:p>
        </w:tc>
        <w:tc>
          <w:tcPr>
            <w:tcW w:w="1231"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固体粪污</w:t>
            </w:r>
          </w:p>
        </w:tc>
        <w:tc>
          <w:tcPr>
            <w:tcW w:w="960"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还田利用</w:t>
            </w:r>
          </w:p>
        </w:tc>
        <w:tc>
          <w:tcPr>
            <w:tcW w:w="1021"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 xml:space="preserve">3394.51 </w:t>
            </w:r>
          </w:p>
        </w:tc>
        <w:tc>
          <w:tcPr>
            <w:tcW w:w="965"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 xml:space="preserve">3394.51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exact"/>
          <w:jc w:val="center"/>
        </w:trPr>
        <w:tc>
          <w:tcPr>
            <w:tcW w:w="570"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99</w:t>
            </w:r>
          </w:p>
        </w:tc>
        <w:tc>
          <w:tcPr>
            <w:tcW w:w="1694"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成伍养殖场</w:t>
            </w:r>
          </w:p>
        </w:tc>
        <w:tc>
          <w:tcPr>
            <w:tcW w:w="1060"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120</w:t>
            </w:r>
          </w:p>
        </w:tc>
        <w:tc>
          <w:tcPr>
            <w:tcW w:w="939" w:type="dxa"/>
            <w:noWrap/>
            <w:vAlign w:val="center"/>
          </w:tcPr>
          <w:p>
            <w:pPr>
              <w:keepNext w:val="0"/>
              <w:keepLines w:val="0"/>
              <w:pageBreakBefore w:val="0"/>
              <w:kinsoku/>
              <w:wordWrap/>
              <w:overflowPunct/>
              <w:topLinePunct w:val="0"/>
              <w:autoSpaceDE/>
              <w:autoSpaceDN/>
              <w:bidi w:val="0"/>
              <w:adjustRightInd/>
              <w:snapToGrid/>
              <w:spacing w:line="220" w:lineRule="exact"/>
              <w:jc w:val="center"/>
              <w:rPr>
                <w:rFonts w:hint="eastAsia" w:ascii="宋体" w:hAnsi="宋体" w:eastAsia="宋体" w:cs="宋体"/>
                <w:i w:val="0"/>
                <w:iCs w:val="0"/>
                <w:color w:val="000000"/>
                <w:sz w:val="20"/>
                <w:szCs w:val="20"/>
                <w:highlight w:val="none"/>
                <w:u w:val="none"/>
              </w:rPr>
            </w:pPr>
          </w:p>
        </w:tc>
        <w:tc>
          <w:tcPr>
            <w:tcW w:w="892"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350</w:t>
            </w:r>
          </w:p>
        </w:tc>
        <w:tc>
          <w:tcPr>
            <w:tcW w:w="1077" w:type="dxa"/>
            <w:noWrap/>
            <w:vAlign w:val="center"/>
          </w:tcPr>
          <w:p>
            <w:pPr>
              <w:keepNext w:val="0"/>
              <w:keepLines w:val="0"/>
              <w:pageBreakBefore w:val="0"/>
              <w:kinsoku/>
              <w:wordWrap/>
              <w:overflowPunct/>
              <w:topLinePunct w:val="0"/>
              <w:autoSpaceDE/>
              <w:autoSpaceDN/>
              <w:bidi w:val="0"/>
              <w:adjustRightInd/>
              <w:snapToGrid/>
              <w:spacing w:line="220" w:lineRule="exact"/>
              <w:jc w:val="center"/>
              <w:rPr>
                <w:rFonts w:hint="eastAsia" w:ascii="宋体" w:hAnsi="宋体" w:eastAsia="宋体" w:cs="宋体"/>
                <w:i w:val="0"/>
                <w:iCs w:val="0"/>
                <w:color w:val="000000"/>
                <w:sz w:val="20"/>
                <w:szCs w:val="20"/>
                <w:highlight w:val="none"/>
                <w:u w:val="none"/>
              </w:rPr>
            </w:pPr>
          </w:p>
        </w:tc>
        <w:tc>
          <w:tcPr>
            <w:tcW w:w="1231"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固体粪污和液体粪污</w:t>
            </w:r>
          </w:p>
        </w:tc>
        <w:tc>
          <w:tcPr>
            <w:tcW w:w="960"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还田利用</w:t>
            </w:r>
          </w:p>
        </w:tc>
        <w:tc>
          <w:tcPr>
            <w:tcW w:w="1021"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 xml:space="preserve">237.25 </w:t>
            </w:r>
          </w:p>
        </w:tc>
        <w:tc>
          <w:tcPr>
            <w:tcW w:w="965"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 xml:space="preserve">237.25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exact"/>
          <w:jc w:val="center"/>
        </w:trPr>
        <w:tc>
          <w:tcPr>
            <w:tcW w:w="570"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100</w:t>
            </w:r>
          </w:p>
        </w:tc>
        <w:tc>
          <w:tcPr>
            <w:tcW w:w="1694"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本溪市平山区亿羽养殖场</w:t>
            </w:r>
          </w:p>
        </w:tc>
        <w:tc>
          <w:tcPr>
            <w:tcW w:w="1060"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850</w:t>
            </w:r>
          </w:p>
        </w:tc>
        <w:tc>
          <w:tcPr>
            <w:tcW w:w="939" w:type="dxa"/>
            <w:noWrap/>
            <w:vAlign w:val="center"/>
          </w:tcPr>
          <w:p>
            <w:pPr>
              <w:keepNext w:val="0"/>
              <w:keepLines w:val="0"/>
              <w:pageBreakBefore w:val="0"/>
              <w:kinsoku/>
              <w:wordWrap/>
              <w:overflowPunct/>
              <w:topLinePunct w:val="0"/>
              <w:autoSpaceDE/>
              <w:autoSpaceDN/>
              <w:bidi w:val="0"/>
              <w:adjustRightInd/>
              <w:snapToGrid/>
              <w:spacing w:line="220" w:lineRule="exact"/>
              <w:jc w:val="center"/>
              <w:rPr>
                <w:rFonts w:hint="eastAsia" w:ascii="宋体" w:hAnsi="宋体" w:eastAsia="宋体" w:cs="宋体"/>
                <w:i w:val="0"/>
                <w:iCs w:val="0"/>
                <w:color w:val="000000"/>
                <w:sz w:val="20"/>
                <w:szCs w:val="20"/>
                <w:highlight w:val="none"/>
                <w:u w:val="none"/>
              </w:rPr>
            </w:pPr>
          </w:p>
        </w:tc>
        <w:tc>
          <w:tcPr>
            <w:tcW w:w="892"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500</w:t>
            </w:r>
          </w:p>
        </w:tc>
        <w:tc>
          <w:tcPr>
            <w:tcW w:w="1077" w:type="dxa"/>
            <w:noWrap/>
            <w:vAlign w:val="center"/>
          </w:tcPr>
          <w:p>
            <w:pPr>
              <w:keepNext w:val="0"/>
              <w:keepLines w:val="0"/>
              <w:pageBreakBefore w:val="0"/>
              <w:kinsoku/>
              <w:wordWrap/>
              <w:overflowPunct/>
              <w:topLinePunct w:val="0"/>
              <w:autoSpaceDE/>
              <w:autoSpaceDN/>
              <w:bidi w:val="0"/>
              <w:adjustRightInd/>
              <w:snapToGrid/>
              <w:spacing w:line="220" w:lineRule="exact"/>
              <w:jc w:val="center"/>
              <w:rPr>
                <w:rFonts w:hint="eastAsia" w:ascii="宋体" w:hAnsi="宋体" w:eastAsia="宋体" w:cs="宋体"/>
                <w:i w:val="0"/>
                <w:iCs w:val="0"/>
                <w:color w:val="000000"/>
                <w:sz w:val="20"/>
                <w:szCs w:val="20"/>
                <w:highlight w:val="none"/>
                <w:u w:val="none"/>
              </w:rPr>
            </w:pPr>
          </w:p>
        </w:tc>
        <w:tc>
          <w:tcPr>
            <w:tcW w:w="1231"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固体粪污和液体粪污</w:t>
            </w:r>
          </w:p>
        </w:tc>
        <w:tc>
          <w:tcPr>
            <w:tcW w:w="960"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还田利用</w:t>
            </w:r>
          </w:p>
        </w:tc>
        <w:tc>
          <w:tcPr>
            <w:tcW w:w="1021"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 xml:space="preserve">2803.20 </w:t>
            </w:r>
          </w:p>
        </w:tc>
        <w:tc>
          <w:tcPr>
            <w:tcW w:w="965"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 xml:space="preserve">2780.27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exact"/>
          <w:jc w:val="center"/>
        </w:trPr>
        <w:tc>
          <w:tcPr>
            <w:tcW w:w="570"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101</w:t>
            </w:r>
          </w:p>
        </w:tc>
        <w:tc>
          <w:tcPr>
            <w:tcW w:w="1694"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本溪市爱民牛仁牧业有限公司</w:t>
            </w:r>
          </w:p>
        </w:tc>
        <w:tc>
          <w:tcPr>
            <w:tcW w:w="1060"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900</w:t>
            </w:r>
          </w:p>
        </w:tc>
        <w:tc>
          <w:tcPr>
            <w:tcW w:w="939" w:type="dxa"/>
            <w:noWrap/>
            <w:vAlign w:val="center"/>
          </w:tcPr>
          <w:p>
            <w:pPr>
              <w:keepNext w:val="0"/>
              <w:keepLines w:val="0"/>
              <w:pageBreakBefore w:val="0"/>
              <w:kinsoku/>
              <w:wordWrap/>
              <w:overflowPunct/>
              <w:topLinePunct w:val="0"/>
              <w:autoSpaceDE/>
              <w:autoSpaceDN/>
              <w:bidi w:val="0"/>
              <w:adjustRightInd/>
              <w:snapToGrid/>
              <w:spacing w:line="220" w:lineRule="exact"/>
              <w:jc w:val="center"/>
              <w:rPr>
                <w:rFonts w:hint="eastAsia" w:ascii="宋体" w:hAnsi="宋体" w:eastAsia="宋体" w:cs="宋体"/>
                <w:i w:val="0"/>
                <w:iCs w:val="0"/>
                <w:color w:val="000000"/>
                <w:sz w:val="20"/>
                <w:szCs w:val="20"/>
                <w:highlight w:val="none"/>
                <w:u w:val="none"/>
              </w:rPr>
            </w:pPr>
          </w:p>
        </w:tc>
        <w:tc>
          <w:tcPr>
            <w:tcW w:w="892"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1400</w:t>
            </w:r>
          </w:p>
        </w:tc>
        <w:tc>
          <w:tcPr>
            <w:tcW w:w="1077" w:type="dxa"/>
            <w:noWrap/>
            <w:vAlign w:val="center"/>
          </w:tcPr>
          <w:p>
            <w:pPr>
              <w:keepNext w:val="0"/>
              <w:keepLines w:val="0"/>
              <w:pageBreakBefore w:val="0"/>
              <w:kinsoku/>
              <w:wordWrap/>
              <w:overflowPunct/>
              <w:topLinePunct w:val="0"/>
              <w:autoSpaceDE/>
              <w:autoSpaceDN/>
              <w:bidi w:val="0"/>
              <w:adjustRightInd/>
              <w:snapToGrid/>
              <w:spacing w:line="220" w:lineRule="exact"/>
              <w:jc w:val="center"/>
              <w:rPr>
                <w:rFonts w:hint="eastAsia" w:ascii="宋体" w:hAnsi="宋体" w:eastAsia="宋体" w:cs="宋体"/>
                <w:i w:val="0"/>
                <w:iCs w:val="0"/>
                <w:color w:val="000000"/>
                <w:sz w:val="20"/>
                <w:szCs w:val="20"/>
                <w:highlight w:val="none"/>
                <w:u w:val="none"/>
              </w:rPr>
            </w:pPr>
          </w:p>
        </w:tc>
        <w:tc>
          <w:tcPr>
            <w:tcW w:w="1231"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固体粪污和液体粪污</w:t>
            </w:r>
          </w:p>
        </w:tc>
        <w:tc>
          <w:tcPr>
            <w:tcW w:w="960"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还田利用</w:t>
            </w:r>
          </w:p>
        </w:tc>
        <w:tc>
          <w:tcPr>
            <w:tcW w:w="1021"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 xml:space="preserve">4818.00 </w:t>
            </w:r>
          </w:p>
        </w:tc>
        <w:tc>
          <w:tcPr>
            <w:tcW w:w="965"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 xml:space="preserve">4324.07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exact"/>
          <w:jc w:val="center"/>
        </w:trPr>
        <w:tc>
          <w:tcPr>
            <w:tcW w:w="570"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102</w:t>
            </w:r>
          </w:p>
        </w:tc>
        <w:tc>
          <w:tcPr>
            <w:tcW w:w="1694"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本溪市彩富种猪场</w:t>
            </w:r>
          </w:p>
        </w:tc>
        <w:tc>
          <w:tcPr>
            <w:tcW w:w="1060"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1500</w:t>
            </w:r>
          </w:p>
        </w:tc>
        <w:tc>
          <w:tcPr>
            <w:tcW w:w="939" w:type="dxa"/>
            <w:noWrap/>
            <w:vAlign w:val="center"/>
          </w:tcPr>
          <w:p>
            <w:pPr>
              <w:keepNext w:val="0"/>
              <w:keepLines w:val="0"/>
              <w:pageBreakBefore w:val="0"/>
              <w:kinsoku/>
              <w:wordWrap/>
              <w:overflowPunct/>
              <w:topLinePunct w:val="0"/>
              <w:autoSpaceDE/>
              <w:autoSpaceDN/>
              <w:bidi w:val="0"/>
              <w:adjustRightInd/>
              <w:snapToGrid/>
              <w:spacing w:line="220" w:lineRule="exact"/>
              <w:jc w:val="center"/>
              <w:rPr>
                <w:rFonts w:hint="eastAsia" w:ascii="宋体" w:hAnsi="宋体" w:eastAsia="宋体" w:cs="宋体"/>
                <w:i w:val="0"/>
                <w:iCs w:val="0"/>
                <w:color w:val="000000"/>
                <w:sz w:val="20"/>
                <w:szCs w:val="20"/>
                <w:highlight w:val="none"/>
                <w:u w:val="none"/>
              </w:rPr>
            </w:pPr>
          </w:p>
        </w:tc>
        <w:tc>
          <w:tcPr>
            <w:tcW w:w="892"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1585</w:t>
            </w:r>
          </w:p>
        </w:tc>
        <w:tc>
          <w:tcPr>
            <w:tcW w:w="1077" w:type="dxa"/>
            <w:noWrap/>
            <w:vAlign w:val="center"/>
          </w:tcPr>
          <w:p>
            <w:pPr>
              <w:keepNext w:val="0"/>
              <w:keepLines w:val="0"/>
              <w:pageBreakBefore w:val="0"/>
              <w:kinsoku/>
              <w:wordWrap/>
              <w:overflowPunct/>
              <w:topLinePunct w:val="0"/>
              <w:autoSpaceDE/>
              <w:autoSpaceDN/>
              <w:bidi w:val="0"/>
              <w:adjustRightInd/>
              <w:snapToGrid/>
              <w:spacing w:line="220" w:lineRule="exact"/>
              <w:jc w:val="center"/>
              <w:rPr>
                <w:rFonts w:hint="eastAsia" w:ascii="宋体" w:hAnsi="宋体" w:eastAsia="宋体" w:cs="宋体"/>
                <w:i w:val="0"/>
                <w:iCs w:val="0"/>
                <w:color w:val="000000"/>
                <w:sz w:val="20"/>
                <w:szCs w:val="20"/>
                <w:highlight w:val="none"/>
                <w:u w:val="none"/>
              </w:rPr>
            </w:pPr>
          </w:p>
        </w:tc>
        <w:tc>
          <w:tcPr>
            <w:tcW w:w="1231"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固体粪污和液体粪污</w:t>
            </w:r>
          </w:p>
        </w:tc>
        <w:tc>
          <w:tcPr>
            <w:tcW w:w="960"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还田利用</w:t>
            </w:r>
          </w:p>
        </w:tc>
        <w:tc>
          <w:tcPr>
            <w:tcW w:w="1021"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 xml:space="preserve">0.00 </w:t>
            </w:r>
          </w:p>
        </w:tc>
        <w:tc>
          <w:tcPr>
            <w:tcW w:w="965"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 xml:space="preserve">0.00 </w:t>
            </w:r>
          </w:p>
        </w:tc>
      </w:tr>
    </w:tbl>
    <w:p>
      <w:pPr>
        <w:keepNext w:val="0"/>
        <w:keepLines w:val="0"/>
        <w:pageBreakBefore w:val="0"/>
        <w:widowControl w:val="0"/>
        <w:kinsoku/>
        <w:wordWrap/>
        <w:overflowPunct/>
        <w:topLinePunct w:val="0"/>
        <w:autoSpaceDE/>
        <w:autoSpaceDN/>
        <w:bidi w:val="0"/>
        <w:adjustRightInd/>
        <w:snapToGrid/>
        <w:spacing w:line="578" w:lineRule="exact"/>
        <w:ind w:firstLine="643" w:firstLineChars="200"/>
        <w:textAlignment w:val="auto"/>
        <w:rPr>
          <w:rFonts w:hint="eastAsia" w:ascii="仿宋_GB2312" w:hAnsi="仿宋_GB2312" w:eastAsia="仿宋_GB2312" w:cs="仿宋_GB2312"/>
          <w:b/>
          <w:bCs/>
          <w:sz w:val="32"/>
          <w:szCs w:val="32"/>
          <w:highlight w:val="none"/>
          <w:lang w:eastAsia="zh-CN"/>
        </w:rPr>
      </w:pPr>
      <w:r>
        <w:rPr>
          <w:rFonts w:hint="eastAsia" w:ascii="仿宋_GB2312" w:hAnsi="仿宋_GB2312" w:eastAsia="仿宋_GB2312" w:cs="仿宋_GB2312"/>
          <w:b/>
          <w:bCs/>
          <w:sz w:val="32"/>
          <w:szCs w:val="32"/>
          <w:highlight w:val="none"/>
          <w:lang w:val="en-US" w:eastAsia="zh-CN"/>
        </w:rPr>
        <w:t>2.</w:t>
      </w:r>
      <w:r>
        <w:rPr>
          <w:rFonts w:hint="eastAsia" w:ascii="仿宋_GB2312" w:hAnsi="仿宋_GB2312" w:eastAsia="仿宋_GB2312" w:cs="仿宋_GB2312"/>
          <w:b/>
          <w:bCs/>
          <w:sz w:val="32"/>
          <w:szCs w:val="32"/>
          <w:highlight w:val="none"/>
          <w:lang w:eastAsia="zh-CN"/>
        </w:rPr>
        <w:t>废弃农药包装物回收利用情况</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2025年，本市废弃农药包装物回收量为31.87吨，回收率为80%，处置量31.87吨，主要处置方式为无害化填埋。</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highlight w:val="none"/>
        </w:rPr>
      </w:pP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微软雅黑">
    <w:panose1 w:val="020B0503020204020204"/>
    <w:charset w:val="86"/>
    <w:family w:val="auto"/>
    <w:pitch w:val="default"/>
    <w:sig w:usb0="80000287" w:usb1="280F3C52" w:usb2="00000016" w:usb3="00000000" w:csb0="0004001F" w:csb1="00000000"/>
  </w:font>
  <w:font w:name="楷体">
    <w:panose1 w:val="02010609060101010101"/>
    <w:charset w:val="86"/>
    <w:family w:val="auto"/>
    <w:pitch w:val="default"/>
    <w:sig w:usb0="800002BF" w:usb1="38CF7CFA" w:usb2="00000016" w:usb3="00000000" w:csb0="00040001" w:csb1="00000000"/>
  </w:font>
  <w:font w:name="楷体_GB2312">
    <w:altName w:val="楷体"/>
    <w:panose1 w:val="02010609030101010101"/>
    <w:charset w:val="86"/>
    <w:family w:val="auto"/>
    <w:pitch w:val="default"/>
    <w:sig w:usb0="00000000" w:usb1="00000000" w:usb2="00000000" w:usb3="00000000" w:csb0="00040000" w:csb1="00000000"/>
  </w:font>
  <w:font w:name="国标仿宋-GB/T 2312">
    <w:altName w:val="仿宋"/>
    <w:panose1 w:val="02000500000000000000"/>
    <w:charset w:val="86"/>
    <w:family w:val="auto"/>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pPr>
                      <w:pStyle w:val="2"/>
                    </w:pPr>
                    <w:r>
                      <w:fldChar w:fldCharType="begin"/>
                    </w:r>
                    <w:r>
                      <w:instrText xml:space="preserve"> PAGE  \* MERGEFORMAT </w:instrText>
                    </w:r>
                    <w:r>
                      <w:fldChar w:fldCharType="separate"/>
                    </w:r>
                    <w:r>
                      <w:t>1</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5"/>
  <w:doNotDisplayPageBoundaries w:val="1"/>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TdjY2Y3YWIyMDFkYzczMmNjM2NhMzMzYTJiYzc0ZjEifQ=="/>
  </w:docVars>
  <w:rsids>
    <w:rsidRoot w:val="00000000"/>
    <w:rsid w:val="000942B7"/>
    <w:rsid w:val="00296707"/>
    <w:rsid w:val="007357BB"/>
    <w:rsid w:val="007F0515"/>
    <w:rsid w:val="009A37BE"/>
    <w:rsid w:val="00A25177"/>
    <w:rsid w:val="00A43006"/>
    <w:rsid w:val="00B87650"/>
    <w:rsid w:val="00C61B48"/>
    <w:rsid w:val="01771768"/>
    <w:rsid w:val="01A06E9D"/>
    <w:rsid w:val="01A66C9F"/>
    <w:rsid w:val="01B00060"/>
    <w:rsid w:val="01CE279B"/>
    <w:rsid w:val="01D464D5"/>
    <w:rsid w:val="027470CC"/>
    <w:rsid w:val="02A02634"/>
    <w:rsid w:val="02FF5E45"/>
    <w:rsid w:val="03782989"/>
    <w:rsid w:val="038D1A6F"/>
    <w:rsid w:val="039B4330"/>
    <w:rsid w:val="045E30EF"/>
    <w:rsid w:val="04792C91"/>
    <w:rsid w:val="04962873"/>
    <w:rsid w:val="0551139F"/>
    <w:rsid w:val="059B4EEA"/>
    <w:rsid w:val="06A36663"/>
    <w:rsid w:val="06AB256C"/>
    <w:rsid w:val="06C21663"/>
    <w:rsid w:val="06D27AF8"/>
    <w:rsid w:val="06F16183"/>
    <w:rsid w:val="073E63CE"/>
    <w:rsid w:val="07741257"/>
    <w:rsid w:val="07C4702C"/>
    <w:rsid w:val="082D0E33"/>
    <w:rsid w:val="084D7F74"/>
    <w:rsid w:val="08AF6604"/>
    <w:rsid w:val="08CC76E0"/>
    <w:rsid w:val="08F91E48"/>
    <w:rsid w:val="09325D4D"/>
    <w:rsid w:val="09670057"/>
    <w:rsid w:val="09E35B78"/>
    <w:rsid w:val="0A007D53"/>
    <w:rsid w:val="0A0659CB"/>
    <w:rsid w:val="0A075F99"/>
    <w:rsid w:val="0AC14BDA"/>
    <w:rsid w:val="0AE44FED"/>
    <w:rsid w:val="0B231353"/>
    <w:rsid w:val="0B5F3925"/>
    <w:rsid w:val="0B68060D"/>
    <w:rsid w:val="0C172B9A"/>
    <w:rsid w:val="0C623D91"/>
    <w:rsid w:val="0CA0793F"/>
    <w:rsid w:val="0D3037CB"/>
    <w:rsid w:val="0D31309F"/>
    <w:rsid w:val="0D6E006D"/>
    <w:rsid w:val="0F0A6615"/>
    <w:rsid w:val="0F2A05AE"/>
    <w:rsid w:val="0FA114CD"/>
    <w:rsid w:val="0FAB538A"/>
    <w:rsid w:val="0FAC6285"/>
    <w:rsid w:val="0FD13CA9"/>
    <w:rsid w:val="105B0B5E"/>
    <w:rsid w:val="10607C17"/>
    <w:rsid w:val="106A0DA2"/>
    <w:rsid w:val="107472AF"/>
    <w:rsid w:val="108005C5"/>
    <w:rsid w:val="1145056D"/>
    <w:rsid w:val="117C52FE"/>
    <w:rsid w:val="11B2449C"/>
    <w:rsid w:val="12162ECA"/>
    <w:rsid w:val="127F6859"/>
    <w:rsid w:val="12810624"/>
    <w:rsid w:val="12BE53D5"/>
    <w:rsid w:val="13253BC1"/>
    <w:rsid w:val="133F3559"/>
    <w:rsid w:val="140A0648"/>
    <w:rsid w:val="14217D4B"/>
    <w:rsid w:val="14997EA7"/>
    <w:rsid w:val="15842905"/>
    <w:rsid w:val="159B43D0"/>
    <w:rsid w:val="15D60933"/>
    <w:rsid w:val="160C28FB"/>
    <w:rsid w:val="163C4F8E"/>
    <w:rsid w:val="16E557E9"/>
    <w:rsid w:val="16FB01D9"/>
    <w:rsid w:val="170240B9"/>
    <w:rsid w:val="176E5998"/>
    <w:rsid w:val="17802452"/>
    <w:rsid w:val="17B53D50"/>
    <w:rsid w:val="18BA1136"/>
    <w:rsid w:val="18C576AA"/>
    <w:rsid w:val="18D5555E"/>
    <w:rsid w:val="18E42245"/>
    <w:rsid w:val="193227AD"/>
    <w:rsid w:val="1965255F"/>
    <w:rsid w:val="1A687AF1"/>
    <w:rsid w:val="1A712403"/>
    <w:rsid w:val="1A761BB6"/>
    <w:rsid w:val="1AE577D3"/>
    <w:rsid w:val="1B046CBF"/>
    <w:rsid w:val="1B174424"/>
    <w:rsid w:val="1B210BF7"/>
    <w:rsid w:val="1B365A71"/>
    <w:rsid w:val="1B484D42"/>
    <w:rsid w:val="1C533032"/>
    <w:rsid w:val="1CB976C6"/>
    <w:rsid w:val="1D9C6312"/>
    <w:rsid w:val="1DC3794B"/>
    <w:rsid w:val="1E4F47BA"/>
    <w:rsid w:val="1E501BAC"/>
    <w:rsid w:val="1E563667"/>
    <w:rsid w:val="1E933BB9"/>
    <w:rsid w:val="1E9511D2"/>
    <w:rsid w:val="1ED806D7"/>
    <w:rsid w:val="1EDB1A02"/>
    <w:rsid w:val="1F0D6B6D"/>
    <w:rsid w:val="1F421EED"/>
    <w:rsid w:val="1F8D0BFE"/>
    <w:rsid w:val="1FAD65D4"/>
    <w:rsid w:val="1FB913FE"/>
    <w:rsid w:val="1FD74D18"/>
    <w:rsid w:val="203B69C9"/>
    <w:rsid w:val="20631A24"/>
    <w:rsid w:val="20AA6925"/>
    <w:rsid w:val="20EA5ED3"/>
    <w:rsid w:val="21452556"/>
    <w:rsid w:val="21700C25"/>
    <w:rsid w:val="21812B73"/>
    <w:rsid w:val="21826677"/>
    <w:rsid w:val="21BA49C7"/>
    <w:rsid w:val="220426D8"/>
    <w:rsid w:val="220C1862"/>
    <w:rsid w:val="2270705A"/>
    <w:rsid w:val="22E06B22"/>
    <w:rsid w:val="22E926D6"/>
    <w:rsid w:val="233424C7"/>
    <w:rsid w:val="23555653"/>
    <w:rsid w:val="238241FC"/>
    <w:rsid w:val="23AE5D9A"/>
    <w:rsid w:val="23BE2382"/>
    <w:rsid w:val="23CD7606"/>
    <w:rsid w:val="23DA7B95"/>
    <w:rsid w:val="2418246B"/>
    <w:rsid w:val="246631C1"/>
    <w:rsid w:val="249C00CD"/>
    <w:rsid w:val="24C97035"/>
    <w:rsid w:val="24E065C4"/>
    <w:rsid w:val="25324DCD"/>
    <w:rsid w:val="2550302F"/>
    <w:rsid w:val="255A3FD9"/>
    <w:rsid w:val="25D86356"/>
    <w:rsid w:val="25D95944"/>
    <w:rsid w:val="26EB419B"/>
    <w:rsid w:val="26FF2BED"/>
    <w:rsid w:val="271F1C1B"/>
    <w:rsid w:val="2720184F"/>
    <w:rsid w:val="273D4735"/>
    <w:rsid w:val="276417AC"/>
    <w:rsid w:val="27DD0C0F"/>
    <w:rsid w:val="28065902"/>
    <w:rsid w:val="2872571E"/>
    <w:rsid w:val="288528F2"/>
    <w:rsid w:val="2963035C"/>
    <w:rsid w:val="299E0389"/>
    <w:rsid w:val="2A581DA4"/>
    <w:rsid w:val="2A79236A"/>
    <w:rsid w:val="2A99142A"/>
    <w:rsid w:val="2A9B7639"/>
    <w:rsid w:val="2AC71259"/>
    <w:rsid w:val="2B244A2B"/>
    <w:rsid w:val="2B614D48"/>
    <w:rsid w:val="2BD23BC8"/>
    <w:rsid w:val="2BDF6A99"/>
    <w:rsid w:val="2C460260"/>
    <w:rsid w:val="2C54585B"/>
    <w:rsid w:val="2D2E134A"/>
    <w:rsid w:val="2D917516"/>
    <w:rsid w:val="2E044B59"/>
    <w:rsid w:val="2E306695"/>
    <w:rsid w:val="2E353B9D"/>
    <w:rsid w:val="2E3D32A9"/>
    <w:rsid w:val="2EF04710"/>
    <w:rsid w:val="2FF50E32"/>
    <w:rsid w:val="30760E83"/>
    <w:rsid w:val="30905469"/>
    <w:rsid w:val="314350F7"/>
    <w:rsid w:val="314D3CEF"/>
    <w:rsid w:val="32673AB6"/>
    <w:rsid w:val="32E52C8C"/>
    <w:rsid w:val="32FB1250"/>
    <w:rsid w:val="33265020"/>
    <w:rsid w:val="335A7406"/>
    <w:rsid w:val="3378547C"/>
    <w:rsid w:val="338A04F5"/>
    <w:rsid w:val="339064C2"/>
    <w:rsid w:val="340100A6"/>
    <w:rsid w:val="34983F30"/>
    <w:rsid w:val="355763FB"/>
    <w:rsid w:val="35AE340E"/>
    <w:rsid w:val="35B030F2"/>
    <w:rsid w:val="3644480A"/>
    <w:rsid w:val="36447885"/>
    <w:rsid w:val="36571359"/>
    <w:rsid w:val="36677BA4"/>
    <w:rsid w:val="367AA41D"/>
    <w:rsid w:val="36CB04FD"/>
    <w:rsid w:val="36D134C0"/>
    <w:rsid w:val="36E25286"/>
    <w:rsid w:val="36F63580"/>
    <w:rsid w:val="37105A48"/>
    <w:rsid w:val="3725282F"/>
    <w:rsid w:val="372D208E"/>
    <w:rsid w:val="37490E61"/>
    <w:rsid w:val="37C37615"/>
    <w:rsid w:val="37FB56AB"/>
    <w:rsid w:val="382A2230"/>
    <w:rsid w:val="387371E8"/>
    <w:rsid w:val="38836067"/>
    <w:rsid w:val="38A87E0A"/>
    <w:rsid w:val="38BF7329"/>
    <w:rsid w:val="390B0B68"/>
    <w:rsid w:val="390C65EA"/>
    <w:rsid w:val="391B5255"/>
    <w:rsid w:val="3929719C"/>
    <w:rsid w:val="39EE7A9E"/>
    <w:rsid w:val="3A1C0AAF"/>
    <w:rsid w:val="3A4A6EED"/>
    <w:rsid w:val="3A5E0B50"/>
    <w:rsid w:val="3ACC0DB7"/>
    <w:rsid w:val="3B007E20"/>
    <w:rsid w:val="3B5C66D8"/>
    <w:rsid w:val="3BB45E27"/>
    <w:rsid w:val="3BEFE79B"/>
    <w:rsid w:val="3C396D51"/>
    <w:rsid w:val="3C487939"/>
    <w:rsid w:val="3C592C65"/>
    <w:rsid w:val="3C93597C"/>
    <w:rsid w:val="3CB91BE3"/>
    <w:rsid w:val="3D043D4F"/>
    <w:rsid w:val="3D112A47"/>
    <w:rsid w:val="3D143CBF"/>
    <w:rsid w:val="3D483C83"/>
    <w:rsid w:val="3D50442D"/>
    <w:rsid w:val="3D6635C3"/>
    <w:rsid w:val="3D7E7514"/>
    <w:rsid w:val="3D929BAE"/>
    <w:rsid w:val="3DA05553"/>
    <w:rsid w:val="3DB42DAD"/>
    <w:rsid w:val="3DE906CC"/>
    <w:rsid w:val="3DEB444B"/>
    <w:rsid w:val="3E3F114A"/>
    <w:rsid w:val="3E4800C5"/>
    <w:rsid w:val="3E530817"/>
    <w:rsid w:val="3E7A5DA4"/>
    <w:rsid w:val="3E874A5D"/>
    <w:rsid w:val="3F37064E"/>
    <w:rsid w:val="3F5A2E5F"/>
    <w:rsid w:val="3F8D436B"/>
    <w:rsid w:val="3F8D7F20"/>
    <w:rsid w:val="3F960F9D"/>
    <w:rsid w:val="3FFA2438"/>
    <w:rsid w:val="3FFD2EB8"/>
    <w:rsid w:val="410423F9"/>
    <w:rsid w:val="412457E9"/>
    <w:rsid w:val="41411B23"/>
    <w:rsid w:val="41795A80"/>
    <w:rsid w:val="417E0305"/>
    <w:rsid w:val="41A3548F"/>
    <w:rsid w:val="41B132F0"/>
    <w:rsid w:val="41EE0F83"/>
    <w:rsid w:val="42773149"/>
    <w:rsid w:val="428A3F13"/>
    <w:rsid w:val="42B073CA"/>
    <w:rsid w:val="42B25728"/>
    <w:rsid w:val="430B5378"/>
    <w:rsid w:val="431A7482"/>
    <w:rsid w:val="43593652"/>
    <w:rsid w:val="438454FB"/>
    <w:rsid w:val="43A504BA"/>
    <w:rsid w:val="43F73926"/>
    <w:rsid w:val="440E329B"/>
    <w:rsid w:val="44286106"/>
    <w:rsid w:val="4462484A"/>
    <w:rsid w:val="453704B8"/>
    <w:rsid w:val="45EC3ED4"/>
    <w:rsid w:val="45EE1E00"/>
    <w:rsid w:val="467B1E3B"/>
    <w:rsid w:val="469378D3"/>
    <w:rsid w:val="4697910B"/>
    <w:rsid w:val="46D7041E"/>
    <w:rsid w:val="47452F8C"/>
    <w:rsid w:val="48566BE1"/>
    <w:rsid w:val="4861175C"/>
    <w:rsid w:val="48867AAB"/>
    <w:rsid w:val="48A4239B"/>
    <w:rsid w:val="48B82203"/>
    <w:rsid w:val="48BB6E3E"/>
    <w:rsid w:val="48BC175E"/>
    <w:rsid w:val="48CD6FC5"/>
    <w:rsid w:val="48E36918"/>
    <w:rsid w:val="48EA05B3"/>
    <w:rsid w:val="48EC5AF0"/>
    <w:rsid w:val="49224916"/>
    <w:rsid w:val="495D22A5"/>
    <w:rsid w:val="49B47F58"/>
    <w:rsid w:val="49DA16B4"/>
    <w:rsid w:val="4A0656A1"/>
    <w:rsid w:val="4A2512BA"/>
    <w:rsid w:val="4A6761BD"/>
    <w:rsid w:val="4AB850BB"/>
    <w:rsid w:val="4B3722B6"/>
    <w:rsid w:val="4B6D4929"/>
    <w:rsid w:val="4B7BBFB5"/>
    <w:rsid w:val="4B914A2D"/>
    <w:rsid w:val="4BE77E73"/>
    <w:rsid w:val="4BED3C36"/>
    <w:rsid w:val="4C0D6CF6"/>
    <w:rsid w:val="4CC27BB2"/>
    <w:rsid w:val="4CCF375F"/>
    <w:rsid w:val="4CD129A0"/>
    <w:rsid w:val="4DB52C4D"/>
    <w:rsid w:val="4DF24152"/>
    <w:rsid w:val="4EB250E6"/>
    <w:rsid w:val="4EF751F8"/>
    <w:rsid w:val="4EFE7F61"/>
    <w:rsid w:val="4F2064F4"/>
    <w:rsid w:val="4F64562E"/>
    <w:rsid w:val="4F871016"/>
    <w:rsid w:val="4FFF0621"/>
    <w:rsid w:val="50E65A25"/>
    <w:rsid w:val="516923D4"/>
    <w:rsid w:val="51D554AE"/>
    <w:rsid w:val="52743B51"/>
    <w:rsid w:val="527E3C5D"/>
    <w:rsid w:val="52BA2865"/>
    <w:rsid w:val="5328007E"/>
    <w:rsid w:val="53A0205C"/>
    <w:rsid w:val="53FB51D9"/>
    <w:rsid w:val="540E36A2"/>
    <w:rsid w:val="541D082B"/>
    <w:rsid w:val="54AB559F"/>
    <w:rsid w:val="54D42B5A"/>
    <w:rsid w:val="54F2325A"/>
    <w:rsid w:val="55274594"/>
    <w:rsid w:val="553B68DE"/>
    <w:rsid w:val="55741347"/>
    <w:rsid w:val="558658E1"/>
    <w:rsid w:val="55EF6B92"/>
    <w:rsid w:val="561B779B"/>
    <w:rsid w:val="565F39CF"/>
    <w:rsid w:val="56717635"/>
    <w:rsid w:val="5673166F"/>
    <w:rsid w:val="56755377"/>
    <w:rsid w:val="567C6706"/>
    <w:rsid w:val="568A5D35"/>
    <w:rsid w:val="569F1E49"/>
    <w:rsid w:val="56DB18C8"/>
    <w:rsid w:val="57346DE9"/>
    <w:rsid w:val="577F17E3"/>
    <w:rsid w:val="582330E1"/>
    <w:rsid w:val="58F033DB"/>
    <w:rsid w:val="592A069B"/>
    <w:rsid w:val="592A2449"/>
    <w:rsid w:val="593149ED"/>
    <w:rsid w:val="593730A6"/>
    <w:rsid w:val="59375A10"/>
    <w:rsid w:val="59423504"/>
    <w:rsid w:val="59F12F67"/>
    <w:rsid w:val="59F64A21"/>
    <w:rsid w:val="5A566598"/>
    <w:rsid w:val="5A700F6C"/>
    <w:rsid w:val="5AC16DDD"/>
    <w:rsid w:val="5B4761F6"/>
    <w:rsid w:val="5B9E4D6E"/>
    <w:rsid w:val="5BA42AC2"/>
    <w:rsid w:val="5C0D49DA"/>
    <w:rsid w:val="5CD332BF"/>
    <w:rsid w:val="5D975E45"/>
    <w:rsid w:val="5E3E24F3"/>
    <w:rsid w:val="5E4D0A45"/>
    <w:rsid w:val="5E835C1A"/>
    <w:rsid w:val="5E993CFD"/>
    <w:rsid w:val="5EAF4087"/>
    <w:rsid w:val="5F1A3C0F"/>
    <w:rsid w:val="5F23438B"/>
    <w:rsid w:val="5F5B21A9"/>
    <w:rsid w:val="5F8B3350"/>
    <w:rsid w:val="5FB183E1"/>
    <w:rsid w:val="5FBDAF46"/>
    <w:rsid w:val="5FBE4369"/>
    <w:rsid w:val="5FC00586"/>
    <w:rsid w:val="5FFB5DE5"/>
    <w:rsid w:val="5FFD4554"/>
    <w:rsid w:val="60187DC5"/>
    <w:rsid w:val="602120CC"/>
    <w:rsid w:val="60471B32"/>
    <w:rsid w:val="605C4EB2"/>
    <w:rsid w:val="60C24D89"/>
    <w:rsid w:val="610F2407"/>
    <w:rsid w:val="614A647F"/>
    <w:rsid w:val="61CB22EF"/>
    <w:rsid w:val="61ED579B"/>
    <w:rsid w:val="61F97329"/>
    <w:rsid w:val="62065A1D"/>
    <w:rsid w:val="6278292E"/>
    <w:rsid w:val="629228B9"/>
    <w:rsid w:val="62B4721B"/>
    <w:rsid w:val="62CB3438"/>
    <w:rsid w:val="631450D1"/>
    <w:rsid w:val="632666F6"/>
    <w:rsid w:val="63626C83"/>
    <w:rsid w:val="63A25534"/>
    <w:rsid w:val="63E91153"/>
    <w:rsid w:val="63FB5F93"/>
    <w:rsid w:val="64D61781"/>
    <w:rsid w:val="64E673C8"/>
    <w:rsid w:val="65027240"/>
    <w:rsid w:val="65083F8C"/>
    <w:rsid w:val="65283D68"/>
    <w:rsid w:val="65507864"/>
    <w:rsid w:val="65DE200E"/>
    <w:rsid w:val="660526E8"/>
    <w:rsid w:val="660724BC"/>
    <w:rsid w:val="662971C1"/>
    <w:rsid w:val="66691EC3"/>
    <w:rsid w:val="668313EA"/>
    <w:rsid w:val="668B029F"/>
    <w:rsid w:val="66BE49BE"/>
    <w:rsid w:val="67307C7C"/>
    <w:rsid w:val="67B6759E"/>
    <w:rsid w:val="67BD193F"/>
    <w:rsid w:val="69032AD4"/>
    <w:rsid w:val="69DD188E"/>
    <w:rsid w:val="69E427B5"/>
    <w:rsid w:val="6A2C3B47"/>
    <w:rsid w:val="6A3234B3"/>
    <w:rsid w:val="6B4A24ED"/>
    <w:rsid w:val="6B7134A6"/>
    <w:rsid w:val="6B8D558B"/>
    <w:rsid w:val="6B9D6F75"/>
    <w:rsid w:val="6BF863D7"/>
    <w:rsid w:val="6C330EA8"/>
    <w:rsid w:val="6C5A7C50"/>
    <w:rsid w:val="6C787517"/>
    <w:rsid w:val="6CEE4177"/>
    <w:rsid w:val="6D464F20"/>
    <w:rsid w:val="6DDF7B0E"/>
    <w:rsid w:val="6DE56AD1"/>
    <w:rsid w:val="6E2C680B"/>
    <w:rsid w:val="6E3142C0"/>
    <w:rsid w:val="6E382A50"/>
    <w:rsid w:val="6E663B62"/>
    <w:rsid w:val="6EC95877"/>
    <w:rsid w:val="6EF30A38"/>
    <w:rsid w:val="6EF758B3"/>
    <w:rsid w:val="6F0D3B5C"/>
    <w:rsid w:val="6FB7306E"/>
    <w:rsid w:val="6FBFE605"/>
    <w:rsid w:val="6FC724FF"/>
    <w:rsid w:val="6FFF3A38"/>
    <w:rsid w:val="7051284F"/>
    <w:rsid w:val="70C72DCC"/>
    <w:rsid w:val="71221260"/>
    <w:rsid w:val="71DD3377"/>
    <w:rsid w:val="71FB716A"/>
    <w:rsid w:val="72324644"/>
    <w:rsid w:val="723F6B0D"/>
    <w:rsid w:val="726E6031"/>
    <w:rsid w:val="72DE7ECD"/>
    <w:rsid w:val="736F650A"/>
    <w:rsid w:val="737956B3"/>
    <w:rsid w:val="73FFD73C"/>
    <w:rsid w:val="74081619"/>
    <w:rsid w:val="74152B15"/>
    <w:rsid w:val="742353B5"/>
    <w:rsid w:val="7450713C"/>
    <w:rsid w:val="74764FC5"/>
    <w:rsid w:val="749E3840"/>
    <w:rsid w:val="74AB25CF"/>
    <w:rsid w:val="74FF6EC8"/>
    <w:rsid w:val="75036E13"/>
    <w:rsid w:val="750A0C7E"/>
    <w:rsid w:val="751C2643"/>
    <w:rsid w:val="753541F8"/>
    <w:rsid w:val="755E6D0B"/>
    <w:rsid w:val="756F085C"/>
    <w:rsid w:val="757E1553"/>
    <w:rsid w:val="758240A1"/>
    <w:rsid w:val="75893078"/>
    <w:rsid w:val="75C0373B"/>
    <w:rsid w:val="75E672A0"/>
    <w:rsid w:val="76570E94"/>
    <w:rsid w:val="76781F92"/>
    <w:rsid w:val="77165DBC"/>
    <w:rsid w:val="777342E3"/>
    <w:rsid w:val="77AA3B59"/>
    <w:rsid w:val="77ABF40D"/>
    <w:rsid w:val="77E3618D"/>
    <w:rsid w:val="78330616"/>
    <w:rsid w:val="785632A7"/>
    <w:rsid w:val="78A82F14"/>
    <w:rsid w:val="78AC25B5"/>
    <w:rsid w:val="78B876B8"/>
    <w:rsid w:val="79C5354D"/>
    <w:rsid w:val="79D020C1"/>
    <w:rsid w:val="79DC2CEF"/>
    <w:rsid w:val="79FA4E93"/>
    <w:rsid w:val="7A540B7C"/>
    <w:rsid w:val="7A7A445B"/>
    <w:rsid w:val="7AC3298E"/>
    <w:rsid w:val="7AD63D87"/>
    <w:rsid w:val="7BDF649D"/>
    <w:rsid w:val="7BF64053"/>
    <w:rsid w:val="7BFFF4F7"/>
    <w:rsid w:val="7C36796C"/>
    <w:rsid w:val="7C5331B5"/>
    <w:rsid w:val="7C7D1250"/>
    <w:rsid w:val="7C8D5A17"/>
    <w:rsid w:val="7CAD0B17"/>
    <w:rsid w:val="7CAF6B09"/>
    <w:rsid w:val="7CB00608"/>
    <w:rsid w:val="7D124E1E"/>
    <w:rsid w:val="7D5B587B"/>
    <w:rsid w:val="7D9C7041"/>
    <w:rsid w:val="7DBC0FC2"/>
    <w:rsid w:val="7DC73C99"/>
    <w:rsid w:val="7DC9372F"/>
    <w:rsid w:val="7DED1B13"/>
    <w:rsid w:val="7DF55F91"/>
    <w:rsid w:val="7E243734"/>
    <w:rsid w:val="7E402D12"/>
    <w:rsid w:val="7E6C17AC"/>
    <w:rsid w:val="7ECB59DD"/>
    <w:rsid w:val="7ECC4582"/>
    <w:rsid w:val="7F361298"/>
    <w:rsid w:val="7F7FC531"/>
    <w:rsid w:val="7F9B18C1"/>
    <w:rsid w:val="7FAF03F7"/>
    <w:rsid w:val="7FFD01E0"/>
    <w:rsid w:val="8DD6714F"/>
    <w:rsid w:val="93FB5BE7"/>
    <w:rsid w:val="9598E25F"/>
    <w:rsid w:val="A6E5DA0F"/>
    <w:rsid w:val="B7FC085B"/>
    <w:rsid w:val="B7FF0B98"/>
    <w:rsid w:val="BB7F073F"/>
    <w:rsid w:val="BFBB2AFB"/>
    <w:rsid w:val="D31FABF0"/>
    <w:rsid w:val="DCAFAC02"/>
    <w:rsid w:val="E7333F0C"/>
    <w:rsid w:val="E7936064"/>
    <w:rsid w:val="E7FA5156"/>
    <w:rsid w:val="EB3B694B"/>
    <w:rsid w:val="EE3FF892"/>
    <w:rsid w:val="EED59C2B"/>
    <w:rsid w:val="EEFE28CA"/>
    <w:rsid w:val="EEFEA68F"/>
    <w:rsid w:val="EF7D6131"/>
    <w:rsid w:val="EF9DFD3D"/>
    <w:rsid w:val="EFF8B375"/>
    <w:rsid w:val="F1F1B767"/>
    <w:rsid w:val="F1FF3AB1"/>
    <w:rsid w:val="F5E98164"/>
    <w:rsid w:val="F73FBBBD"/>
    <w:rsid w:val="F75DBD73"/>
    <w:rsid w:val="F7FB71C4"/>
    <w:rsid w:val="FDA953D6"/>
    <w:rsid w:val="FDDC9E92"/>
    <w:rsid w:val="FDFE40D8"/>
    <w:rsid w:val="FDFFD933"/>
    <w:rsid w:val="FEFA7B2C"/>
    <w:rsid w:val="FEFDFE52"/>
    <w:rsid w:val="FF22BE3E"/>
    <w:rsid w:val="FFCF6812"/>
    <w:rsid w:val="FFD6CC2F"/>
    <w:rsid w:val="FFEAEAE0"/>
    <w:rsid w:val="FFF23E40"/>
    <w:rsid w:val="FFF2B95A"/>
    <w:rsid w:val="FFFBA3F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6">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styleId="5">
    <w:name w:val="Table Grid"/>
    <w:basedOn w:val="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7">
    <w:name w:val="page number"/>
    <w:qFormat/>
    <w:uiPriority w:val="0"/>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image" Target="media/image1.png"/><Relationship Id="rId6" Type="http://schemas.openxmlformats.org/officeDocument/2006/relationships/chart" Target="charts/chart2.xml"/><Relationship Id="rId5" Type="http://schemas.openxmlformats.org/officeDocument/2006/relationships/chart" Target="charts/chart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charts/_rels/chart1.xml.rels><?xml version="1.0" encoding="UTF-8" standalone="yes"?>
<Relationships xmlns="http://schemas.openxmlformats.org/package/2006/relationships"><Relationship Id="rId3" Type="http://schemas.microsoft.com/office/2011/relationships/chartColorStyle" Target="colors2.xml"/><Relationship Id="rId2" Type="http://schemas.microsoft.com/office/2011/relationships/chartStyle" Target="style2.xml"/><Relationship Id="rId1" Type="http://schemas.openxmlformats.org/officeDocument/2006/relationships/oleObject" Target="/data/&#22266;&#24223;&#30003;&#25253;&#21382;&#24180;&#25968;&#25454;&#21450;&#20844;&#21578;/2025&#24180;/&#21361;&#24223;/&#25968;&#25454;&#21344;&#27604;&#36879;&#35270;&#22270;.et" TargetMode="External"/></Relationships>
</file>

<file path=word/charts/_rels/chart2.xml.rels><?xml version="1.0" encoding="UTF-8" standalone="yes"?>
<Relationships xmlns="http://schemas.openxmlformats.org/package/2006/relationships"><Relationship Id="rId3" Type="http://schemas.microsoft.com/office/2011/relationships/chartColorStyle" Target="colors1.xml"/><Relationship Id="rId2" Type="http://schemas.microsoft.com/office/2011/relationships/chartStyle" Target="style1.xml"/><Relationship Id="rId1" Type="http://schemas.openxmlformats.org/officeDocument/2006/relationships/oleObject" Target="/data/&#22266;&#24223;&#30003;&#25253;&#21382;&#24180;&#25968;&#25454;&#21450;&#20844;&#21578;/2025&#24180;/&#21361;&#24223;/&#25968;&#25454;&#21344;&#27604;&#36879;&#35270;&#22270;.et"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t>产生量及占总量比</a:t>
            </a:r>
            <a:endParaRPr lang="en-US" altLang="zh-CN"/>
          </a:p>
        </c:rich>
      </c:tx>
      <c:layout/>
      <c:overlay val="0"/>
      <c:spPr>
        <a:noFill/>
        <a:ln>
          <a:noFill/>
        </a:ln>
        <a:effectLst/>
      </c:spPr>
    </c:title>
    <c:autoTitleDeleted val="0"/>
    <c:plotArea>
      <c:layout/>
      <c:barChart>
        <c:barDir val="col"/>
        <c:grouping val="clustered"/>
        <c:varyColors val="0"/>
        <c:ser>
          <c:idx val="0"/>
          <c:order val="0"/>
          <c:tx>
            <c:strRef>
              <c:f>[数据占比透视图.et]Sheet1!$B$1</c:f>
              <c:strCache>
                <c:ptCount val="1"/>
                <c:pt idx="0">
                  <c:v>产生量</c:v>
                </c:pt>
              </c:strCache>
            </c:strRef>
          </c:tx>
          <c:spPr>
            <a:solidFill>
              <a:schemeClr val="accent1"/>
            </a:solidFill>
            <a:ln>
              <a:noFill/>
            </a:ln>
            <a:effectLst/>
          </c:spPr>
          <c:invertIfNegative val="0"/>
          <c:dLbls>
            <c:dLbl>
              <c:idx val="0"/>
              <c:layout/>
              <c:tx>
                <c:rich>
                  <a:bodyPr rot="0" spcFirstLastPara="0" vertOverflow="ellipsis" vert="horz" wrap="square" lIns="38100" tIns="19050" rIns="38100" bIns="19050" anchor="ctr" anchorCtr="1"/>
                  <a:lstStyle/>
                  <a:p>
                    <a:pPr defTabSz="914400">
                      <a:defRPr lang="zh-CN" sz="1000" b="0" i="0" u="none" strike="noStrike" kern="1200" baseline="0">
                        <a:solidFill>
                          <a:schemeClr val="tx1">
                            <a:lumMod val="75000"/>
                            <a:lumOff val="25000"/>
                          </a:schemeClr>
                        </a:solidFill>
                        <a:latin typeface="+mn-lt"/>
                        <a:ea typeface="+mn-ea"/>
                        <a:cs typeface="+mn-cs"/>
                      </a:defRPr>
                    </a:pPr>
                    <a:r>
                      <a:rPr lang="en-US" altLang="zh-CN"/>
                      <a:t>95.55%</a:t>
                    </a:r>
                    <a:endParaRPr lang="en-US" altLang="zh-CN"/>
                  </a:p>
                </c:rich>
              </c:tx>
              <c:numFmt formatCode="General" sourceLinked="0"/>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extLst>
                <c:ext xmlns:c15="http://schemas.microsoft.com/office/drawing/2012/chart" uri="{CE6537A1-D6FC-4f65-9D91-7224C49458BB}"/>
              </c:extLst>
            </c:dLbl>
            <c:dLbl>
              <c:idx val="1"/>
              <c:layout/>
              <c:tx>
                <c:rich>
                  <a:bodyPr rot="0" spcFirstLastPara="0" vertOverflow="ellipsis" vert="horz" wrap="square" lIns="38100" tIns="19050" rIns="38100" bIns="19050" anchor="ctr" anchorCtr="1"/>
                  <a:lstStyle/>
                  <a:p>
                    <a:pPr defTabSz="914400">
                      <a:defRPr lang="zh-CN" sz="1000" b="0" i="0" u="none" strike="noStrike" kern="1200" baseline="0">
                        <a:solidFill>
                          <a:schemeClr val="tx1">
                            <a:lumMod val="75000"/>
                            <a:lumOff val="25000"/>
                          </a:schemeClr>
                        </a:solidFill>
                        <a:latin typeface="+mn-lt"/>
                        <a:ea typeface="+mn-ea"/>
                        <a:cs typeface="+mn-cs"/>
                      </a:defRPr>
                    </a:pPr>
                    <a:r>
                      <a:rPr lang="en-US" altLang="zh-CN"/>
                      <a:t>2.69%</a:t>
                    </a:r>
                    <a:endParaRPr lang="en-US" altLang="zh-CN"/>
                  </a:p>
                </c:rich>
              </c:tx>
              <c:dLblPos val="outEnd"/>
              <c:showLegendKey val="0"/>
              <c:showVal val="1"/>
              <c:showCatName val="0"/>
              <c:showSerName val="0"/>
              <c:showPercent val="0"/>
              <c:showBubbleSize val="0"/>
              <c:extLst>
                <c:ext xmlns:c15="http://schemas.microsoft.com/office/drawing/2012/chart" uri="{CE6537A1-D6FC-4f65-9D91-7224C49458BB}"/>
              </c:extLst>
            </c:dLbl>
            <c:dLbl>
              <c:idx val="2"/>
              <c:layout/>
              <c:tx>
                <c:rich>
                  <a:bodyPr rot="0" spcFirstLastPara="0" vertOverflow="ellipsis" vert="horz" wrap="square" lIns="38100" tIns="19050" rIns="38100" bIns="19050" anchor="ctr" anchorCtr="1"/>
                  <a:lstStyle/>
                  <a:p>
                    <a:pPr defTabSz="914400">
                      <a:defRPr lang="zh-CN" sz="1000" b="0" i="0" u="none" strike="noStrike" kern="1200" baseline="0">
                        <a:solidFill>
                          <a:schemeClr val="tx1">
                            <a:lumMod val="75000"/>
                            <a:lumOff val="25000"/>
                          </a:schemeClr>
                        </a:solidFill>
                        <a:latin typeface="+mn-lt"/>
                        <a:ea typeface="+mn-ea"/>
                        <a:cs typeface="+mn-cs"/>
                      </a:defRPr>
                    </a:pPr>
                    <a:r>
                      <a:rPr lang="en-US" altLang="zh-CN"/>
                      <a:t>1.07%</a:t>
                    </a:r>
                    <a:endParaRPr lang="en-US" altLang="zh-CN"/>
                  </a:p>
                </c:rich>
              </c:tx>
              <c:dLblPos val="outEnd"/>
              <c:showLegendKey val="0"/>
              <c:showVal val="1"/>
              <c:showCatName val="0"/>
              <c:showSerName val="0"/>
              <c:showPercent val="0"/>
              <c:showBubbleSize val="0"/>
              <c:extLst>
                <c:ext xmlns:c15="http://schemas.microsoft.com/office/drawing/2012/chart" uri="{CE6537A1-D6FC-4f65-9D91-7224C49458BB}"/>
              </c:extLst>
            </c:dLbl>
            <c:dLbl>
              <c:idx val="3"/>
              <c:layout/>
              <c:tx>
                <c:rich>
                  <a:bodyPr rot="0" spcFirstLastPara="0" vertOverflow="ellipsis" vert="horz" wrap="square" lIns="38100" tIns="19050" rIns="38100" bIns="19050" anchor="ctr" anchorCtr="1"/>
                  <a:lstStyle/>
                  <a:p>
                    <a:pPr defTabSz="914400">
                      <a:defRPr lang="zh-CN" sz="1000" b="0" i="0" u="none" strike="noStrike" kern="1200" baseline="0">
                        <a:solidFill>
                          <a:schemeClr val="tx1">
                            <a:lumMod val="75000"/>
                            <a:lumOff val="25000"/>
                          </a:schemeClr>
                        </a:solidFill>
                        <a:latin typeface="+mn-lt"/>
                        <a:ea typeface="+mn-ea"/>
                        <a:cs typeface="+mn-cs"/>
                      </a:defRPr>
                    </a:pPr>
                    <a:r>
                      <a:rPr lang="en-US" altLang="zh-CN"/>
                      <a:t>0.16%</a:t>
                    </a:r>
                    <a:endParaRPr lang="en-US" altLang="zh-CN"/>
                  </a:p>
                </c:rich>
              </c:tx>
              <c:dLblPos val="outEnd"/>
              <c:showLegendKey val="0"/>
              <c:showVal val="1"/>
              <c:showCatName val="0"/>
              <c:showSerName val="0"/>
              <c:showPercent val="0"/>
              <c:showBubbleSize val="0"/>
              <c:extLst>
                <c:ext xmlns:c15="http://schemas.microsoft.com/office/drawing/2012/chart" uri="{CE6537A1-D6FC-4f65-9D91-7224C49458BB}"/>
              </c:extLst>
            </c:dLbl>
            <c:dLbl>
              <c:idx val="4"/>
              <c:layout/>
              <c:tx>
                <c:rich>
                  <a:bodyPr rot="0" spcFirstLastPara="0" vertOverflow="ellipsis" vert="horz" wrap="square" lIns="38100" tIns="19050" rIns="38100" bIns="19050" anchor="ctr" anchorCtr="1"/>
                  <a:lstStyle/>
                  <a:p>
                    <a:pPr defTabSz="914400">
                      <a:defRPr lang="zh-CN" sz="1000" b="0" i="0" u="none" strike="noStrike" kern="1200" baseline="0">
                        <a:solidFill>
                          <a:schemeClr val="tx1">
                            <a:lumMod val="75000"/>
                            <a:lumOff val="25000"/>
                          </a:schemeClr>
                        </a:solidFill>
                        <a:latin typeface="+mn-lt"/>
                        <a:ea typeface="+mn-ea"/>
                        <a:cs typeface="+mn-cs"/>
                      </a:defRPr>
                    </a:pPr>
                    <a:r>
                      <a:rPr lang="en-US" altLang="zh-CN"/>
                      <a:t>0.14%</a:t>
                    </a:r>
                    <a:endParaRPr lang="en-US" altLang="zh-CN"/>
                  </a:p>
                </c:rich>
              </c:tx>
              <c:dLblPos val="outEnd"/>
              <c:showLegendKey val="0"/>
              <c:showVal val="1"/>
              <c:showCatName val="0"/>
              <c:showSerName val="0"/>
              <c:showPercent val="0"/>
              <c:showBubbleSize val="0"/>
              <c:extLst>
                <c:ext xmlns:c15="http://schemas.microsoft.com/office/drawing/2012/chart" uri="{CE6537A1-D6FC-4f65-9D91-7224C49458BB}"/>
              </c:extLst>
            </c:dLbl>
            <c:numFmt formatCode="General" sourceLinked="1"/>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[数据占比透视图.et]Sheet1!$A$2:$A$6</c:f>
              <c:strCache>
                <c:ptCount val="5"/>
                <c:pt idx="0">
                  <c:v>制造业</c:v>
                </c:pt>
                <c:pt idx="1">
                  <c:v>电力、热力、燃气及水生产和供应业</c:v>
                </c:pt>
                <c:pt idx="2">
                  <c:v>水利、环境和公共设施管理业</c:v>
                </c:pt>
                <c:pt idx="3">
                  <c:v>信息传输、软件和信息技术服务业</c:v>
                </c:pt>
                <c:pt idx="4">
                  <c:v>采矿业</c:v>
                </c:pt>
              </c:strCache>
            </c:strRef>
          </c:cat>
          <c:val>
            <c:numRef>
              <c:f>[数据占比透视图.et]Sheet1!$B$2:$B$6</c:f>
              <c:numCache>
                <c:formatCode>General</c:formatCode>
                <c:ptCount val="5"/>
                <c:pt idx="0">
                  <c:v>190149.49</c:v>
                </c:pt>
                <c:pt idx="1">
                  <c:v>5344.44</c:v>
                </c:pt>
                <c:pt idx="2">
                  <c:v>2136.38</c:v>
                </c:pt>
                <c:pt idx="3">
                  <c:v>322.52</c:v>
                </c:pt>
                <c:pt idx="4">
                  <c:v>287.19</c:v>
                </c:pt>
              </c:numCache>
            </c:numRef>
          </c:val>
        </c:ser>
        <c:dLbls>
          <c:showLegendKey val="0"/>
          <c:showVal val="1"/>
          <c:showCatName val="0"/>
          <c:showSerName val="0"/>
          <c:showPercent val="0"/>
          <c:showBubbleSize val="0"/>
        </c:dLbls>
        <c:gapWidth val="150"/>
        <c:overlap val="0"/>
        <c:axId val="33455515"/>
        <c:axId val="264494699"/>
      </c:barChart>
      <c:catAx>
        <c:axId val="33455515"/>
        <c:scaling>
          <c:orientation val="minMax"/>
        </c:scaling>
        <c:delete val="1"/>
        <c:axPos val="b"/>
        <c:majorTickMark val="out"/>
        <c:minorTickMark val="none"/>
        <c:tickLblPos val="nextTo"/>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64494699"/>
        <c:crosses val="autoZero"/>
        <c:auto val="1"/>
        <c:lblAlgn val="ctr"/>
        <c:lblOffset val="100"/>
        <c:noMultiLvlLbl val="0"/>
      </c:catAx>
      <c:valAx>
        <c:axId val="264494699"/>
        <c:scaling>
          <c:orientation val="minMax"/>
          <c:max val="200000"/>
          <c:min val="0"/>
        </c:scaling>
        <c:delete val="0"/>
        <c:axPos val="l"/>
        <c:majorGridlines>
          <c:spPr>
            <a:ln w="9525" cap="flat" cmpd="sng" algn="ctr">
              <a:solidFill>
                <a:schemeClr val="lt1">
                  <a:lumMod val="90200"/>
                </a:schemeClr>
              </a:solidFill>
              <a:round/>
            </a:ln>
            <a:effectLst/>
          </c:spPr>
        </c:majorGridlines>
        <c:numFmt formatCode="General" sourceLinked="1"/>
        <c:majorTickMark val="out"/>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3455515"/>
        <c:crosses val="autoZero"/>
        <c:crossBetween val="between"/>
        <c:majorUnit val="30000"/>
        <c:minorUnit val="20000"/>
      </c:valAx>
      <c:spPr>
        <a:noFill/>
        <a:ln>
          <a:noFill/>
        </a:ln>
        <a:effectLst/>
      </c:spPr>
    </c:plotArea>
    <c:legend>
      <c:legendPos val="r"/>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t>产生量及占总量比</a:t>
            </a:r>
          </a:p>
        </c:rich>
      </c:tx>
      <c:layout/>
      <c:overlay val="0"/>
      <c:spPr>
        <a:noFill/>
        <a:ln>
          <a:noFill/>
        </a:ln>
        <a:effectLst/>
      </c:spPr>
    </c:title>
    <c:autoTitleDeleted val="0"/>
    <c:plotArea>
      <c:layout/>
      <c:pieChart>
        <c:varyColors val="1"/>
        <c:ser>
          <c:idx val="0"/>
          <c:order val="0"/>
          <c:tx>
            <c:strRef>
              <c:f>[数据占比透视图.et]Sheet1!$B$17</c:f>
              <c:strCache>
                <c:ptCount val="1"/>
                <c:pt idx="0">
                  <c:v>产生量</c:v>
                </c:pt>
              </c:strCache>
            </c:strRef>
          </c:tx>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Pt>
            <c:idx val="2"/>
            <c:bubble3D val="0"/>
            <c:spPr>
              <a:solidFill>
                <a:schemeClr val="accent3"/>
              </a:solidFill>
              <a:ln>
                <a:solidFill>
                  <a:schemeClr val="bg1"/>
                </a:solidFill>
              </a:ln>
              <a:effectLst/>
            </c:spPr>
          </c:dPt>
          <c:dPt>
            <c:idx val="3"/>
            <c:bubble3D val="0"/>
            <c:spPr>
              <a:solidFill>
                <a:schemeClr val="accent4"/>
              </a:solidFill>
              <a:ln>
                <a:solidFill>
                  <a:schemeClr val="bg1"/>
                </a:solidFill>
              </a:ln>
              <a:effectLst/>
            </c:spPr>
          </c:dPt>
          <c:dPt>
            <c:idx val="4"/>
            <c:bubble3D val="0"/>
            <c:spPr>
              <a:solidFill>
                <a:schemeClr val="accent5"/>
              </a:solidFill>
              <a:ln>
                <a:solidFill>
                  <a:schemeClr val="bg1"/>
                </a:solidFill>
              </a:ln>
              <a:effectLst/>
            </c:spPr>
          </c:dPt>
          <c:dLbls>
            <c:dLbl>
              <c:idx val="0"/>
              <c:layout>
                <c:manualLayout>
                  <c:x val="0.179837373651884"/>
                  <c:y val="-0.022396989221309"/>
                </c:manualLayout>
              </c:layout>
              <c:tx>
                <c:rich>
                  <a:bodyPr rot="0" spcFirstLastPara="0" vertOverflow="ellipsis" vert="horz" wrap="square" lIns="38100" tIns="19050" rIns="38100" bIns="19050" anchor="ctr" anchorCtr="1"/>
                  <a:lstStyle/>
                  <a:p>
                    <a:pPr defTabSz="914400">
                      <a:defRPr lang="zh-CN" sz="1000" b="0" i="0" u="none" strike="noStrike" kern="1200" baseline="0">
                        <a:solidFill>
                          <a:schemeClr val="tx1">
                            <a:lumMod val="75000"/>
                            <a:lumOff val="25000"/>
                          </a:schemeClr>
                        </a:solidFill>
                        <a:latin typeface="+mn-lt"/>
                        <a:ea typeface="+mn-ea"/>
                        <a:cs typeface="+mn-cs"/>
                      </a:defRPr>
                    </a:pPr>
                    <a:r>
                      <a:t>9</a:t>
                    </a:r>
                    <a:r>
                      <a:rPr lang="en-US" altLang="zh-CN"/>
                      <a:t>0.30</a:t>
                    </a:r>
                    <a:r>
                      <a:t>%</a:t>
                    </a:r>
                  </a:p>
                </c:rich>
              </c:tx>
              <c:dLblPos val="bestFit"/>
              <c:showLegendKey val="0"/>
              <c:showVal val="0"/>
              <c:showCatName val="0"/>
              <c:showSerName val="0"/>
              <c:showPercent val="1"/>
              <c:showBubbleSize val="0"/>
              <c:extLst>
                <c:ext xmlns:c15="http://schemas.microsoft.com/office/drawing/2012/chart" uri="{CE6537A1-D6FC-4f65-9D91-7224C49458BB}">
                  <c15:layout/>
                </c:ext>
              </c:extLst>
            </c:dLbl>
            <c:dLbl>
              <c:idx val="1"/>
              <c:layout>
                <c:manualLayout>
                  <c:x val="-0.0967009151374179"/>
                  <c:y val="0.04713221359141"/>
                </c:manualLayout>
              </c:layout>
              <c:tx>
                <c:rich>
                  <a:bodyPr rot="0" spcFirstLastPara="0" vertOverflow="ellipsis" vert="horz" wrap="square" lIns="38100" tIns="19050" rIns="38100" bIns="19050" anchor="ctr" anchorCtr="1"/>
                  <a:lstStyle/>
                  <a:p>
                    <a:pPr defTabSz="914400">
                      <a:defRPr lang="zh-CN" sz="1000" b="0" i="0" u="none" strike="noStrike" kern="1200" baseline="0">
                        <a:solidFill>
                          <a:schemeClr val="tx1">
                            <a:lumMod val="75000"/>
                            <a:lumOff val="25000"/>
                          </a:schemeClr>
                        </a:solidFill>
                        <a:latin typeface="+mn-lt"/>
                        <a:ea typeface="+mn-ea"/>
                        <a:cs typeface="+mn-cs"/>
                      </a:defRPr>
                    </a:pPr>
                    <a:r>
                      <a:rPr lang="en-US" altLang="zh-CN"/>
                      <a:t>2.53</a:t>
                    </a:r>
                    <a:r>
                      <a:t>%</a:t>
                    </a:r>
                  </a:p>
                </c:rich>
              </c:tx>
              <c:dLblPos val="bestFit"/>
              <c:showLegendKey val="0"/>
              <c:showVal val="0"/>
              <c:showCatName val="0"/>
              <c:showSerName val="0"/>
              <c:showPercent val="1"/>
              <c:showBubbleSize val="0"/>
              <c:extLst>
                <c:ext xmlns:c15="http://schemas.microsoft.com/office/drawing/2012/chart" uri="{CE6537A1-D6FC-4f65-9D91-7224C49458BB}">
                  <c15:layout/>
                </c:ext>
              </c:extLst>
            </c:dLbl>
            <c:dLbl>
              <c:idx val="2"/>
              <c:layout>
                <c:manualLayout>
                  <c:x val="-0.0764766069788308"/>
                  <c:y val="-0.0400294302433338"/>
                </c:manualLayout>
              </c:layout>
              <c:tx>
                <c:rich>
                  <a:bodyPr rot="0" spcFirstLastPara="0" vertOverflow="ellipsis" vert="horz" wrap="square" lIns="38100" tIns="19050" rIns="38100" bIns="19050" anchor="ctr" anchorCtr="1"/>
                  <a:lstStyle/>
                  <a:p>
                    <a:pPr defTabSz="914400">
                      <a:defRPr lang="zh-CN" sz="1000" b="0" i="0" u="none" strike="noStrike" kern="1200" baseline="0">
                        <a:solidFill>
                          <a:schemeClr val="tx1">
                            <a:lumMod val="75000"/>
                            <a:lumOff val="25000"/>
                          </a:schemeClr>
                        </a:solidFill>
                        <a:latin typeface="+mn-lt"/>
                        <a:ea typeface="+mn-ea"/>
                        <a:cs typeface="+mn-cs"/>
                      </a:defRPr>
                    </a:pPr>
                    <a:r>
                      <a:rPr lang="en-US" altLang="zh-CN"/>
                      <a:t>2.23</a:t>
                    </a:r>
                    <a:r>
                      <a:t>%</a:t>
                    </a:r>
                  </a:p>
                </c:rich>
              </c:tx>
              <c:dLblPos val="bestFit"/>
              <c:showLegendKey val="0"/>
              <c:showVal val="0"/>
              <c:showCatName val="0"/>
              <c:showSerName val="0"/>
              <c:showPercent val="1"/>
              <c:showBubbleSize val="0"/>
              <c:extLst>
                <c:ext xmlns:c15="http://schemas.microsoft.com/office/drawing/2012/chart" uri="{CE6537A1-D6FC-4f65-9D91-7224C49458BB}">
                  <c15:layout/>
                </c:ext>
              </c:extLst>
            </c:dLbl>
            <c:dLbl>
              <c:idx val="3"/>
              <c:layout>
                <c:manualLayout>
                  <c:x val="-0.0201760028083982"/>
                  <c:y val="-0.0789941749431168"/>
                </c:manualLayout>
              </c:layout>
              <c:tx>
                <c:rich>
                  <a:bodyPr rot="0" spcFirstLastPara="0" vertOverflow="ellipsis" vert="horz" wrap="square" lIns="38100" tIns="19050" rIns="38100" bIns="19050" anchor="ctr" anchorCtr="1"/>
                  <a:lstStyle/>
                  <a:p>
                    <a:pPr defTabSz="914400">
                      <a:defRPr lang="zh-CN" sz="1000" b="0" i="0" u="none" strike="noStrike" kern="1200" baseline="0">
                        <a:solidFill>
                          <a:schemeClr val="tx1">
                            <a:lumMod val="75000"/>
                            <a:lumOff val="25000"/>
                          </a:schemeClr>
                        </a:solidFill>
                        <a:latin typeface="+mn-lt"/>
                        <a:ea typeface="+mn-ea"/>
                        <a:cs typeface="+mn-cs"/>
                      </a:defRPr>
                    </a:pPr>
                    <a:r>
                      <a:rPr lang="en-US" altLang="zh-CN"/>
                      <a:t>1.60</a:t>
                    </a:r>
                    <a:r>
                      <a:t>%</a:t>
                    </a:r>
                  </a:p>
                </c:rich>
              </c:tx>
              <c:dLblPos val="bestFit"/>
              <c:showLegendKey val="0"/>
              <c:showVal val="0"/>
              <c:showCatName val="0"/>
              <c:showSerName val="0"/>
              <c:showPercent val="1"/>
              <c:showBubbleSize val="0"/>
              <c:extLst>
                <c:ext xmlns:c15="http://schemas.microsoft.com/office/drawing/2012/chart" uri="{CE6537A1-D6FC-4f65-9D91-7224C49458BB}">
                  <c15:layout/>
                </c:ext>
              </c:extLst>
            </c:dLbl>
            <c:dLbl>
              <c:idx val="4"/>
              <c:layout>
                <c:manualLayout>
                  <c:x val="0.094694185462978"/>
                  <c:y val="0.0113284483759283"/>
                </c:manualLayout>
              </c:layout>
              <c:tx>
                <c:rich>
                  <a:bodyPr rot="0" spcFirstLastPara="0" vertOverflow="ellipsis" vert="horz" wrap="square" lIns="38100" tIns="19050" rIns="38100" bIns="19050" anchor="ctr" anchorCtr="1"/>
                  <a:lstStyle/>
                  <a:p>
                    <a:pPr defTabSz="914400">
                      <a:defRPr lang="zh-CN" sz="1000" b="0" i="0" u="none" strike="noStrike" kern="1200" baseline="0">
                        <a:solidFill>
                          <a:schemeClr val="tx1">
                            <a:lumMod val="75000"/>
                            <a:lumOff val="25000"/>
                          </a:schemeClr>
                        </a:solidFill>
                        <a:latin typeface="+mn-lt"/>
                        <a:ea typeface="+mn-ea"/>
                        <a:cs typeface="+mn-cs"/>
                      </a:defRPr>
                    </a:pPr>
                    <a:r>
                      <a:t>1</a:t>
                    </a:r>
                    <a:r>
                      <a:rPr lang="en-US" altLang="zh-CN"/>
                      <a:t>.30</a:t>
                    </a:r>
                    <a:r>
                      <a:t>%</a:t>
                    </a:r>
                  </a:p>
                </c:rich>
              </c:tx>
              <c:dLblPos val="bestFit"/>
              <c:showLegendKey val="0"/>
              <c:showVal val="0"/>
              <c:showCatName val="0"/>
              <c:showSerName val="0"/>
              <c:showPercent val="1"/>
              <c:showBubbleSize val="0"/>
              <c:extLst>
                <c:ext xmlns:c15="http://schemas.microsoft.com/office/drawing/2012/chart" uri="{CE6537A1-D6FC-4f65-9D91-7224C49458BB}">
                  <c15:layout/>
                </c:ext>
              </c:extLst>
            </c:dLbl>
            <c:numFmt formatCode="General" sourceLinked="0"/>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bestFit"/>
            <c:showLegendKey val="0"/>
            <c:showVal val="0"/>
            <c:showCatName val="0"/>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[数据占比透视图.et]Sheet1!$A$18:$A$22</c:f>
              <c:strCache>
                <c:ptCount val="5"/>
                <c:pt idx="0">
                  <c:v>HW11精（蒸）馏残渣</c:v>
                </c:pt>
                <c:pt idx="1">
                  <c:v>HW23含锌废物</c:v>
                </c:pt>
                <c:pt idx="2">
                  <c:v>HW18焚烧处置残渣</c:v>
                </c:pt>
                <c:pt idx="3">
                  <c:v>HW08废矿物油与含矿物油废物</c:v>
                </c:pt>
                <c:pt idx="4">
                  <c:v>HW31含铅废物</c:v>
                </c:pt>
              </c:strCache>
            </c:strRef>
          </c:cat>
          <c:val>
            <c:numRef>
              <c:f>[数据占比透视图.et]Sheet1!$B$18:$B$22</c:f>
              <c:numCache>
                <c:formatCode>General</c:formatCode>
                <c:ptCount val="5"/>
                <c:pt idx="0">
                  <c:v>179693.24</c:v>
                </c:pt>
                <c:pt idx="1">
                  <c:v>5028.88</c:v>
                </c:pt>
                <c:pt idx="2">
                  <c:v>4437.21</c:v>
                </c:pt>
                <c:pt idx="3">
                  <c:v>3181.4</c:v>
                </c:pt>
                <c:pt idx="4">
                  <c:v>2593.74</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t"/>
      <c:layout>
        <c:manualLayout>
          <c:xMode val="edge"/>
          <c:yMode val="edge"/>
          <c:x val="0.033245729303548"/>
          <c:y val="0.130254041570439"/>
          <c:w val="0.934165571616294"/>
          <c:h val="0.203926096997691"/>
        </c:manualLayou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13</Pages>
  <Words>6058</Words>
  <Characters>8539</Characters>
  <Lines>0</Lines>
  <Paragraphs>0</Paragraphs>
  <TotalTime>8</TotalTime>
  <ScaleCrop>false</ScaleCrop>
  <LinksUpToDate>false</LinksUpToDate>
  <CharactersWithSpaces>8771</CharactersWithSpaces>
  <Application>WPS Office_11.1.0.10314_F1E327BC-269C-435d-A152-05C5408002CA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2024-03-28T06:28:00Z</dcterms:created>
  <dc:creator>Administrator</dc:creator>
  <cp:lastModifiedBy>周晓帆</cp:lastModifiedBy>
  <cp:lastPrinted>2026-06-05T13:41:00Z</cp:lastPrinted>
  <dcterms:modified xsi:type="dcterms:W3CDTF">2026-07-29T01:53:05Z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2052-11.1.0.10314</vt:lpwstr>
  </property>
  <property fmtid="{D5CDD505-2E9C-101B-9397-08002B2CF9AE}" pid="3" name="ICV">
    <vt:lpwstr>5811AC502EA345D38B541C4BEAEC2464_12</vt:lpwstr>
  </property>
</Properties>
</file>