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A4625">
      <w:pPr>
        <w:ind w:firstLine="560"/>
        <w:rPr>
          <w:rFonts w:cs="Times New Roman"/>
        </w:rPr>
      </w:pPr>
    </w:p>
    <w:p w14:paraId="672439AF">
      <w:pPr>
        <w:pStyle w:val="2"/>
        <w:ind w:firstLine="560"/>
      </w:pPr>
    </w:p>
    <w:p w14:paraId="03FC0092">
      <w:pPr>
        <w:ind w:firstLine="560"/>
      </w:pPr>
    </w:p>
    <w:p w14:paraId="7C91B454">
      <w:pPr>
        <w:ind w:firstLine="560"/>
        <w:rPr>
          <w:rFonts w:cs="Times New Roman"/>
        </w:rPr>
      </w:pPr>
    </w:p>
    <w:p w14:paraId="64EC825B">
      <w:pPr>
        <w:ind w:firstLine="0" w:firstLineChars="0"/>
        <w:jc w:val="center"/>
        <w:rPr>
          <w:rFonts w:cs="Times New Roman"/>
          <w:b/>
          <w:bCs/>
          <w:sz w:val="48"/>
          <w:szCs w:val="48"/>
        </w:rPr>
      </w:pPr>
      <w:r>
        <w:rPr>
          <w:rFonts w:cs="Times New Roman"/>
          <w:b/>
          <w:bCs/>
          <w:sz w:val="48"/>
          <w:szCs w:val="48"/>
        </w:rPr>
        <w:t>本溪市重点流域水生态环境保护</w:t>
      </w:r>
    </w:p>
    <w:p w14:paraId="25DFFD92">
      <w:pPr>
        <w:ind w:firstLine="0" w:firstLineChars="0"/>
        <w:jc w:val="center"/>
        <w:rPr>
          <w:rFonts w:cs="Times New Roman"/>
          <w:b/>
          <w:bCs/>
          <w:sz w:val="48"/>
          <w:szCs w:val="48"/>
        </w:rPr>
      </w:pPr>
      <w:r>
        <w:rPr>
          <w:rFonts w:hint="eastAsia" w:cs="Times New Roman"/>
          <w:b/>
          <w:bCs/>
          <w:sz w:val="48"/>
          <w:szCs w:val="48"/>
        </w:rPr>
        <w:t>“</w:t>
      </w:r>
      <w:r>
        <w:rPr>
          <w:rFonts w:cs="Times New Roman"/>
          <w:b/>
          <w:bCs/>
          <w:sz w:val="48"/>
          <w:szCs w:val="48"/>
        </w:rPr>
        <w:t>十四五</w:t>
      </w:r>
      <w:r>
        <w:rPr>
          <w:rFonts w:hint="eastAsia" w:cs="Times New Roman"/>
          <w:b/>
          <w:bCs/>
          <w:sz w:val="48"/>
          <w:szCs w:val="48"/>
        </w:rPr>
        <w:t>”</w:t>
      </w:r>
      <w:r>
        <w:rPr>
          <w:rFonts w:cs="Times New Roman"/>
          <w:b/>
          <w:bCs/>
          <w:sz w:val="48"/>
          <w:szCs w:val="48"/>
        </w:rPr>
        <w:t>规划</w:t>
      </w:r>
    </w:p>
    <w:p w14:paraId="7F2B2D50">
      <w:pPr>
        <w:ind w:firstLine="562"/>
        <w:rPr>
          <w:rFonts w:cs="Times New Roman"/>
          <w:b/>
          <w:bCs/>
        </w:rPr>
      </w:pPr>
    </w:p>
    <w:p w14:paraId="455A2B04">
      <w:pPr>
        <w:ind w:firstLine="562"/>
        <w:rPr>
          <w:rFonts w:cs="Times New Roman"/>
          <w:b/>
          <w:bCs/>
        </w:rPr>
      </w:pPr>
    </w:p>
    <w:p w14:paraId="0D120B5D">
      <w:pPr>
        <w:ind w:firstLine="562"/>
        <w:rPr>
          <w:rFonts w:cs="Times New Roman"/>
          <w:b/>
          <w:bCs/>
        </w:rPr>
      </w:pPr>
    </w:p>
    <w:p w14:paraId="32F0A43B">
      <w:pPr>
        <w:pStyle w:val="2"/>
        <w:ind w:firstLine="562"/>
        <w:rPr>
          <w:rFonts w:cs="Times New Roman"/>
          <w:b/>
          <w:bCs/>
        </w:rPr>
      </w:pPr>
    </w:p>
    <w:p w14:paraId="4C21B92E">
      <w:pPr>
        <w:ind w:firstLine="562"/>
        <w:rPr>
          <w:rFonts w:cs="Times New Roman"/>
          <w:b/>
          <w:bCs/>
        </w:rPr>
      </w:pPr>
    </w:p>
    <w:p w14:paraId="30DF58D0">
      <w:pPr>
        <w:pStyle w:val="2"/>
        <w:ind w:firstLine="562"/>
        <w:rPr>
          <w:rFonts w:cs="Times New Roman"/>
          <w:b/>
          <w:bCs/>
        </w:rPr>
      </w:pPr>
    </w:p>
    <w:p w14:paraId="702C7F4C">
      <w:pPr>
        <w:ind w:firstLine="562"/>
        <w:rPr>
          <w:rFonts w:cs="Times New Roman"/>
          <w:b/>
          <w:bCs/>
        </w:rPr>
      </w:pPr>
    </w:p>
    <w:p w14:paraId="40FD4B7E">
      <w:pPr>
        <w:pStyle w:val="2"/>
        <w:ind w:firstLine="562"/>
        <w:rPr>
          <w:rFonts w:cs="Times New Roman"/>
          <w:b/>
          <w:bCs/>
        </w:rPr>
      </w:pPr>
    </w:p>
    <w:p w14:paraId="4880E6D1">
      <w:pPr>
        <w:ind w:firstLine="562"/>
        <w:rPr>
          <w:rFonts w:cs="Times New Roman"/>
          <w:b/>
          <w:bCs/>
        </w:rPr>
      </w:pPr>
    </w:p>
    <w:p w14:paraId="53574A82">
      <w:pPr>
        <w:pStyle w:val="2"/>
        <w:ind w:firstLine="562"/>
        <w:rPr>
          <w:rFonts w:cs="Times New Roman"/>
          <w:b/>
          <w:bCs/>
        </w:rPr>
      </w:pPr>
    </w:p>
    <w:p w14:paraId="4D5F2336">
      <w:pPr>
        <w:ind w:firstLine="562"/>
        <w:rPr>
          <w:rFonts w:cs="Times New Roman"/>
          <w:b/>
          <w:bCs/>
        </w:rPr>
      </w:pPr>
    </w:p>
    <w:p w14:paraId="1441D025">
      <w:pPr>
        <w:pStyle w:val="2"/>
        <w:ind w:firstLine="562"/>
        <w:rPr>
          <w:rFonts w:cs="Times New Roman"/>
          <w:b/>
          <w:bCs/>
        </w:rPr>
      </w:pPr>
    </w:p>
    <w:p w14:paraId="1A78F6D3">
      <w:pPr>
        <w:ind w:firstLine="562"/>
        <w:rPr>
          <w:rFonts w:cs="Times New Roman"/>
          <w:b/>
          <w:bCs/>
        </w:rPr>
      </w:pPr>
    </w:p>
    <w:p w14:paraId="1B23B2F4">
      <w:pPr>
        <w:pStyle w:val="2"/>
        <w:ind w:firstLine="562"/>
        <w:rPr>
          <w:rFonts w:cs="Times New Roman"/>
          <w:b/>
          <w:bCs/>
        </w:rPr>
      </w:pPr>
    </w:p>
    <w:p w14:paraId="109AEF60">
      <w:pPr>
        <w:ind w:firstLine="560"/>
        <w:rPr>
          <w:rFonts w:cs="Times New Roman"/>
        </w:rPr>
      </w:pPr>
    </w:p>
    <w:p w14:paraId="4B483D94">
      <w:pPr>
        <w:ind w:firstLine="0" w:firstLineChars="0"/>
        <w:jc w:val="center"/>
        <w:rPr>
          <w:rFonts w:cs="Times New Roman"/>
          <w:b/>
          <w:bCs/>
        </w:rPr>
      </w:pPr>
      <w:bookmarkStart w:id="0" w:name="_Toc3846"/>
      <w:bookmarkStart w:id="1" w:name="_Toc41477068"/>
      <w:r>
        <w:rPr>
          <w:rFonts w:cs="Times New Roman"/>
          <w:b/>
          <w:bCs/>
        </w:rPr>
        <w:t>本溪市</w:t>
      </w:r>
      <w:bookmarkEnd w:id="0"/>
      <w:bookmarkEnd w:id="1"/>
      <w:r>
        <w:rPr>
          <w:rFonts w:cs="Times New Roman"/>
          <w:b/>
          <w:bCs/>
        </w:rPr>
        <w:t>生态环境局</w:t>
      </w:r>
    </w:p>
    <w:p w14:paraId="791FFE36">
      <w:pPr>
        <w:ind w:firstLine="0" w:firstLineChars="0"/>
        <w:jc w:val="center"/>
        <w:rPr>
          <w:rFonts w:cs="Times New Roman"/>
          <w:b/>
          <w:bCs/>
        </w:rPr>
      </w:pPr>
      <w:bookmarkStart w:id="2" w:name="_Toc30034"/>
      <w:bookmarkStart w:id="3" w:name="_Toc41477069"/>
      <w:r>
        <w:rPr>
          <w:rFonts w:cs="Times New Roman"/>
          <w:b/>
          <w:bCs/>
        </w:rPr>
        <w:t>二〇二</w:t>
      </w:r>
      <w:r>
        <w:rPr>
          <w:rFonts w:hint="eastAsia" w:cs="Times New Roman"/>
          <w:b/>
          <w:bCs/>
          <w:lang w:val="en-US" w:eastAsia="zh-CN"/>
        </w:rPr>
        <w:t>三</w:t>
      </w:r>
      <w:r>
        <w:rPr>
          <w:rFonts w:cs="Times New Roman"/>
          <w:b/>
          <w:bCs/>
        </w:rPr>
        <w:t>年</w:t>
      </w:r>
      <w:r>
        <w:rPr>
          <w:rFonts w:hint="eastAsia" w:cs="Times New Roman"/>
          <w:b/>
          <w:bCs/>
          <w:lang w:val="en-US" w:eastAsia="zh-CN"/>
        </w:rPr>
        <w:t>四</w:t>
      </w:r>
      <w:r>
        <w:rPr>
          <w:rFonts w:cs="Times New Roman"/>
          <w:b/>
          <w:bCs/>
        </w:rPr>
        <w:t>月</w:t>
      </w:r>
      <w:bookmarkEnd w:id="2"/>
      <w:bookmarkEnd w:id="3"/>
    </w:p>
    <w:p w14:paraId="39F82217">
      <w:pPr>
        <w:ind w:firstLine="562"/>
        <w:rPr>
          <w:rFonts w:cs="Times New Roman"/>
          <w:b/>
          <w:bCs/>
        </w:rPr>
        <w:sectPr>
          <w:headerReference r:id="rId7" w:type="first"/>
          <w:footerReference r:id="rId10" w:type="first"/>
          <w:headerReference r:id="rId5" w:type="default"/>
          <w:footerReference r:id="rId8" w:type="default"/>
          <w:headerReference r:id="rId6" w:type="even"/>
          <w:footerReference r:id="rId9" w:type="even"/>
          <w:pgSz w:w="11910" w:h="16840"/>
          <w:pgMar w:top="1440" w:right="1803" w:bottom="1440" w:left="1803" w:header="720" w:footer="720" w:gutter="0"/>
          <w:cols w:space="720" w:num="1"/>
        </w:sectPr>
      </w:pPr>
    </w:p>
    <w:sdt>
      <w:sdtPr>
        <w:rPr>
          <w:rFonts w:ascii="宋体" w:hAnsi="宋体" w:eastAsia="宋体"/>
          <w:sz w:val="21"/>
        </w:rPr>
        <w:id w:val="147453514"/>
        <w:docPartObj>
          <w:docPartGallery w:val="Table of Contents"/>
          <w:docPartUnique/>
        </w:docPartObj>
      </w:sdtPr>
      <w:sdtEndPr>
        <w:rPr>
          <w:rFonts w:ascii="Times New Roman" w:hAnsi="Times New Roman" w:eastAsia="仿宋" w:cs="Times New Roman"/>
          <w:sz w:val="28"/>
        </w:rPr>
      </w:sdtEndPr>
      <w:sdtContent>
        <w:p w14:paraId="7B67FE22">
          <w:pPr>
            <w:spacing w:line="240" w:lineRule="auto"/>
            <w:ind w:firstLine="0" w:firstLineChars="0"/>
            <w:jc w:val="center"/>
            <w:rPr>
              <w:rFonts w:cs="Times New Roman"/>
              <w:sz w:val="21"/>
              <w:szCs w:val="21"/>
            </w:rPr>
          </w:pPr>
          <w:r>
            <w:rPr>
              <w:rFonts w:cs="Times New Roman"/>
              <w:b/>
              <w:bCs/>
              <w:szCs w:val="28"/>
            </w:rPr>
            <w:t>目</w:t>
          </w:r>
          <w:r>
            <w:rPr>
              <w:rFonts w:hint="eastAsia" w:cs="Times New Roman"/>
              <w:b/>
              <w:bCs/>
              <w:szCs w:val="28"/>
              <w:lang w:val="en-US"/>
            </w:rPr>
            <w:t xml:space="preserve">  </w:t>
          </w:r>
          <w:r>
            <w:rPr>
              <w:rFonts w:cs="Times New Roman"/>
              <w:b/>
              <w:bCs/>
              <w:szCs w:val="28"/>
            </w:rPr>
            <w:t>录</w:t>
          </w:r>
        </w:p>
        <w:p w14:paraId="3C822D9E">
          <w:pPr>
            <w:pStyle w:val="15"/>
            <w:tabs>
              <w:tab w:val="right" w:leader="dot" w:pos="8306"/>
            </w:tabs>
          </w:pPr>
          <w:r>
            <w:rPr>
              <w:rFonts w:ascii="Times New Roman" w:hAnsi="Times New Roman" w:cs="Times New Roman"/>
            </w:rPr>
            <w:fldChar w:fldCharType="begin"/>
          </w:r>
          <w:r>
            <w:rPr>
              <w:rFonts w:ascii="Times New Roman" w:hAnsi="Times New Roman" w:cs="Times New Roman"/>
            </w:rPr>
            <w:instrText xml:space="preserve">TOC \o "1-3" \h \u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HYPERLINK \l _Toc17696 </w:instrText>
          </w:r>
          <w:r>
            <w:rPr>
              <w:rFonts w:ascii="Times New Roman" w:hAnsi="Times New Roman" w:cs="Times New Roman"/>
            </w:rPr>
            <w:fldChar w:fldCharType="separate"/>
          </w:r>
          <w:r>
            <w:t>第一章</w:t>
          </w:r>
          <w:r>
            <w:rPr>
              <w:rFonts w:hint="eastAsia"/>
            </w:rPr>
            <w:t xml:space="preserve">  </w:t>
          </w:r>
          <w:r>
            <w:t>流域水生态环境状况</w:t>
          </w:r>
          <w:r>
            <w:tab/>
          </w:r>
          <w:r>
            <w:fldChar w:fldCharType="begin"/>
          </w:r>
          <w:r>
            <w:instrText xml:space="preserve"> PAGEREF _Toc17696 \h </w:instrText>
          </w:r>
          <w:r>
            <w:fldChar w:fldCharType="separate"/>
          </w:r>
          <w:r>
            <w:t>1</w:t>
          </w:r>
          <w:r>
            <w:fldChar w:fldCharType="end"/>
          </w:r>
          <w:r>
            <w:rPr>
              <w:rFonts w:ascii="Times New Roman" w:hAnsi="Times New Roman" w:cs="Times New Roman"/>
            </w:rPr>
            <w:fldChar w:fldCharType="end"/>
          </w:r>
        </w:p>
        <w:p w14:paraId="45A5D029">
          <w:pPr>
            <w:pStyle w:val="16"/>
            <w:tabs>
              <w:tab w:val="right" w:leader="dot" w:pos="8306"/>
            </w:tabs>
          </w:pPr>
          <w:r>
            <w:rPr>
              <w:rFonts w:cs="Times New Roman"/>
              <w:szCs w:val="21"/>
            </w:rPr>
            <w:fldChar w:fldCharType="begin"/>
          </w:r>
          <w:r>
            <w:rPr>
              <w:rFonts w:cs="Times New Roman"/>
              <w:szCs w:val="21"/>
            </w:rPr>
            <w:instrText xml:space="preserve"> HYPERLINK \l _Toc31907 </w:instrText>
          </w:r>
          <w:r>
            <w:rPr>
              <w:rFonts w:cs="Times New Roman"/>
              <w:szCs w:val="21"/>
            </w:rPr>
            <w:fldChar w:fldCharType="separate"/>
          </w:r>
          <w:r>
            <w:t>第一节</w:t>
          </w:r>
          <w:r>
            <w:rPr>
              <w:rFonts w:hint="eastAsia"/>
            </w:rPr>
            <w:t xml:space="preserve">  </w:t>
          </w:r>
          <w:r>
            <w:t>流域概况</w:t>
          </w:r>
          <w:r>
            <w:tab/>
          </w:r>
          <w:r>
            <w:fldChar w:fldCharType="begin"/>
          </w:r>
          <w:r>
            <w:instrText xml:space="preserve"> PAGEREF _Toc31907 \h </w:instrText>
          </w:r>
          <w:r>
            <w:fldChar w:fldCharType="separate"/>
          </w:r>
          <w:r>
            <w:t>1</w:t>
          </w:r>
          <w:r>
            <w:fldChar w:fldCharType="end"/>
          </w:r>
          <w:r>
            <w:rPr>
              <w:rFonts w:cs="Times New Roman"/>
              <w:szCs w:val="21"/>
            </w:rPr>
            <w:fldChar w:fldCharType="end"/>
          </w:r>
        </w:p>
        <w:p w14:paraId="31B25004">
          <w:pPr>
            <w:pStyle w:val="16"/>
            <w:tabs>
              <w:tab w:val="right" w:leader="dot" w:pos="8306"/>
            </w:tabs>
          </w:pPr>
          <w:r>
            <w:rPr>
              <w:rFonts w:cs="Times New Roman"/>
              <w:szCs w:val="21"/>
            </w:rPr>
            <w:fldChar w:fldCharType="begin"/>
          </w:r>
          <w:r>
            <w:rPr>
              <w:rFonts w:cs="Times New Roman"/>
              <w:szCs w:val="21"/>
            </w:rPr>
            <w:instrText xml:space="preserve"> HYPERLINK \l _Toc26316 </w:instrText>
          </w:r>
          <w:r>
            <w:rPr>
              <w:rFonts w:cs="Times New Roman"/>
              <w:szCs w:val="21"/>
            </w:rPr>
            <w:fldChar w:fldCharType="separate"/>
          </w:r>
          <w:r>
            <w:t>第二节</w:t>
          </w:r>
          <w:r>
            <w:rPr>
              <w:rFonts w:hint="eastAsia"/>
            </w:rPr>
            <w:t xml:space="preserve">  </w:t>
          </w:r>
          <w:r>
            <w:t>水环境质量状况</w:t>
          </w:r>
          <w:r>
            <w:tab/>
          </w:r>
          <w:r>
            <w:fldChar w:fldCharType="begin"/>
          </w:r>
          <w:r>
            <w:instrText xml:space="preserve"> PAGEREF _Toc26316 \h </w:instrText>
          </w:r>
          <w:r>
            <w:fldChar w:fldCharType="separate"/>
          </w:r>
          <w:r>
            <w:t>2</w:t>
          </w:r>
          <w:r>
            <w:fldChar w:fldCharType="end"/>
          </w:r>
          <w:r>
            <w:rPr>
              <w:rFonts w:cs="Times New Roman"/>
              <w:szCs w:val="21"/>
            </w:rPr>
            <w:fldChar w:fldCharType="end"/>
          </w:r>
        </w:p>
        <w:p w14:paraId="48CDE837">
          <w:pPr>
            <w:pStyle w:val="16"/>
            <w:tabs>
              <w:tab w:val="right" w:leader="dot" w:pos="8306"/>
            </w:tabs>
          </w:pPr>
          <w:r>
            <w:rPr>
              <w:rFonts w:cs="Times New Roman"/>
              <w:szCs w:val="21"/>
            </w:rPr>
            <w:fldChar w:fldCharType="begin"/>
          </w:r>
          <w:r>
            <w:rPr>
              <w:rFonts w:cs="Times New Roman"/>
              <w:szCs w:val="21"/>
            </w:rPr>
            <w:instrText xml:space="preserve"> HYPERLINK \l _Toc6570 </w:instrText>
          </w:r>
          <w:r>
            <w:rPr>
              <w:rFonts w:cs="Times New Roman"/>
              <w:szCs w:val="21"/>
            </w:rPr>
            <w:fldChar w:fldCharType="separate"/>
          </w:r>
          <w:r>
            <w:t>第三节</w:t>
          </w:r>
          <w:r>
            <w:rPr>
              <w:rFonts w:hint="eastAsia"/>
            </w:rPr>
            <w:t xml:space="preserve">  </w:t>
          </w:r>
          <w:r>
            <w:t>水资源状况</w:t>
          </w:r>
          <w:r>
            <w:tab/>
          </w:r>
          <w:r>
            <w:fldChar w:fldCharType="begin"/>
          </w:r>
          <w:r>
            <w:instrText xml:space="preserve"> PAGEREF _Toc6570 \h </w:instrText>
          </w:r>
          <w:r>
            <w:fldChar w:fldCharType="separate"/>
          </w:r>
          <w:r>
            <w:t>2</w:t>
          </w:r>
          <w:r>
            <w:fldChar w:fldCharType="end"/>
          </w:r>
          <w:r>
            <w:rPr>
              <w:rFonts w:cs="Times New Roman"/>
              <w:szCs w:val="21"/>
            </w:rPr>
            <w:fldChar w:fldCharType="end"/>
          </w:r>
        </w:p>
        <w:p w14:paraId="21AD2491">
          <w:pPr>
            <w:pStyle w:val="16"/>
            <w:tabs>
              <w:tab w:val="right" w:leader="dot" w:pos="8306"/>
            </w:tabs>
          </w:pPr>
          <w:r>
            <w:rPr>
              <w:rFonts w:cs="Times New Roman"/>
              <w:szCs w:val="21"/>
            </w:rPr>
            <w:fldChar w:fldCharType="begin"/>
          </w:r>
          <w:r>
            <w:rPr>
              <w:rFonts w:cs="Times New Roman"/>
              <w:szCs w:val="21"/>
            </w:rPr>
            <w:instrText xml:space="preserve"> HYPERLINK \l _Toc691 </w:instrText>
          </w:r>
          <w:r>
            <w:rPr>
              <w:rFonts w:cs="Times New Roman"/>
              <w:szCs w:val="21"/>
            </w:rPr>
            <w:fldChar w:fldCharType="separate"/>
          </w:r>
          <w:r>
            <w:t>第四节</w:t>
          </w:r>
          <w:r>
            <w:rPr>
              <w:rFonts w:hint="eastAsia"/>
            </w:rPr>
            <w:t xml:space="preserve">  </w:t>
          </w:r>
          <w:r>
            <w:t>水生态状况</w:t>
          </w:r>
          <w:r>
            <w:tab/>
          </w:r>
          <w:r>
            <w:fldChar w:fldCharType="begin"/>
          </w:r>
          <w:r>
            <w:instrText xml:space="preserve"> PAGEREF _Toc691 \h </w:instrText>
          </w:r>
          <w:r>
            <w:fldChar w:fldCharType="separate"/>
          </w:r>
          <w:r>
            <w:t>3</w:t>
          </w:r>
          <w:r>
            <w:fldChar w:fldCharType="end"/>
          </w:r>
          <w:r>
            <w:rPr>
              <w:rFonts w:cs="Times New Roman"/>
              <w:szCs w:val="21"/>
            </w:rPr>
            <w:fldChar w:fldCharType="end"/>
          </w:r>
        </w:p>
        <w:p w14:paraId="206FFF93">
          <w:pPr>
            <w:pStyle w:val="15"/>
            <w:tabs>
              <w:tab w:val="right" w:leader="dot" w:pos="8306"/>
            </w:tabs>
          </w:pPr>
          <w:r>
            <w:rPr>
              <w:rFonts w:cs="Times New Roman"/>
              <w:szCs w:val="21"/>
            </w:rPr>
            <w:fldChar w:fldCharType="begin"/>
          </w:r>
          <w:r>
            <w:rPr>
              <w:rFonts w:cs="Times New Roman"/>
              <w:szCs w:val="21"/>
            </w:rPr>
            <w:instrText xml:space="preserve"> HYPERLINK \l _Toc413 </w:instrText>
          </w:r>
          <w:r>
            <w:rPr>
              <w:rFonts w:cs="Times New Roman"/>
              <w:szCs w:val="21"/>
            </w:rPr>
            <w:fldChar w:fldCharType="separate"/>
          </w:r>
          <w:r>
            <w:rPr>
              <w:rFonts w:hint="eastAsia"/>
            </w:rPr>
            <w:t>第二章  “十三五”成效经验及“十四五”面临挑战</w:t>
          </w:r>
          <w:r>
            <w:tab/>
          </w:r>
          <w:r>
            <w:fldChar w:fldCharType="begin"/>
          </w:r>
          <w:r>
            <w:instrText xml:space="preserve"> PAGEREF _Toc413 \h </w:instrText>
          </w:r>
          <w:r>
            <w:fldChar w:fldCharType="separate"/>
          </w:r>
          <w:r>
            <w:t>1</w:t>
          </w:r>
          <w:r>
            <w:fldChar w:fldCharType="end"/>
          </w:r>
          <w:r>
            <w:rPr>
              <w:rFonts w:cs="Times New Roman"/>
              <w:szCs w:val="21"/>
            </w:rPr>
            <w:fldChar w:fldCharType="end"/>
          </w:r>
        </w:p>
        <w:p w14:paraId="63330742">
          <w:pPr>
            <w:pStyle w:val="16"/>
            <w:tabs>
              <w:tab w:val="right" w:leader="dot" w:pos="8306"/>
            </w:tabs>
          </w:pPr>
          <w:r>
            <w:rPr>
              <w:rFonts w:cs="Times New Roman"/>
              <w:szCs w:val="21"/>
            </w:rPr>
            <w:fldChar w:fldCharType="begin"/>
          </w:r>
          <w:r>
            <w:rPr>
              <w:rFonts w:cs="Times New Roman"/>
              <w:szCs w:val="21"/>
            </w:rPr>
            <w:instrText xml:space="preserve"> HYPERLINK \l _Toc23035 </w:instrText>
          </w:r>
          <w:r>
            <w:rPr>
              <w:rFonts w:cs="Times New Roman"/>
              <w:szCs w:val="21"/>
            </w:rPr>
            <w:fldChar w:fldCharType="separate"/>
          </w:r>
          <w:r>
            <w:rPr>
              <w:rFonts w:hint="eastAsia"/>
            </w:rPr>
            <w:t>第一节  “</w:t>
          </w:r>
          <w:r>
            <w:t>十三五</w:t>
          </w:r>
          <w:r>
            <w:rPr>
              <w:rFonts w:hint="eastAsia"/>
            </w:rPr>
            <w:t>”</w:t>
          </w:r>
          <w:r>
            <w:t>水生态环境保护成效与经验</w:t>
          </w:r>
          <w:r>
            <w:tab/>
          </w:r>
          <w:r>
            <w:fldChar w:fldCharType="begin"/>
          </w:r>
          <w:r>
            <w:instrText xml:space="preserve"> PAGEREF _Toc23035 \h </w:instrText>
          </w:r>
          <w:r>
            <w:fldChar w:fldCharType="separate"/>
          </w:r>
          <w:r>
            <w:t>1</w:t>
          </w:r>
          <w:r>
            <w:fldChar w:fldCharType="end"/>
          </w:r>
          <w:r>
            <w:rPr>
              <w:rFonts w:cs="Times New Roman"/>
              <w:szCs w:val="21"/>
            </w:rPr>
            <w:fldChar w:fldCharType="end"/>
          </w:r>
        </w:p>
        <w:p w14:paraId="2CDFB617">
          <w:pPr>
            <w:pStyle w:val="16"/>
            <w:tabs>
              <w:tab w:val="right" w:leader="dot" w:pos="8306"/>
            </w:tabs>
          </w:pPr>
          <w:r>
            <w:rPr>
              <w:rFonts w:cs="Times New Roman"/>
              <w:szCs w:val="21"/>
            </w:rPr>
            <w:fldChar w:fldCharType="begin"/>
          </w:r>
          <w:r>
            <w:rPr>
              <w:rFonts w:cs="Times New Roman"/>
              <w:szCs w:val="21"/>
            </w:rPr>
            <w:instrText xml:space="preserve"> HYPERLINK \l _Toc2047 </w:instrText>
          </w:r>
          <w:r>
            <w:rPr>
              <w:rFonts w:cs="Times New Roman"/>
              <w:szCs w:val="21"/>
            </w:rPr>
            <w:fldChar w:fldCharType="separate"/>
          </w:r>
          <w:r>
            <w:t>第二节</w:t>
          </w:r>
          <w:r>
            <w:rPr>
              <w:rFonts w:hint="eastAsia"/>
            </w:rPr>
            <w:t xml:space="preserve">  “十四五”面临的挑战</w:t>
          </w:r>
          <w:r>
            <w:tab/>
          </w:r>
          <w:r>
            <w:fldChar w:fldCharType="begin"/>
          </w:r>
          <w:r>
            <w:instrText xml:space="preserve"> PAGEREF _Toc2047 \h </w:instrText>
          </w:r>
          <w:r>
            <w:fldChar w:fldCharType="separate"/>
          </w:r>
          <w:r>
            <w:t>2</w:t>
          </w:r>
          <w:r>
            <w:fldChar w:fldCharType="end"/>
          </w:r>
          <w:r>
            <w:rPr>
              <w:rFonts w:cs="Times New Roman"/>
              <w:szCs w:val="21"/>
            </w:rPr>
            <w:fldChar w:fldCharType="end"/>
          </w:r>
        </w:p>
        <w:p w14:paraId="249B1D0B">
          <w:pPr>
            <w:pStyle w:val="15"/>
            <w:tabs>
              <w:tab w:val="right" w:leader="dot" w:pos="8306"/>
            </w:tabs>
          </w:pPr>
          <w:r>
            <w:rPr>
              <w:rFonts w:cs="Times New Roman"/>
              <w:szCs w:val="21"/>
            </w:rPr>
            <w:fldChar w:fldCharType="begin"/>
          </w:r>
          <w:r>
            <w:rPr>
              <w:rFonts w:cs="Times New Roman"/>
              <w:szCs w:val="21"/>
            </w:rPr>
            <w:instrText xml:space="preserve"> HYPERLINK \l _Toc30021 </w:instrText>
          </w:r>
          <w:r>
            <w:rPr>
              <w:rFonts w:cs="Times New Roman"/>
              <w:szCs w:val="21"/>
            </w:rPr>
            <w:fldChar w:fldCharType="separate"/>
          </w:r>
          <w:r>
            <w:t xml:space="preserve">第三章 </w:t>
          </w:r>
          <w:r>
            <w:rPr>
              <w:rFonts w:hint="eastAsia"/>
              <w:lang w:val="en-US" w:eastAsia="zh-CN"/>
            </w:rPr>
            <w:t xml:space="preserve"> </w:t>
          </w:r>
          <w:r>
            <w:t>总体要求</w:t>
          </w:r>
          <w:r>
            <w:tab/>
          </w:r>
          <w:r>
            <w:fldChar w:fldCharType="begin"/>
          </w:r>
          <w:r>
            <w:instrText xml:space="preserve"> PAGEREF _Toc30021 \h </w:instrText>
          </w:r>
          <w:r>
            <w:fldChar w:fldCharType="separate"/>
          </w:r>
          <w:r>
            <w:t>4</w:t>
          </w:r>
          <w:r>
            <w:fldChar w:fldCharType="end"/>
          </w:r>
          <w:r>
            <w:rPr>
              <w:rFonts w:cs="Times New Roman"/>
              <w:szCs w:val="21"/>
            </w:rPr>
            <w:fldChar w:fldCharType="end"/>
          </w:r>
        </w:p>
        <w:p w14:paraId="0F18DE3A">
          <w:pPr>
            <w:pStyle w:val="16"/>
            <w:tabs>
              <w:tab w:val="right" w:leader="dot" w:pos="8306"/>
            </w:tabs>
          </w:pPr>
          <w:r>
            <w:rPr>
              <w:rFonts w:cs="Times New Roman"/>
              <w:szCs w:val="21"/>
            </w:rPr>
            <w:fldChar w:fldCharType="begin"/>
          </w:r>
          <w:r>
            <w:rPr>
              <w:rFonts w:cs="Times New Roman"/>
              <w:szCs w:val="21"/>
            </w:rPr>
            <w:instrText xml:space="preserve"> HYPERLINK \l _Toc12653 </w:instrText>
          </w:r>
          <w:r>
            <w:rPr>
              <w:rFonts w:cs="Times New Roman"/>
              <w:szCs w:val="21"/>
            </w:rPr>
            <w:fldChar w:fldCharType="separate"/>
          </w:r>
          <w:r>
            <w:t>第一节</w:t>
          </w:r>
          <w:r>
            <w:rPr>
              <w:rFonts w:hint="eastAsia"/>
            </w:rPr>
            <w:t xml:space="preserve">  </w:t>
          </w:r>
          <w:r>
            <w:t>指导思想</w:t>
          </w:r>
          <w:r>
            <w:tab/>
          </w:r>
          <w:r>
            <w:fldChar w:fldCharType="begin"/>
          </w:r>
          <w:r>
            <w:instrText xml:space="preserve"> PAGEREF _Toc12653 \h </w:instrText>
          </w:r>
          <w:r>
            <w:fldChar w:fldCharType="separate"/>
          </w:r>
          <w:r>
            <w:t>4</w:t>
          </w:r>
          <w:r>
            <w:fldChar w:fldCharType="end"/>
          </w:r>
          <w:r>
            <w:rPr>
              <w:rFonts w:cs="Times New Roman"/>
              <w:szCs w:val="21"/>
            </w:rPr>
            <w:fldChar w:fldCharType="end"/>
          </w:r>
        </w:p>
        <w:p w14:paraId="484A710F">
          <w:pPr>
            <w:pStyle w:val="16"/>
            <w:tabs>
              <w:tab w:val="right" w:leader="dot" w:pos="8306"/>
            </w:tabs>
          </w:pPr>
          <w:r>
            <w:rPr>
              <w:rFonts w:cs="Times New Roman"/>
              <w:szCs w:val="21"/>
            </w:rPr>
            <w:fldChar w:fldCharType="begin"/>
          </w:r>
          <w:r>
            <w:rPr>
              <w:rFonts w:cs="Times New Roman"/>
              <w:szCs w:val="21"/>
            </w:rPr>
            <w:instrText xml:space="preserve"> HYPERLINK \l _Toc29493 </w:instrText>
          </w:r>
          <w:r>
            <w:rPr>
              <w:rFonts w:cs="Times New Roman"/>
              <w:szCs w:val="21"/>
            </w:rPr>
            <w:fldChar w:fldCharType="separate"/>
          </w:r>
          <w:r>
            <w:t>第二节</w:t>
          </w:r>
          <w:r>
            <w:rPr>
              <w:rFonts w:hint="eastAsia"/>
            </w:rPr>
            <w:t xml:space="preserve">  </w:t>
          </w:r>
          <w:r>
            <w:t>基本原则</w:t>
          </w:r>
          <w:r>
            <w:tab/>
          </w:r>
          <w:r>
            <w:fldChar w:fldCharType="begin"/>
          </w:r>
          <w:r>
            <w:instrText xml:space="preserve"> PAGEREF _Toc29493 \h </w:instrText>
          </w:r>
          <w:r>
            <w:fldChar w:fldCharType="separate"/>
          </w:r>
          <w:r>
            <w:t>4</w:t>
          </w:r>
          <w:r>
            <w:fldChar w:fldCharType="end"/>
          </w:r>
          <w:r>
            <w:rPr>
              <w:rFonts w:cs="Times New Roman"/>
              <w:szCs w:val="21"/>
            </w:rPr>
            <w:fldChar w:fldCharType="end"/>
          </w:r>
        </w:p>
        <w:p w14:paraId="406843FB">
          <w:pPr>
            <w:pStyle w:val="16"/>
            <w:tabs>
              <w:tab w:val="right" w:leader="dot" w:pos="8306"/>
            </w:tabs>
          </w:pPr>
          <w:r>
            <w:rPr>
              <w:rFonts w:cs="Times New Roman"/>
              <w:szCs w:val="21"/>
            </w:rPr>
            <w:fldChar w:fldCharType="begin"/>
          </w:r>
          <w:r>
            <w:rPr>
              <w:rFonts w:cs="Times New Roman"/>
              <w:szCs w:val="21"/>
            </w:rPr>
            <w:instrText xml:space="preserve"> HYPERLINK \l _Toc1167 </w:instrText>
          </w:r>
          <w:r>
            <w:rPr>
              <w:rFonts w:cs="Times New Roman"/>
              <w:szCs w:val="21"/>
            </w:rPr>
            <w:fldChar w:fldCharType="separate"/>
          </w:r>
          <w:r>
            <w:t>第三节</w:t>
          </w:r>
          <w:r>
            <w:rPr>
              <w:rFonts w:hint="eastAsia"/>
            </w:rPr>
            <w:t xml:space="preserve">  </w:t>
          </w:r>
          <w:r>
            <w:t>总体思路和布局</w:t>
          </w:r>
          <w:r>
            <w:tab/>
          </w:r>
          <w:r>
            <w:fldChar w:fldCharType="begin"/>
          </w:r>
          <w:r>
            <w:instrText xml:space="preserve"> PAGEREF _Toc1167 \h </w:instrText>
          </w:r>
          <w:r>
            <w:fldChar w:fldCharType="separate"/>
          </w:r>
          <w:r>
            <w:t>5</w:t>
          </w:r>
          <w:r>
            <w:fldChar w:fldCharType="end"/>
          </w:r>
          <w:r>
            <w:rPr>
              <w:rFonts w:cs="Times New Roman"/>
              <w:szCs w:val="21"/>
            </w:rPr>
            <w:fldChar w:fldCharType="end"/>
          </w:r>
        </w:p>
        <w:p w14:paraId="767D818C">
          <w:pPr>
            <w:pStyle w:val="16"/>
            <w:tabs>
              <w:tab w:val="right" w:leader="dot" w:pos="8306"/>
            </w:tabs>
          </w:pPr>
          <w:r>
            <w:rPr>
              <w:rFonts w:cs="Times New Roman"/>
              <w:szCs w:val="21"/>
            </w:rPr>
            <w:fldChar w:fldCharType="begin"/>
          </w:r>
          <w:r>
            <w:rPr>
              <w:rFonts w:cs="Times New Roman"/>
              <w:szCs w:val="21"/>
            </w:rPr>
            <w:instrText xml:space="preserve"> HYPERLINK \l _Toc24606 </w:instrText>
          </w:r>
          <w:r>
            <w:rPr>
              <w:rFonts w:cs="Times New Roman"/>
              <w:szCs w:val="21"/>
            </w:rPr>
            <w:fldChar w:fldCharType="separate"/>
          </w:r>
          <w:r>
            <w:t>第四节</w:t>
          </w:r>
          <w:r>
            <w:rPr>
              <w:rFonts w:hint="eastAsia"/>
            </w:rPr>
            <w:t xml:space="preserve">  </w:t>
          </w:r>
          <w:r>
            <w:t>规划目标与指标</w:t>
          </w:r>
          <w:r>
            <w:tab/>
          </w:r>
          <w:r>
            <w:fldChar w:fldCharType="begin"/>
          </w:r>
          <w:r>
            <w:instrText xml:space="preserve"> PAGEREF _Toc24606 \h </w:instrText>
          </w:r>
          <w:r>
            <w:fldChar w:fldCharType="separate"/>
          </w:r>
          <w:r>
            <w:t>5</w:t>
          </w:r>
          <w:r>
            <w:fldChar w:fldCharType="end"/>
          </w:r>
          <w:r>
            <w:rPr>
              <w:rFonts w:cs="Times New Roman"/>
              <w:szCs w:val="21"/>
            </w:rPr>
            <w:fldChar w:fldCharType="end"/>
          </w:r>
        </w:p>
        <w:p w14:paraId="51B59522">
          <w:pPr>
            <w:pStyle w:val="15"/>
            <w:tabs>
              <w:tab w:val="right" w:leader="dot" w:pos="8306"/>
            </w:tabs>
          </w:pPr>
          <w:r>
            <w:rPr>
              <w:rFonts w:cs="Times New Roman"/>
              <w:szCs w:val="21"/>
            </w:rPr>
            <w:fldChar w:fldCharType="begin"/>
          </w:r>
          <w:r>
            <w:rPr>
              <w:rFonts w:cs="Times New Roman"/>
              <w:szCs w:val="21"/>
            </w:rPr>
            <w:instrText xml:space="preserve"> HYPERLINK \l _Toc9100 </w:instrText>
          </w:r>
          <w:r>
            <w:rPr>
              <w:rFonts w:cs="Times New Roman"/>
              <w:szCs w:val="21"/>
            </w:rPr>
            <w:fldChar w:fldCharType="separate"/>
          </w:r>
          <w:r>
            <w:t>第四章</w:t>
          </w:r>
          <w:r>
            <w:rPr>
              <w:rFonts w:hint="eastAsia"/>
              <w:lang w:val="en-US" w:eastAsia="zh-CN"/>
            </w:rPr>
            <w:t xml:space="preserve"> </w:t>
          </w:r>
          <w:r>
            <w:t xml:space="preserve"> 规划任务</w:t>
          </w:r>
          <w:r>
            <w:tab/>
          </w:r>
          <w:r>
            <w:fldChar w:fldCharType="begin"/>
          </w:r>
          <w:r>
            <w:instrText xml:space="preserve"> PAGEREF _Toc9100 \h </w:instrText>
          </w:r>
          <w:r>
            <w:fldChar w:fldCharType="separate"/>
          </w:r>
          <w:r>
            <w:t>8</w:t>
          </w:r>
          <w:r>
            <w:fldChar w:fldCharType="end"/>
          </w:r>
          <w:r>
            <w:rPr>
              <w:rFonts w:cs="Times New Roman"/>
              <w:szCs w:val="21"/>
            </w:rPr>
            <w:fldChar w:fldCharType="end"/>
          </w:r>
        </w:p>
        <w:p w14:paraId="337A4966">
          <w:pPr>
            <w:pStyle w:val="16"/>
            <w:tabs>
              <w:tab w:val="right" w:leader="dot" w:pos="8306"/>
            </w:tabs>
          </w:pPr>
          <w:r>
            <w:rPr>
              <w:rFonts w:cs="Times New Roman"/>
              <w:szCs w:val="21"/>
            </w:rPr>
            <w:fldChar w:fldCharType="begin"/>
          </w:r>
          <w:r>
            <w:rPr>
              <w:rFonts w:cs="Times New Roman"/>
              <w:szCs w:val="21"/>
            </w:rPr>
            <w:instrText xml:space="preserve"> HYPERLINK \l _Toc2082 </w:instrText>
          </w:r>
          <w:r>
            <w:rPr>
              <w:rFonts w:cs="Times New Roman"/>
              <w:szCs w:val="21"/>
            </w:rPr>
            <w:fldChar w:fldCharType="separate"/>
          </w:r>
          <w:r>
            <w:rPr>
              <w:rFonts w:hint="eastAsia"/>
            </w:rPr>
            <w:t>第一节  加强水资源、水生态、水环境系统治理</w:t>
          </w:r>
          <w:r>
            <w:tab/>
          </w:r>
          <w:r>
            <w:fldChar w:fldCharType="begin"/>
          </w:r>
          <w:r>
            <w:instrText xml:space="preserve"> PAGEREF _Toc2082 \h </w:instrText>
          </w:r>
          <w:r>
            <w:fldChar w:fldCharType="separate"/>
          </w:r>
          <w:r>
            <w:t>8</w:t>
          </w:r>
          <w:r>
            <w:fldChar w:fldCharType="end"/>
          </w:r>
          <w:r>
            <w:rPr>
              <w:rFonts w:cs="Times New Roman"/>
              <w:szCs w:val="21"/>
            </w:rPr>
            <w:fldChar w:fldCharType="end"/>
          </w:r>
        </w:p>
        <w:p w14:paraId="32B0170F">
          <w:pPr>
            <w:pStyle w:val="16"/>
            <w:tabs>
              <w:tab w:val="right" w:leader="dot" w:pos="8306"/>
            </w:tabs>
          </w:pPr>
          <w:r>
            <w:rPr>
              <w:rFonts w:cs="Times New Roman"/>
              <w:szCs w:val="21"/>
            </w:rPr>
            <w:fldChar w:fldCharType="begin"/>
          </w:r>
          <w:r>
            <w:rPr>
              <w:rFonts w:cs="Times New Roman"/>
              <w:szCs w:val="21"/>
            </w:rPr>
            <w:instrText xml:space="preserve"> HYPERLINK \l _Toc31279 </w:instrText>
          </w:r>
          <w:r>
            <w:rPr>
              <w:rFonts w:cs="Times New Roman"/>
              <w:szCs w:val="21"/>
            </w:rPr>
            <w:fldChar w:fldCharType="separate"/>
          </w:r>
          <w:r>
            <w:rPr>
              <w:rFonts w:hint="eastAsia"/>
            </w:rPr>
            <w:t xml:space="preserve">第二节  </w:t>
          </w:r>
          <w:r>
            <w:t>加强饮用水水源保护</w:t>
          </w:r>
          <w:r>
            <w:tab/>
          </w:r>
          <w:r>
            <w:fldChar w:fldCharType="begin"/>
          </w:r>
          <w:r>
            <w:instrText xml:space="preserve"> PAGEREF _Toc31279 \h </w:instrText>
          </w:r>
          <w:r>
            <w:fldChar w:fldCharType="separate"/>
          </w:r>
          <w:r>
            <w:t>8</w:t>
          </w:r>
          <w:r>
            <w:fldChar w:fldCharType="end"/>
          </w:r>
          <w:r>
            <w:rPr>
              <w:rFonts w:cs="Times New Roman"/>
              <w:szCs w:val="21"/>
            </w:rPr>
            <w:fldChar w:fldCharType="end"/>
          </w:r>
        </w:p>
        <w:p w14:paraId="392FBB98">
          <w:pPr>
            <w:pStyle w:val="16"/>
            <w:tabs>
              <w:tab w:val="right" w:leader="dot" w:pos="8306"/>
            </w:tabs>
          </w:pPr>
          <w:r>
            <w:rPr>
              <w:rFonts w:cs="Times New Roman"/>
              <w:szCs w:val="21"/>
            </w:rPr>
            <w:fldChar w:fldCharType="begin"/>
          </w:r>
          <w:r>
            <w:rPr>
              <w:rFonts w:cs="Times New Roman"/>
              <w:szCs w:val="21"/>
            </w:rPr>
            <w:instrText xml:space="preserve"> HYPERLINK \l _Toc32587 </w:instrText>
          </w:r>
          <w:r>
            <w:rPr>
              <w:rFonts w:cs="Times New Roman"/>
              <w:szCs w:val="21"/>
            </w:rPr>
            <w:fldChar w:fldCharType="separate"/>
          </w:r>
          <w:r>
            <w:t>第三节</w:t>
          </w:r>
          <w:r>
            <w:rPr>
              <w:rFonts w:hint="eastAsia"/>
            </w:rPr>
            <w:t xml:space="preserve">  </w:t>
          </w:r>
          <w:r>
            <w:t>持续深化水污染治理</w:t>
          </w:r>
          <w:r>
            <w:tab/>
          </w:r>
          <w:r>
            <w:fldChar w:fldCharType="begin"/>
          </w:r>
          <w:r>
            <w:instrText xml:space="preserve"> PAGEREF _Toc32587 \h </w:instrText>
          </w:r>
          <w:r>
            <w:fldChar w:fldCharType="separate"/>
          </w:r>
          <w:r>
            <w:t>10</w:t>
          </w:r>
          <w:r>
            <w:fldChar w:fldCharType="end"/>
          </w:r>
          <w:r>
            <w:rPr>
              <w:rFonts w:cs="Times New Roman"/>
              <w:szCs w:val="21"/>
            </w:rPr>
            <w:fldChar w:fldCharType="end"/>
          </w:r>
        </w:p>
        <w:p w14:paraId="42517461">
          <w:pPr>
            <w:pStyle w:val="16"/>
            <w:tabs>
              <w:tab w:val="right" w:leader="dot" w:pos="8306"/>
            </w:tabs>
          </w:pPr>
          <w:r>
            <w:rPr>
              <w:rFonts w:cs="Times New Roman"/>
              <w:szCs w:val="21"/>
            </w:rPr>
            <w:fldChar w:fldCharType="begin"/>
          </w:r>
          <w:r>
            <w:rPr>
              <w:rFonts w:cs="Times New Roman"/>
              <w:szCs w:val="21"/>
            </w:rPr>
            <w:instrText xml:space="preserve"> HYPERLINK \l _Toc28190 </w:instrText>
          </w:r>
          <w:r>
            <w:rPr>
              <w:rFonts w:cs="Times New Roman"/>
              <w:szCs w:val="21"/>
            </w:rPr>
            <w:fldChar w:fldCharType="separate"/>
          </w:r>
          <w:r>
            <w:t>第四节</w:t>
          </w:r>
          <w:r>
            <w:rPr>
              <w:rFonts w:hint="eastAsia"/>
            </w:rPr>
            <w:t xml:space="preserve">  </w:t>
          </w:r>
          <w:r>
            <w:t>积极推动水生态保护与修复</w:t>
          </w:r>
          <w:r>
            <w:tab/>
          </w:r>
          <w:r>
            <w:fldChar w:fldCharType="begin"/>
          </w:r>
          <w:r>
            <w:instrText xml:space="preserve"> PAGEREF _Toc28190 \h </w:instrText>
          </w:r>
          <w:r>
            <w:fldChar w:fldCharType="separate"/>
          </w:r>
          <w:r>
            <w:t>13</w:t>
          </w:r>
          <w:r>
            <w:fldChar w:fldCharType="end"/>
          </w:r>
          <w:r>
            <w:rPr>
              <w:rFonts w:cs="Times New Roman"/>
              <w:szCs w:val="21"/>
            </w:rPr>
            <w:fldChar w:fldCharType="end"/>
          </w:r>
        </w:p>
        <w:p w14:paraId="75A9545C">
          <w:pPr>
            <w:pStyle w:val="16"/>
            <w:tabs>
              <w:tab w:val="right" w:leader="dot" w:pos="8306"/>
            </w:tabs>
          </w:pPr>
          <w:r>
            <w:rPr>
              <w:rFonts w:cs="Times New Roman"/>
              <w:szCs w:val="21"/>
            </w:rPr>
            <w:fldChar w:fldCharType="begin"/>
          </w:r>
          <w:r>
            <w:rPr>
              <w:rFonts w:cs="Times New Roman"/>
              <w:szCs w:val="21"/>
            </w:rPr>
            <w:instrText xml:space="preserve"> HYPERLINK \l _Toc14179 </w:instrText>
          </w:r>
          <w:r>
            <w:rPr>
              <w:rFonts w:cs="Times New Roman"/>
              <w:szCs w:val="21"/>
            </w:rPr>
            <w:fldChar w:fldCharType="separate"/>
          </w:r>
          <w:r>
            <w:rPr>
              <w:rFonts w:hint="eastAsia"/>
            </w:rPr>
            <w:t>第五节  着力保障河湖生态用水</w:t>
          </w:r>
          <w:r>
            <w:tab/>
          </w:r>
          <w:r>
            <w:fldChar w:fldCharType="begin"/>
          </w:r>
          <w:r>
            <w:instrText xml:space="preserve"> PAGEREF _Toc14179 \h </w:instrText>
          </w:r>
          <w:r>
            <w:fldChar w:fldCharType="separate"/>
          </w:r>
          <w:r>
            <w:t>15</w:t>
          </w:r>
          <w:r>
            <w:fldChar w:fldCharType="end"/>
          </w:r>
          <w:r>
            <w:rPr>
              <w:rFonts w:cs="Times New Roman"/>
              <w:szCs w:val="21"/>
            </w:rPr>
            <w:fldChar w:fldCharType="end"/>
          </w:r>
        </w:p>
        <w:p w14:paraId="5598ED9D">
          <w:pPr>
            <w:pStyle w:val="16"/>
            <w:tabs>
              <w:tab w:val="right" w:leader="dot" w:pos="8306"/>
            </w:tabs>
          </w:pPr>
          <w:r>
            <w:rPr>
              <w:rFonts w:cs="Times New Roman"/>
              <w:szCs w:val="21"/>
            </w:rPr>
            <w:fldChar w:fldCharType="begin"/>
          </w:r>
          <w:r>
            <w:rPr>
              <w:rFonts w:cs="Times New Roman"/>
              <w:szCs w:val="21"/>
            </w:rPr>
            <w:instrText xml:space="preserve"> HYPERLINK \l _Toc10700 </w:instrText>
          </w:r>
          <w:r>
            <w:rPr>
              <w:rFonts w:cs="Times New Roman"/>
              <w:szCs w:val="21"/>
            </w:rPr>
            <w:fldChar w:fldCharType="separate"/>
          </w:r>
          <w:r>
            <w:rPr>
              <w:rFonts w:hint="eastAsia"/>
            </w:rPr>
            <w:t>第六节  有效防范水环境风险</w:t>
          </w:r>
          <w:r>
            <w:tab/>
          </w:r>
          <w:r>
            <w:fldChar w:fldCharType="begin"/>
          </w:r>
          <w:r>
            <w:instrText xml:space="preserve"> PAGEREF _Toc10700 \h </w:instrText>
          </w:r>
          <w:r>
            <w:fldChar w:fldCharType="separate"/>
          </w:r>
          <w:r>
            <w:t>15</w:t>
          </w:r>
          <w:r>
            <w:fldChar w:fldCharType="end"/>
          </w:r>
          <w:r>
            <w:rPr>
              <w:rFonts w:cs="Times New Roman"/>
              <w:szCs w:val="21"/>
            </w:rPr>
            <w:fldChar w:fldCharType="end"/>
          </w:r>
        </w:p>
        <w:p w14:paraId="4BA8845A">
          <w:pPr>
            <w:pStyle w:val="15"/>
            <w:tabs>
              <w:tab w:val="right" w:leader="dot" w:pos="8306"/>
            </w:tabs>
          </w:pPr>
          <w:r>
            <w:rPr>
              <w:rFonts w:cs="Times New Roman"/>
              <w:szCs w:val="21"/>
            </w:rPr>
            <w:fldChar w:fldCharType="begin"/>
          </w:r>
          <w:r>
            <w:rPr>
              <w:rFonts w:cs="Times New Roman"/>
              <w:szCs w:val="21"/>
            </w:rPr>
            <w:instrText xml:space="preserve"> HYPERLINK \l _Toc31125 </w:instrText>
          </w:r>
          <w:r>
            <w:rPr>
              <w:rFonts w:cs="Times New Roman"/>
              <w:szCs w:val="21"/>
            </w:rPr>
            <w:fldChar w:fldCharType="separate"/>
          </w:r>
          <w:r>
            <w:t xml:space="preserve">第五章 </w:t>
          </w:r>
          <w:r>
            <w:rPr>
              <w:rFonts w:hint="eastAsia"/>
              <w:lang w:val="en-US" w:eastAsia="zh-CN"/>
            </w:rPr>
            <w:t xml:space="preserve"> </w:t>
          </w:r>
          <w:r>
            <w:t>主要河湖保护方案</w:t>
          </w:r>
          <w:r>
            <w:tab/>
          </w:r>
          <w:r>
            <w:fldChar w:fldCharType="begin"/>
          </w:r>
          <w:r>
            <w:instrText xml:space="preserve"> PAGEREF _Toc31125 \h </w:instrText>
          </w:r>
          <w:r>
            <w:fldChar w:fldCharType="separate"/>
          </w:r>
          <w:r>
            <w:t>17</w:t>
          </w:r>
          <w:r>
            <w:fldChar w:fldCharType="end"/>
          </w:r>
          <w:r>
            <w:rPr>
              <w:rFonts w:cs="Times New Roman"/>
              <w:szCs w:val="21"/>
            </w:rPr>
            <w:fldChar w:fldCharType="end"/>
          </w:r>
        </w:p>
        <w:p w14:paraId="48164FD2">
          <w:pPr>
            <w:pStyle w:val="16"/>
            <w:tabs>
              <w:tab w:val="right" w:leader="dot" w:pos="8306"/>
            </w:tabs>
          </w:pPr>
          <w:r>
            <w:rPr>
              <w:rFonts w:cs="Times New Roman"/>
              <w:szCs w:val="21"/>
            </w:rPr>
            <w:fldChar w:fldCharType="begin"/>
          </w:r>
          <w:r>
            <w:rPr>
              <w:rFonts w:cs="Times New Roman"/>
              <w:szCs w:val="21"/>
            </w:rPr>
            <w:instrText xml:space="preserve"> HYPERLINK \l _Toc8217 </w:instrText>
          </w:r>
          <w:r>
            <w:rPr>
              <w:rFonts w:cs="Times New Roman"/>
              <w:szCs w:val="21"/>
            </w:rPr>
            <w:fldChar w:fldCharType="separate"/>
          </w:r>
          <w:r>
            <w:rPr>
              <w:rFonts w:hint="eastAsia"/>
            </w:rPr>
            <w:t>第一节  太子河干流</w:t>
          </w:r>
          <w:r>
            <w:tab/>
          </w:r>
          <w:r>
            <w:fldChar w:fldCharType="begin"/>
          </w:r>
          <w:r>
            <w:instrText xml:space="preserve"> PAGEREF _Toc8217 \h </w:instrText>
          </w:r>
          <w:r>
            <w:fldChar w:fldCharType="separate"/>
          </w:r>
          <w:r>
            <w:t>17</w:t>
          </w:r>
          <w:r>
            <w:fldChar w:fldCharType="end"/>
          </w:r>
          <w:r>
            <w:rPr>
              <w:rFonts w:cs="Times New Roman"/>
              <w:szCs w:val="21"/>
            </w:rPr>
            <w:fldChar w:fldCharType="end"/>
          </w:r>
        </w:p>
        <w:p w14:paraId="29B9321E">
          <w:pPr>
            <w:pStyle w:val="16"/>
            <w:tabs>
              <w:tab w:val="right" w:leader="dot" w:pos="8306"/>
            </w:tabs>
          </w:pPr>
          <w:r>
            <w:rPr>
              <w:rFonts w:cs="Times New Roman"/>
              <w:szCs w:val="21"/>
            </w:rPr>
            <w:fldChar w:fldCharType="begin"/>
          </w:r>
          <w:r>
            <w:rPr>
              <w:rFonts w:cs="Times New Roman"/>
              <w:szCs w:val="21"/>
            </w:rPr>
            <w:instrText xml:space="preserve"> HYPERLINK \l _Toc2596 </w:instrText>
          </w:r>
          <w:r>
            <w:rPr>
              <w:rFonts w:cs="Times New Roman"/>
              <w:szCs w:val="21"/>
            </w:rPr>
            <w:fldChar w:fldCharType="separate"/>
          </w:r>
          <w:r>
            <w:t>第二节</w:t>
          </w:r>
          <w:r>
            <w:rPr>
              <w:rFonts w:hint="eastAsia"/>
            </w:rPr>
            <w:t xml:space="preserve">  </w:t>
          </w:r>
          <w:r>
            <w:t>细河</w:t>
          </w:r>
          <w:r>
            <w:tab/>
          </w:r>
          <w:r>
            <w:fldChar w:fldCharType="begin"/>
          </w:r>
          <w:r>
            <w:instrText xml:space="preserve"> PAGEREF _Toc2596 \h </w:instrText>
          </w:r>
          <w:r>
            <w:fldChar w:fldCharType="separate"/>
          </w:r>
          <w:r>
            <w:t>19</w:t>
          </w:r>
          <w:r>
            <w:fldChar w:fldCharType="end"/>
          </w:r>
          <w:r>
            <w:rPr>
              <w:rFonts w:cs="Times New Roman"/>
              <w:szCs w:val="21"/>
            </w:rPr>
            <w:fldChar w:fldCharType="end"/>
          </w:r>
        </w:p>
        <w:p w14:paraId="171E2AE0">
          <w:pPr>
            <w:pStyle w:val="16"/>
            <w:tabs>
              <w:tab w:val="right" w:leader="dot" w:pos="8306"/>
            </w:tabs>
          </w:pPr>
          <w:r>
            <w:rPr>
              <w:rFonts w:cs="Times New Roman"/>
              <w:szCs w:val="21"/>
            </w:rPr>
            <w:fldChar w:fldCharType="begin"/>
          </w:r>
          <w:r>
            <w:rPr>
              <w:rFonts w:cs="Times New Roman"/>
              <w:szCs w:val="21"/>
            </w:rPr>
            <w:instrText xml:space="preserve"> HYPERLINK \l _Toc5551 </w:instrText>
          </w:r>
          <w:r>
            <w:rPr>
              <w:rFonts w:cs="Times New Roman"/>
              <w:szCs w:val="21"/>
            </w:rPr>
            <w:fldChar w:fldCharType="separate"/>
          </w:r>
          <w:r>
            <w:t>第三节</w:t>
          </w:r>
          <w:r>
            <w:rPr>
              <w:rFonts w:hint="eastAsia"/>
            </w:rPr>
            <w:t xml:space="preserve">  </w:t>
          </w:r>
          <w:r>
            <w:t>北沙河</w:t>
          </w:r>
          <w:r>
            <w:tab/>
          </w:r>
          <w:r>
            <w:fldChar w:fldCharType="begin"/>
          </w:r>
          <w:r>
            <w:instrText xml:space="preserve"> PAGEREF _Toc5551 \h </w:instrText>
          </w:r>
          <w:r>
            <w:fldChar w:fldCharType="separate"/>
          </w:r>
          <w:r>
            <w:t>20</w:t>
          </w:r>
          <w:r>
            <w:fldChar w:fldCharType="end"/>
          </w:r>
          <w:r>
            <w:rPr>
              <w:rFonts w:cs="Times New Roman"/>
              <w:szCs w:val="21"/>
            </w:rPr>
            <w:fldChar w:fldCharType="end"/>
          </w:r>
        </w:p>
        <w:p w14:paraId="4DAFE302">
          <w:pPr>
            <w:pStyle w:val="16"/>
            <w:tabs>
              <w:tab w:val="right" w:leader="dot" w:pos="8306"/>
            </w:tabs>
          </w:pPr>
          <w:r>
            <w:rPr>
              <w:rFonts w:cs="Times New Roman"/>
              <w:szCs w:val="21"/>
            </w:rPr>
            <w:fldChar w:fldCharType="begin"/>
          </w:r>
          <w:r>
            <w:rPr>
              <w:rFonts w:cs="Times New Roman"/>
              <w:szCs w:val="21"/>
            </w:rPr>
            <w:instrText xml:space="preserve"> HYPERLINK \l _Toc11956 </w:instrText>
          </w:r>
          <w:r>
            <w:rPr>
              <w:rFonts w:cs="Times New Roman"/>
              <w:szCs w:val="21"/>
            </w:rPr>
            <w:fldChar w:fldCharType="separate"/>
          </w:r>
          <w:r>
            <w:t>第四节</w:t>
          </w:r>
          <w:r>
            <w:rPr>
              <w:rFonts w:hint="eastAsia"/>
            </w:rPr>
            <w:t xml:space="preserve">  </w:t>
          </w:r>
          <w:r>
            <w:t>浑江</w:t>
          </w:r>
          <w:r>
            <w:tab/>
          </w:r>
          <w:r>
            <w:fldChar w:fldCharType="begin"/>
          </w:r>
          <w:r>
            <w:instrText xml:space="preserve"> PAGEREF _Toc11956 \h </w:instrText>
          </w:r>
          <w:r>
            <w:fldChar w:fldCharType="separate"/>
          </w:r>
          <w:r>
            <w:t>21</w:t>
          </w:r>
          <w:r>
            <w:fldChar w:fldCharType="end"/>
          </w:r>
          <w:r>
            <w:rPr>
              <w:rFonts w:cs="Times New Roman"/>
              <w:szCs w:val="21"/>
            </w:rPr>
            <w:fldChar w:fldCharType="end"/>
          </w:r>
        </w:p>
        <w:p w14:paraId="47C3A0F4">
          <w:pPr>
            <w:pStyle w:val="16"/>
            <w:tabs>
              <w:tab w:val="right" w:leader="dot" w:pos="8306"/>
            </w:tabs>
          </w:pPr>
          <w:r>
            <w:rPr>
              <w:rFonts w:cs="Times New Roman"/>
              <w:szCs w:val="21"/>
            </w:rPr>
            <w:fldChar w:fldCharType="begin"/>
          </w:r>
          <w:r>
            <w:rPr>
              <w:rFonts w:cs="Times New Roman"/>
              <w:szCs w:val="21"/>
            </w:rPr>
            <w:instrText xml:space="preserve"> HYPERLINK \l _Toc9896 </w:instrText>
          </w:r>
          <w:r>
            <w:rPr>
              <w:rFonts w:cs="Times New Roman"/>
              <w:szCs w:val="21"/>
            </w:rPr>
            <w:fldChar w:fldCharType="separate"/>
          </w:r>
          <w:r>
            <w:t>第五节</w:t>
          </w:r>
          <w:r>
            <w:rPr>
              <w:rFonts w:hint="eastAsia"/>
            </w:rPr>
            <w:t xml:space="preserve">  </w:t>
          </w:r>
          <w:r>
            <w:t>草河</w:t>
          </w:r>
          <w:r>
            <w:tab/>
          </w:r>
          <w:r>
            <w:fldChar w:fldCharType="begin"/>
          </w:r>
          <w:r>
            <w:instrText xml:space="preserve"> PAGEREF _Toc9896 \h </w:instrText>
          </w:r>
          <w:r>
            <w:fldChar w:fldCharType="separate"/>
          </w:r>
          <w:r>
            <w:t>23</w:t>
          </w:r>
          <w:r>
            <w:fldChar w:fldCharType="end"/>
          </w:r>
          <w:r>
            <w:rPr>
              <w:rFonts w:cs="Times New Roman"/>
              <w:szCs w:val="21"/>
            </w:rPr>
            <w:fldChar w:fldCharType="end"/>
          </w:r>
        </w:p>
        <w:p w14:paraId="14F8DC84">
          <w:pPr>
            <w:pStyle w:val="15"/>
            <w:tabs>
              <w:tab w:val="right" w:leader="dot" w:pos="8306"/>
            </w:tabs>
          </w:pPr>
          <w:r>
            <w:rPr>
              <w:rFonts w:cs="Times New Roman"/>
              <w:szCs w:val="21"/>
            </w:rPr>
            <w:fldChar w:fldCharType="begin"/>
          </w:r>
          <w:r>
            <w:rPr>
              <w:rFonts w:cs="Times New Roman"/>
              <w:szCs w:val="21"/>
            </w:rPr>
            <w:instrText xml:space="preserve"> HYPERLINK \l _Toc21493 </w:instrText>
          </w:r>
          <w:r>
            <w:rPr>
              <w:rFonts w:cs="Times New Roman"/>
              <w:szCs w:val="21"/>
            </w:rPr>
            <w:fldChar w:fldCharType="separate"/>
          </w:r>
          <w:r>
            <w:t>第六章 骨干工程项目及投资</w:t>
          </w:r>
          <w:r>
            <w:tab/>
          </w:r>
          <w:r>
            <w:fldChar w:fldCharType="begin"/>
          </w:r>
          <w:r>
            <w:instrText xml:space="preserve"> PAGEREF _Toc21493 \h </w:instrText>
          </w:r>
          <w:r>
            <w:fldChar w:fldCharType="separate"/>
          </w:r>
          <w:r>
            <w:t>24</w:t>
          </w:r>
          <w:r>
            <w:fldChar w:fldCharType="end"/>
          </w:r>
          <w:r>
            <w:rPr>
              <w:rFonts w:cs="Times New Roman"/>
              <w:szCs w:val="21"/>
            </w:rPr>
            <w:fldChar w:fldCharType="end"/>
          </w:r>
        </w:p>
        <w:p w14:paraId="526A833A">
          <w:pPr>
            <w:pStyle w:val="15"/>
            <w:tabs>
              <w:tab w:val="right" w:leader="dot" w:pos="8306"/>
            </w:tabs>
          </w:pPr>
          <w:r>
            <w:rPr>
              <w:rFonts w:cs="Times New Roman"/>
              <w:szCs w:val="21"/>
            </w:rPr>
            <w:fldChar w:fldCharType="begin"/>
          </w:r>
          <w:r>
            <w:rPr>
              <w:rFonts w:cs="Times New Roman"/>
              <w:szCs w:val="21"/>
            </w:rPr>
            <w:instrText xml:space="preserve"> HYPERLINK \l _Toc12799 </w:instrText>
          </w:r>
          <w:r>
            <w:rPr>
              <w:rFonts w:cs="Times New Roman"/>
              <w:szCs w:val="21"/>
            </w:rPr>
            <w:fldChar w:fldCharType="separate"/>
          </w:r>
          <w:r>
            <w:t>第七章</w:t>
          </w:r>
          <w:r>
            <w:rPr>
              <w:rFonts w:hint="eastAsia"/>
            </w:rPr>
            <w:t xml:space="preserve"> </w:t>
          </w:r>
          <w:r>
            <w:t xml:space="preserve"> 保障措施</w:t>
          </w:r>
          <w:r>
            <w:tab/>
          </w:r>
          <w:r>
            <w:fldChar w:fldCharType="begin"/>
          </w:r>
          <w:r>
            <w:instrText xml:space="preserve"> PAGEREF _Toc12799 \h </w:instrText>
          </w:r>
          <w:r>
            <w:fldChar w:fldCharType="separate"/>
          </w:r>
          <w:r>
            <w:t>25</w:t>
          </w:r>
          <w:r>
            <w:fldChar w:fldCharType="end"/>
          </w:r>
          <w:r>
            <w:rPr>
              <w:rFonts w:cs="Times New Roman"/>
              <w:szCs w:val="21"/>
            </w:rPr>
            <w:fldChar w:fldCharType="end"/>
          </w:r>
        </w:p>
        <w:p w14:paraId="0B129F0F">
          <w:pPr>
            <w:pStyle w:val="16"/>
            <w:tabs>
              <w:tab w:val="right" w:leader="dot" w:pos="8306"/>
            </w:tabs>
          </w:pPr>
          <w:r>
            <w:rPr>
              <w:rFonts w:cs="Times New Roman"/>
              <w:szCs w:val="21"/>
            </w:rPr>
            <w:fldChar w:fldCharType="begin"/>
          </w:r>
          <w:r>
            <w:rPr>
              <w:rFonts w:cs="Times New Roman"/>
              <w:szCs w:val="21"/>
            </w:rPr>
            <w:instrText xml:space="preserve"> HYPERLINK \l _Toc13759 </w:instrText>
          </w:r>
          <w:r>
            <w:rPr>
              <w:rFonts w:cs="Times New Roman"/>
              <w:szCs w:val="21"/>
            </w:rPr>
            <w:fldChar w:fldCharType="separate"/>
          </w:r>
          <w:r>
            <w:t>第一节</w:t>
          </w:r>
          <w:r>
            <w:rPr>
              <w:rFonts w:hint="eastAsia"/>
            </w:rPr>
            <w:t xml:space="preserve">  </w:t>
          </w:r>
          <w:r>
            <w:t>加强组织领导</w:t>
          </w:r>
          <w:r>
            <w:tab/>
          </w:r>
          <w:r>
            <w:fldChar w:fldCharType="begin"/>
          </w:r>
          <w:r>
            <w:instrText xml:space="preserve"> PAGEREF _Toc13759 \h </w:instrText>
          </w:r>
          <w:r>
            <w:fldChar w:fldCharType="separate"/>
          </w:r>
          <w:r>
            <w:t>25</w:t>
          </w:r>
          <w:r>
            <w:fldChar w:fldCharType="end"/>
          </w:r>
          <w:r>
            <w:rPr>
              <w:rFonts w:cs="Times New Roman"/>
              <w:szCs w:val="21"/>
            </w:rPr>
            <w:fldChar w:fldCharType="end"/>
          </w:r>
        </w:p>
        <w:p w14:paraId="25AE4777">
          <w:pPr>
            <w:pStyle w:val="16"/>
            <w:tabs>
              <w:tab w:val="right" w:leader="dot" w:pos="8306"/>
            </w:tabs>
          </w:pPr>
          <w:r>
            <w:rPr>
              <w:rFonts w:cs="Times New Roman"/>
              <w:szCs w:val="21"/>
            </w:rPr>
            <w:fldChar w:fldCharType="begin"/>
          </w:r>
          <w:r>
            <w:rPr>
              <w:rFonts w:cs="Times New Roman"/>
              <w:szCs w:val="21"/>
            </w:rPr>
            <w:instrText xml:space="preserve"> HYPERLINK \l _Toc8658 </w:instrText>
          </w:r>
          <w:r>
            <w:rPr>
              <w:rFonts w:cs="Times New Roman"/>
              <w:szCs w:val="21"/>
            </w:rPr>
            <w:fldChar w:fldCharType="separate"/>
          </w:r>
          <w:r>
            <w:t>第二节</w:t>
          </w:r>
          <w:r>
            <w:rPr>
              <w:rFonts w:hint="eastAsia"/>
            </w:rPr>
            <w:t xml:space="preserve">  </w:t>
          </w:r>
          <w:r>
            <w:t>加大资金投入</w:t>
          </w:r>
          <w:r>
            <w:tab/>
          </w:r>
          <w:r>
            <w:fldChar w:fldCharType="begin"/>
          </w:r>
          <w:r>
            <w:instrText xml:space="preserve"> PAGEREF _Toc8658 \h </w:instrText>
          </w:r>
          <w:r>
            <w:fldChar w:fldCharType="separate"/>
          </w:r>
          <w:r>
            <w:t>25</w:t>
          </w:r>
          <w:r>
            <w:fldChar w:fldCharType="end"/>
          </w:r>
          <w:r>
            <w:rPr>
              <w:rFonts w:cs="Times New Roman"/>
              <w:szCs w:val="21"/>
            </w:rPr>
            <w:fldChar w:fldCharType="end"/>
          </w:r>
        </w:p>
        <w:p w14:paraId="670DF5D2">
          <w:pPr>
            <w:pStyle w:val="16"/>
            <w:tabs>
              <w:tab w:val="right" w:leader="dot" w:pos="8306"/>
            </w:tabs>
          </w:pPr>
          <w:r>
            <w:rPr>
              <w:rFonts w:cs="Times New Roman"/>
              <w:szCs w:val="21"/>
            </w:rPr>
            <w:fldChar w:fldCharType="begin"/>
          </w:r>
          <w:r>
            <w:rPr>
              <w:rFonts w:cs="Times New Roman"/>
              <w:szCs w:val="21"/>
            </w:rPr>
            <w:instrText xml:space="preserve"> HYPERLINK \l _Toc17621 </w:instrText>
          </w:r>
          <w:r>
            <w:rPr>
              <w:rFonts w:cs="Times New Roman"/>
              <w:szCs w:val="21"/>
            </w:rPr>
            <w:fldChar w:fldCharType="separate"/>
          </w:r>
          <w:r>
            <w:t>第三节</w:t>
          </w:r>
          <w:r>
            <w:rPr>
              <w:rFonts w:hint="eastAsia"/>
            </w:rPr>
            <w:t xml:space="preserve">  </w:t>
          </w:r>
          <w:r>
            <w:t>加强科技支撑</w:t>
          </w:r>
          <w:r>
            <w:tab/>
          </w:r>
          <w:r>
            <w:fldChar w:fldCharType="begin"/>
          </w:r>
          <w:r>
            <w:instrText xml:space="preserve"> PAGEREF _Toc17621 \h </w:instrText>
          </w:r>
          <w:r>
            <w:fldChar w:fldCharType="separate"/>
          </w:r>
          <w:r>
            <w:t>26</w:t>
          </w:r>
          <w:r>
            <w:fldChar w:fldCharType="end"/>
          </w:r>
          <w:r>
            <w:rPr>
              <w:rFonts w:cs="Times New Roman"/>
              <w:szCs w:val="21"/>
            </w:rPr>
            <w:fldChar w:fldCharType="end"/>
          </w:r>
        </w:p>
        <w:p w14:paraId="288C9BA6">
          <w:pPr>
            <w:pStyle w:val="16"/>
            <w:tabs>
              <w:tab w:val="right" w:leader="dot" w:pos="8306"/>
            </w:tabs>
          </w:pPr>
          <w:r>
            <w:rPr>
              <w:rFonts w:cs="Times New Roman"/>
              <w:szCs w:val="21"/>
            </w:rPr>
            <w:fldChar w:fldCharType="begin"/>
          </w:r>
          <w:r>
            <w:rPr>
              <w:rFonts w:cs="Times New Roman"/>
              <w:szCs w:val="21"/>
            </w:rPr>
            <w:instrText xml:space="preserve"> HYPERLINK \l _Toc32392 </w:instrText>
          </w:r>
          <w:r>
            <w:rPr>
              <w:rFonts w:cs="Times New Roman"/>
              <w:szCs w:val="21"/>
            </w:rPr>
            <w:fldChar w:fldCharType="separate"/>
          </w:r>
          <w:r>
            <w:t>第四节</w:t>
          </w:r>
          <w:r>
            <w:rPr>
              <w:rFonts w:hint="eastAsia"/>
            </w:rPr>
            <w:t xml:space="preserve">  </w:t>
          </w:r>
          <w:r>
            <w:t>推进多方联动</w:t>
          </w:r>
          <w:r>
            <w:tab/>
          </w:r>
          <w:r>
            <w:fldChar w:fldCharType="begin"/>
          </w:r>
          <w:r>
            <w:instrText xml:space="preserve"> PAGEREF _Toc32392 \h </w:instrText>
          </w:r>
          <w:r>
            <w:fldChar w:fldCharType="separate"/>
          </w:r>
          <w:r>
            <w:t>26</w:t>
          </w:r>
          <w:r>
            <w:fldChar w:fldCharType="end"/>
          </w:r>
          <w:r>
            <w:rPr>
              <w:rFonts w:cs="Times New Roman"/>
              <w:szCs w:val="21"/>
            </w:rPr>
            <w:fldChar w:fldCharType="end"/>
          </w:r>
        </w:p>
        <w:p w14:paraId="7A2FC522">
          <w:pPr>
            <w:pStyle w:val="16"/>
            <w:tabs>
              <w:tab w:val="right" w:leader="dot" w:pos="8306"/>
            </w:tabs>
          </w:pPr>
          <w:r>
            <w:rPr>
              <w:rFonts w:cs="Times New Roman"/>
              <w:szCs w:val="21"/>
            </w:rPr>
            <w:fldChar w:fldCharType="begin"/>
          </w:r>
          <w:r>
            <w:rPr>
              <w:rFonts w:cs="Times New Roman"/>
              <w:szCs w:val="21"/>
            </w:rPr>
            <w:instrText xml:space="preserve"> HYPERLINK \l _Toc8167 </w:instrText>
          </w:r>
          <w:r>
            <w:rPr>
              <w:rFonts w:cs="Times New Roman"/>
              <w:szCs w:val="21"/>
            </w:rPr>
            <w:fldChar w:fldCharType="separate"/>
          </w:r>
          <w:r>
            <w:t>第五节</w:t>
          </w:r>
          <w:r>
            <w:rPr>
              <w:rFonts w:hint="eastAsia"/>
            </w:rPr>
            <w:t xml:space="preserve">  </w:t>
          </w:r>
          <w:r>
            <w:t>严格评估考核</w:t>
          </w:r>
          <w:r>
            <w:tab/>
          </w:r>
          <w:r>
            <w:fldChar w:fldCharType="begin"/>
          </w:r>
          <w:r>
            <w:instrText xml:space="preserve"> PAGEREF _Toc8167 \h </w:instrText>
          </w:r>
          <w:r>
            <w:fldChar w:fldCharType="separate"/>
          </w:r>
          <w:r>
            <w:t>27</w:t>
          </w:r>
          <w:r>
            <w:fldChar w:fldCharType="end"/>
          </w:r>
          <w:r>
            <w:rPr>
              <w:rFonts w:cs="Times New Roman"/>
              <w:szCs w:val="21"/>
            </w:rPr>
            <w:fldChar w:fldCharType="end"/>
          </w:r>
        </w:p>
        <w:p w14:paraId="2C20A623">
          <w:pPr>
            <w:pStyle w:val="15"/>
            <w:tabs>
              <w:tab w:val="right" w:leader="dot" w:pos="8306"/>
            </w:tabs>
          </w:pPr>
          <w:r>
            <w:rPr>
              <w:rFonts w:cs="Times New Roman"/>
              <w:szCs w:val="21"/>
            </w:rPr>
            <w:fldChar w:fldCharType="begin"/>
          </w:r>
          <w:r>
            <w:rPr>
              <w:rFonts w:cs="Times New Roman"/>
              <w:szCs w:val="21"/>
            </w:rPr>
            <w:instrText xml:space="preserve"> HYPERLINK \l _Toc27735 </w:instrText>
          </w:r>
          <w:r>
            <w:rPr>
              <w:rFonts w:cs="Times New Roman"/>
              <w:szCs w:val="21"/>
            </w:rPr>
            <w:fldChar w:fldCharType="separate"/>
          </w:r>
          <w:r>
            <w:rPr>
              <w:rFonts w:hint="eastAsia"/>
              <w:lang w:val="en-US"/>
            </w:rPr>
            <w:t>附表</w:t>
          </w:r>
          <w:r>
            <w:tab/>
          </w:r>
          <w:r>
            <w:fldChar w:fldCharType="begin"/>
          </w:r>
          <w:r>
            <w:instrText xml:space="preserve"> PAGEREF _Toc27735 \h </w:instrText>
          </w:r>
          <w:r>
            <w:fldChar w:fldCharType="separate"/>
          </w:r>
          <w:r>
            <w:t>28</w:t>
          </w:r>
          <w:r>
            <w:fldChar w:fldCharType="end"/>
          </w:r>
          <w:r>
            <w:rPr>
              <w:rFonts w:cs="Times New Roman"/>
              <w:szCs w:val="21"/>
            </w:rPr>
            <w:fldChar w:fldCharType="end"/>
          </w:r>
        </w:p>
        <w:p w14:paraId="49CAF5A1">
          <w:pPr>
            <w:pStyle w:val="16"/>
            <w:tabs>
              <w:tab w:val="right" w:leader="dot" w:pos="8306"/>
            </w:tabs>
          </w:pPr>
          <w:r>
            <w:rPr>
              <w:rFonts w:cs="Times New Roman"/>
              <w:szCs w:val="21"/>
            </w:rPr>
            <w:fldChar w:fldCharType="begin"/>
          </w:r>
          <w:r>
            <w:rPr>
              <w:rFonts w:cs="Times New Roman"/>
              <w:szCs w:val="21"/>
            </w:rPr>
            <w:instrText xml:space="preserve"> HYPERLINK \l _Toc24976 </w:instrText>
          </w:r>
          <w:r>
            <w:rPr>
              <w:rFonts w:cs="Times New Roman"/>
              <w:szCs w:val="21"/>
            </w:rPr>
            <w:fldChar w:fldCharType="separate"/>
          </w:r>
          <w:r>
            <w:rPr>
              <w:szCs w:val="24"/>
              <w:lang w:val="en-US"/>
            </w:rPr>
            <w:t>附表1</w:t>
          </w:r>
          <w:r>
            <w:rPr>
              <w:rFonts w:hint="eastAsia"/>
              <w:szCs w:val="24"/>
              <w:lang w:val="en-US"/>
            </w:rPr>
            <w:t xml:space="preserve">  </w:t>
          </w:r>
          <w:r>
            <w:rPr>
              <w:szCs w:val="24"/>
              <w:lang w:val="en-US"/>
            </w:rPr>
            <w:t>国控断面及其</w:t>
          </w:r>
          <w:r>
            <w:rPr>
              <w:rFonts w:hint="eastAsia"/>
              <w:szCs w:val="24"/>
              <w:lang w:val="en-US"/>
            </w:rPr>
            <w:t>汇水范围</w:t>
          </w:r>
          <w:r>
            <w:tab/>
          </w:r>
          <w:r>
            <w:fldChar w:fldCharType="begin"/>
          </w:r>
          <w:r>
            <w:instrText xml:space="preserve"> PAGEREF _Toc24976 \h </w:instrText>
          </w:r>
          <w:r>
            <w:fldChar w:fldCharType="separate"/>
          </w:r>
          <w:r>
            <w:t>28</w:t>
          </w:r>
          <w:r>
            <w:fldChar w:fldCharType="end"/>
          </w:r>
          <w:r>
            <w:rPr>
              <w:rFonts w:cs="Times New Roman"/>
              <w:szCs w:val="21"/>
            </w:rPr>
            <w:fldChar w:fldCharType="end"/>
          </w:r>
        </w:p>
        <w:p w14:paraId="42981BC6">
          <w:pPr>
            <w:pStyle w:val="16"/>
            <w:tabs>
              <w:tab w:val="right" w:leader="dot" w:pos="8306"/>
            </w:tabs>
          </w:pPr>
          <w:r>
            <w:rPr>
              <w:rFonts w:cs="Times New Roman"/>
              <w:szCs w:val="21"/>
            </w:rPr>
            <w:fldChar w:fldCharType="begin"/>
          </w:r>
          <w:r>
            <w:rPr>
              <w:rFonts w:cs="Times New Roman"/>
              <w:szCs w:val="21"/>
            </w:rPr>
            <w:instrText xml:space="preserve"> HYPERLINK \l _Toc28090 </w:instrText>
          </w:r>
          <w:r>
            <w:rPr>
              <w:rFonts w:cs="Times New Roman"/>
              <w:szCs w:val="21"/>
            </w:rPr>
            <w:fldChar w:fldCharType="separate"/>
          </w:r>
          <w:r>
            <w:rPr>
              <w:rFonts w:hint="eastAsia"/>
              <w:szCs w:val="24"/>
              <w:lang w:val="en-US" w:eastAsia="zh-CN"/>
            </w:rPr>
            <w:t>附表2  目标指标表</w:t>
          </w:r>
          <w:r>
            <w:tab/>
          </w:r>
          <w:r>
            <w:fldChar w:fldCharType="begin"/>
          </w:r>
          <w:r>
            <w:instrText xml:space="preserve"> PAGEREF _Toc28090 \h </w:instrText>
          </w:r>
          <w:r>
            <w:fldChar w:fldCharType="separate"/>
          </w:r>
          <w:r>
            <w:t>29</w:t>
          </w:r>
          <w:r>
            <w:fldChar w:fldCharType="end"/>
          </w:r>
          <w:r>
            <w:rPr>
              <w:rFonts w:cs="Times New Roman"/>
              <w:szCs w:val="21"/>
            </w:rPr>
            <w:fldChar w:fldCharType="end"/>
          </w:r>
        </w:p>
        <w:p w14:paraId="19FF049B">
          <w:pPr>
            <w:pStyle w:val="16"/>
            <w:tabs>
              <w:tab w:val="right" w:leader="dot" w:pos="8306"/>
            </w:tabs>
          </w:pPr>
          <w:r>
            <w:rPr>
              <w:rFonts w:cs="Times New Roman"/>
              <w:szCs w:val="21"/>
            </w:rPr>
            <w:fldChar w:fldCharType="begin"/>
          </w:r>
          <w:r>
            <w:rPr>
              <w:rFonts w:cs="Times New Roman"/>
              <w:szCs w:val="21"/>
            </w:rPr>
            <w:instrText xml:space="preserve"> HYPERLINK \l _Toc21349 </w:instrText>
          </w:r>
          <w:r>
            <w:rPr>
              <w:rFonts w:cs="Times New Roman"/>
              <w:szCs w:val="21"/>
            </w:rPr>
            <w:fldChar w:fldCharType="separate"/>
          </w:r>
          <w:r>
            <w:rPr>
              <w:rFonts w:ascii="Times New Roman" w:hAnsi="Times New Roman" w:cs="Times New Roman"/>
              <w:szCs w:val="24"/>
              <w:lang w:val="en-US"/>
            </w:rPr>
            <w:t>附表2-</w:t>
          </w:r>
          <w:r>
            <w:rPr>
              <w:rFonts w:hint="eastAsia" w:ascii="Times New Roman" w:hAnsi="Times New Roman" w:cs="Times New Roman"/>
              <w:szCs w:val="24"/>
              <w:lang w:val="en-US"/>
            </w:rPr>
            <w:t>1</w:t>
          </w:r>
          <w:r>
            <w:rPr>
              <w:rFonts w:ascii="Times New Roman" w:hAnsi="Times New Roman" w:cs="Times New Roman"/>
              <w:szCs w:val="24"/>
              <w:lang w:val="en-US"/>
            </w:rPr>
            <w:t xml:space="preserve"> 城市集中式饮用水水源目标清单</w:t>
          </w:r>
          <w:r>
            <w:tab/>
          </w:r>
          <w:r>
            <w:fldChar w:fldCharType="begin"/>
          </w:r>
          <w:r>
            <w:instrText xml:space="preserve"> PAGEREF _Toc21349 \h </w:instrText>
          </w:r>
          <w:r>
            <w:fldChar w:fldCharType="separate"/>
          </w:r>
          <w:r>
            <w:t>29</w:t>
          </w:r>
          <w:r>
            <w:fldChar w:fldCharType="end"/>
          </w:r>
          <w:r>
            <w:rPr>
              <w:rFonts w:cs="Times New Roman"/>
              <w:szCs w:val="21"/>
            </w:rPr>
            <w:fldChar w:fldCharType="end"/>
          </w:r>
        </w:p>
        <w:p w14:paraId="3A744833">
          <w:pPr>
            <w:pStyle w:val="16"/>
            <w:tabs>
              <w:tab w:val="right" w:leader="dot" w:pos="8306"/>
            </w:tabs>
          </w:pPr>
          <w:r>
            <w:rPr>
              <w:rFonts w:cs="Times New Roman"/>
              <w:szCs w:val="21"/>
            </w:rPr>
            <w:fldChar w:fldCharType="begin"/>
          </w:r>
          <w:r>
            <w:rPr>
              <w:rFonts w:cs="Times New Roman"/>
              <w:szCs w:val="21"/>
            </w:rPr>
            <w:instrText xml:space="preserve"> HYPERLINK \l _Toc23258 </w:instrText>
          </w:r>
          <w:r>
            <w:rPr>
              <w:rFonts w:cs="Times New Roman"/>
              <w:szCs w:val="21"/>
            </w:rPr>
            <w:fldChar w:fldCharType="separate"/>
          </w:r>
          <w:r>
            <w:rPr>
              <w:rFonts w:ascii="Times New Roman" w:hAnsi="Times New Roman" w:cs="Times New Roman"/>
              <w:szCs w:val="24"/>
              <w:lang w:val="en-US"/>
            </w:rPr>
            <w:t>附表2-</w:t>
          </w:r>
          <w:r>
            <w:rPr>
              <w:rFonts w:hint="eastAsia" w:ascii="Times New Roman" w:hAnsi="Times New Roman" w:cs="Times New Roman"/>
              <w:szCs w:val="24"/>
              <w:lang w:val="en-US"/>
            </w:rPr>
            <w:t>2</w:t>
          </w:r>
          <w:r>
            <w:rPr>
              <w:rFonts w:ascii="Times New Roman" w:hAnsi="Times New Roman" w:cs="Times New Roman"/>
              <w:szCs w:val="24"/>
              <w:lang w:val="en-US"/>
            </w:rPr>
            <w:t xml:space="preserve"> 达到生态流量（水位）底线要求的河湖目标清单</w:t>
          </w:r>
          <w:r>
            <w:tab/>
          </w:r>
          <w:r>
            <w:fldChar w:fldCharType="begin"/>
          </w:r>
          <w:r>
            <w:instrText xml:space="preserve"> PAGEREF _Toc23258 \h </w:instrText>
          </w:r>
          <w:r>
            <w:fldChar w:fldCharType="separate"/>
          </w:r>
          <w:r>
            <w:t>29</w:t>
          </w:r>
          <w:r>
            <w:fldChar w:fldCharType="end"/>
          </w:r>
          <w:r>
            <w:rPr>
              <w:rFonts w:cs="Times New Roman"/>
              <w:szCs w:val="21"/>
            </w:rPr>
            <w:fldChar w:fldCharType="end"/>
          </w:r>
        </w:p>
        <w:p w14:paraId="4AF82477">
          <w:pPr>
            <w:pStyle w:val="16"/>
            <w:tabs>
              <w:tab w:val="right" w:leader="dot" w:pos="8306"/>
            </w:tabs>
          </w:pPr>
          <w:r>
            <w:rPr>
              <w:rFonts w:cs="Times New Roman"/>
              <w:szCs w:val="21"/>
            </w:rPr>
            <w:fldChar w:fldCharType="begin"/>
          </w:r>
          <w:r>
            <w:rPr>
              <w:rFonts w:cs="Times New Roman"/>
              <w:szCs w:val="21"/>
            </w:rPr>
            <w:instrText xml:space="preserve"> HYPERLINK \l _Toc22092 </w:instrText>
          </w:r>
          <w:r>
            <w:rPr>
              <w:rFonts w:cs="Times New Roman"/>
              <w:szCs w:val="21"/>
            </w:rPr>
            <w:fldChar w:fldCharType="separate"/>
          </w:r>
          <w:r>
            <w:rPr>
              <w:rFonts w:ascii="Times New Roman" w:hAnsi="Times New Roman" w:cs="Times New Roman"/>
              <w:szCs w:val="24"/>
              <w:lang w:val="en-US"/>
            </w:rPr>
            <w:t>附表2-</w:t>
          </w:r>
          <w:r>
            <w:rPr>
              <w:rFonts w:hint="eastAsia" w:ascii="Times New Roman" w:hAnsi="Times New Roman" w:cs="Times New Roman"/>
              <w:szCs w:val="24"/>
              <w:lang w:val="en-US"/>
            </w:rPr>
            <w:t>3</w:t>
          </w:r>
          <w:r>
            <w:rPr>
              <w:rFonts w:ascii="Times New Roman" w:hAnsi="Times New Roman" w:cs="Times New Roman"/>
              <w:szCs w:val="24"/>
              <w:lang w:val="en-US"/>
            </w:rPr>
            <w:t xml:space="preserve"> 重点湖库富营养化控制目标表</w:t>
          </w:r>
          <w:r>
            <w:tab/>
          </w:r>
          <w:r>
            <w:fldChar w:fldCharType="begin"/>
          </w:r>
          <w:r>
            <w:instrText xml:space="preserve"> PAGEREF _Toc22092 \h </w:instrText>
          </w:r>
          <w:r>
            <w:fldChar w:fldCharType="separate"/>
          </w:r>
          <w:r>
            <w:t>30</w:t>
          </w:r>
          <w:r>
            <w:fldChar w:fldCharType="end"/>
          </w:r>
          <w:r>
            <w:rPr>
              <w:rFonts w:cs="Times New Roman"/>
              <w:szCs w:val="21"/>
            </w:rPr>
            <w:fldChar w:fldCharType="end"/>
          </w:r>
        </w:p>
        <w:p w14:paraId="01584096">
          <w:pPr>
            <w:pStyle w:val="16"/>
            <w:tabs>
              <w:tab w:val="right" w:leader="dot" w:pos="8306"/>
            </w:tabs>
          </w:pPr>
          <w:r>
            <w:rPr>
              <w:rFonts w:cs="Times New Roman"/>
              <w:szCs w:val="21"/>
            </w:rPr>
            <w:fldChar w:fldCharType="begin"/>
          </w:r>
          <w:r>
            <w:rPr>
              <w:rFonts w:cs="Times New Roman"/>
              <w:szCs w:val="21"/>
            </w:rPr>
            <w:instrText xml:space="preserve"> HYPERLINK \l _Toc15605 </w:instrText>
          </w:r>
          <w:r>
            <w:rPr>
              <w:rFonts w:cs="Times New Roman"/>
              <w:szCs w:val="21"/>
            </w:rPr>
            <w:fldChar w:fldCharType="separate"/>
          </w:r>
          <w:r>
            <w:rPr>
              <w:rFonts w:ascii="Times New Roman" w:hAnsi="Times New Roman" w:cs="Times New Roman"/>
              <w:szCs w:val="24"/>
              <w:lang w:val="en-US"/>
            </w:rPr>
            <w:t>附表2-</w:t>
          </w:r>
          <w:r>
            <w:rPr>
              <w:rFonts w:hint="eastAsia" w:ascii="Times New Roman" w:hAnsi="Times New Roman" w:cs="Times New Roman"/>
              <w:szCs w:val="24"/>
              <w:lang w:val="en-US"/>
            </w:rPr>
            <w:t>4</w:t>
          </w:r>
          <w:r>
            <w:rPr>
              <w:rFonts w:ascii="Times New Roman" w:hAnsi="Times New Roman" w:cs="Times New Roman"/>
              <w:szCs w:val="24"/>
              <w:lang w:val="en-US"/>
            </w:rPr>
            <w:t xml:space="preserve"> 河湖生态缓冲带修复的水体清单</w:t>
          </w:r>
          <w:r>
            <w:tab/>
          </w:r>
          <w:r>
            <w:fldChar w:fldCharType="begin"/>
          </w:r>
          <w:r>
            <w:instrText xml:space="preserve"> PAGEREF _Toc15605 \h </w:instrText>
          </w:r>
          <w:r>
            <w:fldChar w:fldCharType="separate"/>
          </w:r>
          <w:r>
            <w:t>30</w:t>
          </w:r>
          <w:r>
            <w:fldChar w:fldCharType="end"/>
          </w:r>
          <w:r>
            <w:rPr>
              <w:rFonts w:cs="Times New Roman"/>
              <w:szCs w:val="21"/>
            </w:rPr>
            <w:fldChar w:fldCharType="end"/>
          </w:r>
        </w:p>
        <w:p w14:paraId="319D379A">
          <w:pPr>
            <w:pStyle w:val="16"/>
            <w:tabs>
              <w:tab w:val="right" w:leader="dot" w:pos="8306"/>
            </w:tabs>
          </w:pPr>
          <w:r>
            <w:rPr>
              <w:rFonts w:cs="Times New Roman"/>
              <w:szCs w:val="21"/>
            </w:rPr>
            <w:fldChar w:fldCharType="begin"/>
          </w:r>
          <w:r>
            <w:rPr>
              <w:rFonts w:cs="Times New Roman"/>
              <w:szCs w:val="21"/>
            </w:rPr>
            <w:instrText xml:space="preserve"> HYPERLINK \l _Toc4785 </w:instrText>
          </w:r>
          <w:r>
            <w:rPr>
              <w:rFonts w:cs="Times New Roman"/>
              <w:szCs w:val="21"/>
            </w:rPr>
            <w:fldChar w:fldCharType="separate"/>
          </w:r>
          <w:r>
            <w:rPr>
              <w:rFonts w:ascii="Times New Roman" w:hAnsi="Times New Roman" w:cs="Times New Roman"/>
              <w:szCs w:val="24"/>
              <w:lang w:val="en-US"/>
            </w:rPr>
            <w:t>附表2-</w:t>
          </w:r>
          <w:r>
            <w:rPr>
              <w:rFonts w:hint="eastAsia" w:ascii="Times New Roman" w:hAnsi="Times New Roman" w:cs="Times New Roman"/>
              <w:szCs w:val="24"/>
              <w:lang w:val="en-US"/>
            </w:rPr>
            <w:t>5</w:t>
          </w:r>
          <w:r>
            <w:rPr>
              <w:rFonts w:ascii="Times New Roman" w:hAnsi="Times New Roman" w:cs="Times New Roman"/>
              <w:szCs w:val="24"/>
              <w:lang w:val="en-US"/>
            </w:rPr>
            <w:t xml:space="preserve"> 湿地恢复（建设）清单</w:t>
          </w:r>
          <w:r>
            <w:tab/>
          </w:r>
          <w:r>
            <w:fldChar w:fldCharType="begin"/>
          </w:r>
          <w:r>
            <w:instrText xml:space="preserve"> PAGEREF _Toc4785 \h </w:instrText>
          </w:r>
          <w:r>
            <w:fldChar w:fldCharType="separate"/>
          </w:r>
          <w:r>
            <w:t>31</w:t>
          </w:r>
          <w:r>
            <w:fldChar w:fldCharType="end"/>
          </w:r>
          <w:r>
            <w:rPr>
              <w:rFonts w:cs="Times New Roman"/>
              <w:szCs w:val="21"/>
            </w:rPr>
            <w:fldChar w:fldCharType="end"/>
          </w:r>
        </w:p>
        <w:p w14:paraId="1C413D69">
          <w:pPr>
            <w:pStyle w:val="16"/>
            <w:tabs>
              <w:tab w:val="right" w:leader="dot" w:pos="8306"/>
            </w:tabs>
          </w:pPr>
          <w:r>
            <w:rPr>
              <w:rFonts w:cs="Times New Roman"/>
              <w:szCs w:val="21"/>
            </w:rPr>
            <w:fldChar w:fldCharType="begin"/>
          </w:r>
          <w:r>
            <w:rPr>
              <w:rFonts w:cs="Times New Roman"/>
              <w:szCs w:val="21"/>
            </w:rPr>
            <w:instrText xml:space="preserve"> HYPERLINK \l _Toc30277 </w:instrText>
          </w:r>
          <w:r>
            <w:rPr>
              <w:rFonts w:cs="Times New Roman"/>
              <w:szCs w:val="21"/>
            </w:rPr>
            <w:fldChar w:fldCharType="separate"/>
          </w:r>
          <w:r>
            <w:rPr>
              <w:rFonts w:ascii="Times New Roman" w:hAnsi="Times New Roman" w:cs="Times New Roman"/>
              <w:szCs w:val="24"/>
              <w:lang w:val="en-US"/>
            </w:rPr>
            <w:t>附表2-</w:t>
          </w:r>
          <w:r>
            <w:rPr>
              <w:rFonts w:hint="eastAsia" w:ascii="Times New Roman" w:hAnsi="Times New Roman" w:cs="Times New Roman"/>
              <w:szCs w:val="24"/>
              <w:lang w:val="en-US"/>
            </w:rPr>
            <w:t>5</w:t>
          </w:r>
          <w:r>
            <w:rPr>
              <w:rFonts w:ascii="Times New Roman" w:hAnsi="Times New Roman" w:cs="Times New Roman"/>
              <w:szCs w:val="24"/>
              <w:lang w:val="en-US"/>
            </w:rPr>
            <w:t>-1  天然湿地恢复目标表</w:t>
          </w:r>
          <w:r>
            <w:tab/>
          </w:r>
          <w:r>
            <w:fldChar w:fldCharType="begin"/>
          </w:r>
          <w:r>
            <w:instrText xml:space="preserve"> PAGEREF _Toc30277 \h </w:instrText>
          </w:r>
          <w:r>
            <w:fldChar w:fldCharType="separate"/>
          </w:r>
          <w:r>
            <w:t>31</w:t>
          </w:r>
          <w:r>
            <w:fldChar w:fldCharType="end"/>
          </w:r>
          <w:r>
            <w:rPr>
              <w:rFonts w:cs="Times New Roman"/>
              <w:szCs w:val="21"/>
            </w:rPr>
            <w:fldChar w:fldCharType="end"/>
          </w:r>
        </w:p>
        <w:p w14:paraId="07DC98CD">
          <w:pPr>
            <w:pStyle w:val="16"/>
            <w:tabs>
              <w:tab w:val="right" w:leader="dot" w:pos="8306"/>
            </w:tabs>
          </w:pPr>
          <w:r>
            <w:rPr>
              <w:rFonts w:cs="Times New Roman"/>
              <w:szCs w:val="21"/>
            </w:rPr>
            <w:fldChar w:fldCharType="begin"/>
          </w:r>
          <w:r>
            <w:rPr>
              <w:rFonts w:cs="Times New Roman"/>
              <w:szCs w:val="21"/>
            </w:rPr>
            <w:instrText xml:space="preserve"> HYPERLINK \l _Toc22366 </w:instrText>
          </w:r>
          <w:r>
            <w:rPr>
              <w:rFonts w:cs="Times New Roman"/>
              <w:szCs w:val="21"/>
            </w:rPr>
            <w:fldChar w:fldCharType="separate"/>
          </w:r>
          <w:r>
            <w:rPr>
              <w:rFonts w:ascii="Times New Roman" w:hAnsi="Times New Roman" w:cs="Times New Roman"/>
              <w:szCs w:val="24"/>
              <w:lang w:val="en-US"/>
            </w:rPr>
            <w:t>附表2-</w:t>
          </w:r>
          <w:r>
            <w:rPr>
              <w:rFonts w:hint="eastAsia" w:ascii="Times New Roman" w:hAnsi="Times New Roman" w:cs="Times New Roman"/>
              <w:szCs w:val="24"/>
              <w:lang w:val="en-US"/>
            </w:rPr>
            <w:t>5</w:t>
          </w:r>
          <w:r>
            <w:rPr>
              <w:rFonts w:ascii="Times New Roman" w:hAnsi="Times New Roman" w:cs="Times New Roman"/>
              <w:szCs w:val="24"/>
              <w:lang w:val="en-US"/>
            </w:rPr>
            <w:t>-2  人工湿地建设清单</w:t>
          </w:r>
          <w:r>
            <w:tab/>
          </w:r>
          <w:r>
            <w:fldChar w:fldCharType="begin"/>
          </w:r>
          <w:r>
            <w:instrText xml:space="preserve"> PAGEREF _Toc22366 \h </w:instrText>
          </w:r>
          <w:r>
            <w:fldChar w:fldCharType="separate"/>
          </w:r>
          <w:r>
            <w:t>31</w:t>
          </w:r>
          <w:r>
            <w:fldChar w:fldCharType="end"/>
          </w:r>
          <w:r>
            <w:rPr>
              <w:rFonts w:cs="Times New Roman"/>
              <w:szCs w:val="21"/>
            </w:rPr>
            <w:fldChar w:fldCharType="end"/>
          </w:r>
        </w:p>
        <w:p w14:paraId="2B50C642">
          <w:pPr>
            <w:pStyle w:val="16"/>
            <w:tabs>
              <w:tab w:val="right" w:leader="dot" w:pos="8306"/>
            </w:tabs>
          </w:pPr>
          <w:r>
            <w:rPr>
              <w:rFonts w:cs="Times New Roman"/>
              <w:szCs w:val="21"/>
            </w:rPr>
            <w:fldChar w:fldCharType="begin"/>
          </w:r>
          <w:r>
            <w:rPr>
              <w:rFonts w:cs="Times New Roman"/>
              <w:szCs w:val="21"/>
            </w:rPr>
            <w:instrText xml:space="preserve"> HYPERLINK \l _Toc8708 </w:instrText>
          </w:r>
          <w:r>
            <w:rPr>
              <w:rFonts w:cs="Times New Roman"/>
              <w:szCs w:val="21"/>
            </w:rPr>
            <w:fldChar w:fldCharType="separate"/>
          </w:r>
          <w:r>
            <w:rPr>
              <w:rFonts w:ascii="Times New Roman" w:hAnsi="Times New Roman" w:cs="Times New Roman"/>
              <w:szCs w:val="24"/>
              <w:lang w:val="en-US"/>
            </w:rPr>
            <w:t xml:space="preserve">附表3 </w:t>
          </w:r>
          <w:r>
            <w:rPr>
              <w:rFonts w:hint="eastAsia" w:ascii="Times New Roman" w:hAnsi="Times New Roman" w:cs="Times New Roman"/>
              <w:szCs w:val="24"/>
              <w:lang w:val="en-US"/>
            </w:rPr>
            <w:t xml:space="preserve"> </w:t>
          </w:r>
          <w:r>
            <w:rPr>
              <w:rFonts w:ascii="Times New Roman" w:hAnsi="Times New Roman" w:cs="Times New Roman"/>
              <w:szCs w:val="24"/>
              <w:lang w:val="en-US"/>
            </w:rPr>
            <w:t>规划工程项目表</w:t>
          </w:r>
          <w:r>
            <w:tab/>
          </w:r>
          <w:r>
            <w:fldChar w:fldCharType="begin"/>
          </w:r>
          <w:r>
            <w:instrText xml:space="preserve"> PAGEREF _Toc8708 \h </w:instrText>
          </w:r>
          <w:r>
            <w:fldChar w:fldCharType="separate"/>
          </w:r>
          <w:r>
            <w:t>32</w:t>
          </w:r>
          <w:r>
            <w:fldChar w:fldCharType="end"/>
          </w:r>
          <w:r>
            <w:rPr>
              <w:rFonts w:cs="Times New Roman"/>
              <w:szCs w:val="21"/>
            </w:rPr>
            <w:fldChar w:fldCharType="end"/>
          </w:r>
        </w:p>
        <w:p w14:paraId="46084A5C">
          <w:pPr>
            <w:ind w:firstLine="560"/>
            <w:rPr>
              <w:rFonts w:cs="Times New Roman"/>
            </w:rPr>
            <w:sectPr>
              <w:pgSz w:w="11906" w:h="16838"/>
              <w:pgMar w:top="1440" w:right="1800" w:bottom="1440" w:left="1800" w:header="851" w:footer="992" w:gutter="0"/>
              <w:cols w:space="425" w:num="1"/>
              <w:docGrid w:type="lines" w:linePitch="312" w:charSpace="0"/>
            </w:sectPr>
          </w:pPr>
          <w:r>
            <w:rPr>
              <w:rFonts w:cs="Times New Roman"/>
              <w:szCs w:val="21"/>
            </w:rPr>
            <w:fldChar w:fldCharType="end"/>
          </w:r>
        </w:p>
      </w:sdtContent>
    </w:sdt>
    <w:p w14:paraId="3462CD30">
      <w:pPr>
        <w:pStyle w:val="3"/>
        <w:bidi w:val="0"/>
      </w:pPr>
      <w:bookmarkStart w:id="4" w:name="_Toc17696"/>
      <w:r>
        <w:t>第一章</w:t>
      </w:r>
      <w:r>
        <w:rPr>
          <w:rFonts w:hint="eastAsia"/>
        </w:rPr>
        <w:t xml:space="preserve">  </w:t>
      </w:r>
      <w:r>
        <w:t>流域水生态环境状况</w:t>
      </w:r>
      <w:bookmarkEnd w:id="4"/>
    </w:p>
    <w:p w14:paraId="5BA7F630">
      <w:pPr>
        <w:pStyle w:val="4"/>
        <w:bidi w:val="0"/>
      </w:pPr>
      <w:bookmarkStart w:id="5" w:name="（一）流域概况"/>
      <w:bookmarkEnd w:id="5"/>
      <w:bookmarkStart w:id="6" w:name="_bookmark1"/>
      <w:bookmarkEnd w:id="6"/>
      <w:bookmarkStart w:id="7" w:name="_Toc31907"/>
      <w:r>
        <w:t>第一节</w:t>
      </w:r>
      <w:r>
        <w:rPr>
          <w:rFonts w:hint="eastAsia"/>
        </w:rPr>
        <w:t xml:space="preserve">  </w:t>
      </w:r>
      <w:r>
        <w:t>流域概况</w:t>
      </w:r>
      <w:bookmarkEnd w:id="7"/>
    </w:p>
    <w:p w14:paraId="0F7188AE">
      <w:pPr>
        <w:ind w:firstLine="562"/>
        <w:rPr>
          <w:rFonts w:cs="Times New Roman"/>
        </w:rPr>
      </w:pPr>
      <w:bookmarkStart w:id="8" w:name="1、自然概况"/>
      <w:bookmarkEnd w:id="8"/>
      <w:bookmarkStart w:id="9" w:name="_bookmark2"/>
      <w:bookmarkEnd w:id="9"/>
      <w:r>
        <w:rPr>
          <w:rFonts w:cs="Times New Roman"/>
          <w:b/>
        </w:rPr>
        <w:t>自然概况</w:t>
      </w:r>
      <w:r>
        <w:rPr>
          <w:rFonts w:hint="eastAsia" w:cs="Times New Roman"/>
          <w:b/>
        </w:rPr>
        <w:t>。</w:t>
      </w:r>
      <w:r>
        <w:rPr>
          <w:rFonts w:cs="Times New Roman"/>
        </w:rPr>
        <w:t>本溪市位于辽宁东南部（东经123°34´～125°46´，北纬40°49´～41°35´），地处辽东半岛腹地，北靠沈阳、抚顺，南接丹东，西邻辽阳、鞍山，东傍吉林，是沈丹铁路和沈丹高速公路的重要枢纽。全境东西长184公里，南北宽87公里，中间最窄部分13公里，版图呈哑铃状，总面积为8411平方公里。境内长白山余脉千山山脉自东北向西南横贯全境，形成以中低山及丘陵为主的较典型的</w:t>
      </w:r>
      <w:r>
        <w:rPr>
          <w:rFonts w:hint="eastAsia" w:cs="Times New Roman"/>
        </w:rPr>
        <w:t>“</w:t>
      </w:r>
      <w:r>
        <w:rPr>
          <w:rFonts w:cs="Times New Roman"/>
        </w:rPr>
        <w:t>山地丘陵、沟谷盆地</w:t>
      </w:r>
      <w:r>
        <w:rPr>
          <w:rFonts w:hint="eastAsia" w:cs="Times New Roman"/>
        </w:rPr>
        <w:t>”</w:t>
      </w:r>
      <w:r>
        <w:rPr>
          <w:rFonts w:cs="Times New Roman"/>
        </w:rPr>
        <w:t>地貌形态特征。</w:t>
      </w:r>
    </w:p>
    <w:p w14:paraId="58954C56">
      <w:pPr>
        <w:ind w:firstLine="562"/>
      </w:pPr>
      <w:bookmarkStart w:id="10" w:name="_bookmark3"/>
      <w:bookmarkEnd w:id="10"/>
      <w:bookmarkStart w:id="11" w:name="2、社会经济概况"/>
      <w:bookmarkEnd w:id="11"/>
      <w:r>
        <w:rPr>
          <w:rFonts w:cs="Times New Roman"/>
          <w:b/>
        </w:rPr>
        <w:t>社会经济概况</w:t>
      </w:r>
      <w:r>
        <w:rPr>
          <w:rFonts w:hint="eastAsia" w:cs="Times New Roman"/>
          <w:b/>
        </w:rPr>
        <w:t>。</w:t>
      </w:r>
      <w:r>
        <w:rPr>
          <w:rFonts w:hint="eastAsia" w:cs="Times New Roman"/>
        </w:rPr>
        <w:t>2020</w:t>
      </w:r>
      <w:r>
        <w:rPr>
          <w:rFonts w:cs="Times New Roman"/>
        </w:rPr>
        <w:t>年全市生产总值</w:t>
      </w:r>
      <w:r>
        <w:rPr>
          <w:rFonts w:hint="eastAsia" w:cs="Times New Roman"/>
          <w:lang w:val="en-US"/>
        </w:rPr>
        <w:t>810.4</w:t>
      </w:r>
      <w:r>
        <w:rPr>
          <w:rFonts w:cs="Times New Roman"/>
        </w:rPr>
        <w:t>亿元，按可比价格计算，比上年同期增长</w:t>
      </w:r>
      <w:r>
        <w:rPr>
          <w:rFonts w:hint="eastAsia" w:cs="Times New Roman"/>
        </w:rPr>
        <w:t>2.</w:t>
      </w:r>
      <w:r>
        <w:rPr>
          <w:rFonts w:cs="Times New Roman"/>
        </w:rPr>
        <w:t>5%。其中，第一产业增加值</w:t>
      </w:r>
      <w:r>
        <w:rPr>
          <w:rFonts w:hint="eastAsia" w:cs="Times New Roman"/>
        </w:rPr>
        <w:t>54.3</w:t>
      </w:r>
      <w:r>
        <w:rPr>
          <w:rFonts w:cs="Times New Roman"/>
        </w:rPr>
        <w:t>亿元，增长2.</w:t>
      </w:r>
      <w:r>
        <w:rPr>
          <w:rFonts w:hint="eastAsia" w:cs="Times New Roman"/>
        </w:rPr>
        <w:t>0</w:t>
      </w:r>
      <w:r>
        <w:rPr>
          <w:rFonts w:cs="Times New Roman"/>
        </w:rPr>
        <w:t>%；第二产业增加值</w:t>
      </w:r>
      <w:r>
        <w:rPr>
          <w:rFonts w:hint="eastAsia" w:cs="Times New Roman"/>
        </w:rPr>
        <w:t>382.9</w:t>
      </w:r>
      <w:r>
        <w:rPr>
          <w:rFonts w:cs="Times New Roman"/>
        </w:rPr>
        <w:t>亿元，增长</w:t>
      </w:r>
      <w:r>
        <w:rPr>
          <w:rFonts w:hint="eastAsia" w:cs="Times New Roman"/>
        </w:rPr>
        <w:t>3.3</w:t>
      </w:r>
      <w:r>
        <w:rPr>
          <w:rFonts w:cs="Times New Roman"/>
        </w:rPr>
        <w:t>%；第三产业增加值</w:t>
      </w:r>
      <w:r>
        <w:rPr>
          <w:rFonts w:hint="eastAsia" w:cs="Times New Roman"/>
        </w:rPr>
        <w:t>373.2</w:t>
      </w:r>
      <w:r>
        <w:rPr>
          <w:rFonts w:cs="Times New Roman"/>
        </w:rPr>
        <w:t>亿元，增长</w:t>
      </w:r>
      <w:r>
        <w:rPr>
          <w:rFonts w:hint="eastAsia" w:cs="Times New Roman"/>
        </w:rPr>
        <w:t>1.5</w:t>
      </w:r>
      <w:r>
        <w:rPr>
          <w:rFonts w:cs="Times New Roman"/>
        </w:rPr>
        <w:t>%。</w:t>
      </w:r>
    </w:p>
    <w:p w14:paraId="6B7A0BFB">
      <w:pPr>
        <w:ind w:firstLine="562"/>
        <w:rPr>
          <w:rFonts w:cs="Times New Roman"/>
        </w:rPr>
      </w:pPr>
      <w:bookmarkStart w:id="12" w:name="_bookmark4"/>
      <w:bookmarkEnd w:id="12"/>
      <w:bookmarkStart w:id="13" w:name="3、控制单元划分"/>
      <w:bookmarkEnd w:id="13"/>
      <w:r>
        <w:rPr>
          <w:rFonts w:cs="Times New Roman"/>
          <w:b/>
        </w:rPr>
        <w:t>地表水系情况</w:t>
      </w:r>
      <w:r>
        <w:rPr>
          <w:rFonts w:hint="eastAsia" w:cs="Times New Roman"/>
          <w:b/>
        </w:rPr>
        <w:t>。</w:t>
      </w:r>
      <w:r>
        <w:rPr>
          <w:rFonts w:cs="Times New Roman"/>
          <w:szCs w:val="28"/>
        </w:rPr>
        <w:t>本溪市境内有三大水系，分别为太子河水系、浑江水系、草河水系。境内大小河流近200条，大、中、小水库27座。太子河是辽宁省较大水系之一，太子河的水源有南北两支（南、北太子河），南支发源于</w:t>
      </w:r>
      <w:r>
        <w:fldChar w:fldCharType="begin"/>
      </w:r>
      <w:r>
        <w:instrText xml:space="preserve"> HYPERLINK "https://baike.baidu.com/item/%E6%9C%AC%E6%BA%AA%E5%B8%82/10378940" \t "_blank" </w:instrText>
      </w:r>
      <w:r>
        <w:fldChar w:fldCharType="separate"/>
      </w:r>
      <w:r>
        <w:rPr>
          <w:rFonts w:cs="Times New Roman"/>
          <w:szCs w:val="28"/>
        </w:rPr>
        <w:t>本溪市</w:t>
      </w:r>
      <w:r>
        <w:rPr>
          <w:rFonts w:cs="Times New Roman"/>
          <w:szCs w:val="28"/>
        </w:rPr>
        <w:fldChar w:fldCharType="end"/>
      </w:r>
      <w:r>
        <w:rPr>
          <w:rFonts w:cs="Times New Roman"/>
          <w:szCs w:val="28"/>
        </w:rPr>
        <w:t>本溪县</w:t>
      </w:r>
      <w:r>
        <w:fldChar w:fldCharType="begin"/>
      </w:r>
      <w:r>
        <w:instrText xml:space="preserve"> HYPERLINK "https://baike.baidu.com/item/%E4%B8%9C%E8%90%A5%E5%9D%8A%E4%B9%A1" \t "_blank" </w:instrText>
      </w:r>
      <w:r>
        <w:fldChar w:fldCharType="separate"/>
      </w:r>
      <w:r>
        <w:rPr>
          <w:rFonts w:cs="Times New Roman"/>
          <w:szCs w:val="28"/>
        </w:rPr>
        <w:t>东营坊乡</w:t>
      </w:r>
      <w:r>
        <w:rPr>
          <w:rFonts w:cs="Times New Roman"/>
          <w:szCs w:val="28"/>
        </w:rPr>
        <w:fldChar w:fldCharType="end"/>
      </w:r>
      <w:r>
        <w:rPr>
          <w:rFonts w:cs="Times New Roman"/>
          <w:szCs w:val="28"/>
        </w:rPr>
        <w:t>羊湖沟草帽顶子山麓，北支发源于</w:t>
      </w:r>
      <w:r>
        <w:fldChar w:fldCharType="begin"/>
      </w:r>
      <w:r>
        <w:instrText xml:space="preserve"> HYPERLINK "https://baike.baidu.com/item/%E6%8A%9A%E9%A1%BA/131590" \t "_blank" </w:instrText>
      </w:r>
      <w:r>
        <w:fldChar w:fldCharType="separate"/>
      </w:r>
      <w:r>
        <w:rPr>
          <w:rFonts w:cs="Times New Roman"/>
          <w:szCs w:val="28"/>
        </w:rPr>
        <w:t>抚顺</w:t>
      </w:r>
      <w:r>
        <w:rPr>
          <w:rFonts w:cs="Times New Roman"/>
          <w:szCs w:val="28"/>
        </w:rPr>
        <w:fldChar w:fldCharType="end"/>
      </w:r>
      <w:r>
        <w:rPr>
          <w:rFonts w:cs="Times New Roman"/>
          <w:szCs w:val="28"/>
        </w:rPr>
        <w:t>市</w:t>
      </w:r>
      <w:r>
        <w:fldChar w:fldCharType="begin"/>
      </w:r>
      <w:r>
        <w:instrText xml:space="preserve"> HYPERLINK "https://baike.baidu.com/item/%E6%96%B0%E5%AE%BE/7260740" \t "_blank" </w:instrText>
      </w:r>
      <w:r>
        <w:fldChar w:fldCharType="separate"/>
      </w:r>
      <w:r>
        <w:rPr>
          <w:rFonts w:cs="Times New Roman"/>
          <w:szCs w:val="28"/>
        </w:rPr>
        <w:t>新宾</w:t>
      </w:r>
      <w:r>
        <w:rPr>
          <w:rFonts w:cs="Times New Roman"/>
          <w:szCs w:val="28"/>
        </w:rPr>
        <w:fldChar w:fldCharType="end"/>
      </w:r>
      <w:r>
        <w:rPr>
          <w:rFonts w:cs="Times New Roman"/>
          <w:szCs w:val="28"/>
        </w:rPr>
        <w:t>满族自治县</w:t>
      </w:r>
      <w:r>
        <w:fldChar w:fldCharType="begin"/>
      </w:r>
      <w:r>
        <w:instrText xml:space="preserve"> HYPERLINK "https://baike.baidu.com/item/%E5%B9%B3%E9%A1%B6%E5%B1%B1%E9%95%87" \t "_blank" </w:instrText>
      </w:r>
      <w:r>
        <w:fldChar w:fldCharType="separate"/>
      </w:r>
      <w:r>
        <w:rPr>
          <w:rFonts w:cs="Times New Roman"/>
          <w:szCs w:val="28"/>
        </w:rPr>
        <w:t>平顶山镇</w:t>
      </w:r>
      <w:r>
        <w:rPr>
          <w:rFonts w:cs="Times New Roman"/>
          <w:szCs w:val="28"/>
        </w:rPr>
        <w:fldChar w:fldCharType="end"/>
      </w:r>
      <w:r>
        <w:rPr>
          <w:rFonts w:cs="Times New Roman"/>
          <w:szCs w:val="28"/>
        </w:rPr>
        <w:t>鸿雁沟，两支流在本溪县马家崴子汇合成太子河干流（观音阁水库）。太子河干流全长413公里，由东北向东南流经本溪县泉水、小市、偏岭等乡镇和明山区牛心台镇后进入市区，由东北向西南从市区中心通过，经城区西部兴安村流入辽阳地界，在海城境内与浑河汇合注入渤海。本溪市境内太子河干流长168公里，集水面积为5179平方公里。细河是本溪境内太子河的最主要支流，细河源头一支发源于丹东凤城市白云山南麓，一支发源于本溪县祁家堡子上游的东山，在本溪县连山关镇汇合形成细河干流，流经下马塘、南芬、桥头、北台，在北营钢铁集团下游河北村出境入辽阳</w:t>
      </w:r>
      <w:r>
        <w:rPr>
          <w:rFonts w:hint="eastAsia" w:cs="Times New Roman"/>
          <w:szCs w:val="28"/>
        </w:rPr>
        <w:t>葠窝</w:t>
      </w:r>
      <w:r>
        <w:rPr>
          <w:rFonts w:cs="Times New Roman"/>
          <w:szCs w:val="28"/>
        </w:rPr>
        <w:t>水库。细河在本溪境内干流长79.1公里，是沿岸41.92万人口和本钢、北营钢铁等大小60余个工业企业的主要水源。浑江发源于吉林省白山市北部的哈尔雅范山</w:t>
      </w:r>
      <w:r>
        <w:rPr>
          <w:rFonts w:cs="Times New Roman"/>
        </w:rPr>
        <w:t>全长447公里，总流域面积17500平方公里，多年平均径流量65.82亿立方米</w:t>
      </w:r>
      <w:r>
        <w:rPr>
          <w:rFonts w:hint="eastAsia" w:cs="Times New Roman"/>
        </w:rPr>
        <w:t>。</w:t>
      </w:r>
      <w:r>
        <w:rPr>
          <w:rFonts w:cs="Times New Roman"/>
        </w:rPr>
        <w:t>桓仁境内长161.8公里，</w:t>
      </w:r>
      <w:r>
        <w:rPr>
          <w:rFonts w:cs="Times New Roman"/>
          <w:szCs w:val="28"/>
        </w:rPr>
        <w:t>自北向南流经桓仁县12个乡镇</w:t>
      </w:r>
      <w:r>
        <w:rPr>
          <w:rFonts w:hint="eastAsia" w:cs="Times New Roman"/>
          <w:szCs w:val="28"/>
        </w:rPr>
        <w:t>，</w:t>
      </w:r>
      <w:r>
        <w:rPr>
          <w:rFonts w:cs="Times New Roman"/>
        </w:rPr>
        <w:t>境内流域面积3547平方公里</w:t>
      </w:r>
      <w:r>
        <w:rPr>
          <w:rFonts w:cs="Times New Roman"/>
          <w:szCs w:val="28"/>
        </w:rPr>
        <w:t>。主要支流河有</w:t>
      </w:r>
      <w:r>
        <w:rPr>
          <w:rFonts w:hint="eastAsia" w:cs="Times New Roman"/>
          <w:szCs w:val="28"/>
          <w:lang w:val="en-US"/>
        </w:rPr>
        <w:t>5</w:t>
      </w:r>
      <w:r>
        <w:rPr>
          <w:rFonts w:cs="Times New Roman"/>
          <w:szCs w:val="28"/>
        </w:rPr>
        <w:t>条，分别为富尔江、红汀子河、六河、哈达河、大雅河。</w:t>
      </w:r>
      <w:r>
        <w:rPr>
          <w:rFonts w:cs="Times New Roman"/>
        </w:rPr>
        <w:t>草河流经本溪县草河掌和草河城、草河口镇。草河本溪段干流河长30公里，流域面积524平方公里，主要支流有套峪河、黑峪河等河流。</w:t>
      </w:r>
    </w:p>
    <w:p w14:paraId="7F4C5EBA">
      <w:pPr>
        <w:pStyle w:val="4"/>
        <w:bidi w:val="0"/>
      </w:pPr>
      <w:bookmarkStart w:id="14" w:name="_Toc26316"/>
      <w:r>
        <w:t>第二节</w:t>
      </w:r>
      <w:r>
        <w:rPr>
          <w:rFonts w:hint="eastAsia"/>
        </w:rPr>
        <w:t xml:space="preserve">  </w:t>
      </w:r>
      <w:r>
        <w:t>水环境质量状况</w:t>
      </w:r>
      <w:bookmarkEnd w:id="14"/>
    </w:p>
    <w:p w14:paraId="01B4D7F8">
      <w:pPr>
        <w:ind w:firstLine="562"/>
        <w:rPr>
          <w:rFonts w:cs="Times New Roman"/>
        </w:rPr>
      </w:pPr>
      <w:r>
        <w:rPr>
          <w:rFonts w:cs="Times New Roman"/>
          <w:b/>
        </w:rPr>
        <w:t>地表水环境质量。</w:t>
      </w:r>
      <w:r>
        <w:rPr>
          <w:rFonts w:cs="Times New Roman"/>
        </w:rPr>
        <w:t>国控、省控断面水质优良比例由2015年的57.14%提高到2020年的85.72%，列全省第2位。与2015年相比，2020年全市化学需氧量、氨氮排放总量下降比例分别为33.54%、12.13%，超额完成省政府下达的总量减排目标。</w:t>
      </w:r>
    </w:p>
    <w:p w14:paraId="4EC8C1E9">
      <w:pPr>
        <w:ind w:firstLine="562"/>
        <w:rPr>
          <w:rFonts w:cs="Times New Roman"/>
        </w:rPr>
      </w:pPr>
      <w:r>
        <w:rPr>
          <w:rFonts w:cs="Times New Roman"/>
          <w:b/>
        </w:rPr>
        <w:t>饮用水水源水质。</w:t>
      </w:r>
      <w:r>
        <w:rPr>
          <w:rFonts w:cs="Times New Roman"/>
          <w:lang w:val="en-US"/>
        </w:rPr>
        <w:t>2020</w:t>
      </w:r>
      <w:r>
        <w:rPr>
          <w:rFonts w:cs="Times New Roman"/>
        </w:rPr>
        <w:t>年本溪市地级以上城市集中式饮用水水源水质达标率100%。</w:t>
      </w:r>
      <w:bookmarkStart w:id="15" w:name="（三）水资源状况"/>
      <w:bookmarkEnd w:id="15"/>
      <w:bookmarkStart w:id="16" w:name="_bookmark6"/>
      <w:bookmarkEnd w:id="16"/>
    </w:p>
    <w:p w14:paraId="421019E1">
      <w:pPr>
        <w:pStyle w:val="4"/>
        <w:bidi w:val="0"/>
      </w:pPr>
      <w:bookmarkStart w:id="17" w:name="_Toc6570"/>
      <w:r>
        <w:t>第三节</w:t>
      </w:r>
      <w:r>
        <w:rPr>
          <w:rFonts w:hint="eastAsia"/>
        </w:rPr>
        <w:t xml:space="preserve">  </w:t>
      </w:r>
      <w:r>
        <w:t>水资源状况</w:t>
      </w:r>
      <w:bookmarkEnd w:id="17"/>
    </w:p>
    <w:p w14:paraId="1F7F1F85">
      <w:pPr>
        <w:ind w:firstLine="560"/>
        <w:rPr>
          <w:rFonts w:cs="Times New Roman"/>
        </w:rPr>
      </w:pPr>
      <w:bookmarkStart w:id="18" w:name="1、水资源"/>
      <w:bookmarkEnd w:id="18"/>
      <w:bookmarkStart w:id="19" w:name="_bookmark7"/>
      <w:bookmarkEnd w:id="19"/>
      <w:r>
        <w:rPr>
          <w:rFonts w:hint="eastAsia" w:cs="Times New Roman"/>
        </w:rPr>
        <w:t>2019年本溪市水资源总量22.23亿立方米，地表水资源量2</w:t>
      </w:r>
      <w:r>
        <w:rPr>
          <w:rFonts w:cs="Times New Roman"/>
        </w:rPr>
        <w:t>2.16</w:t>
      </w:r>
      <w:r>
        <w:rPr>
          <w:rFonts w:hint="eastAsia" w:cs="Times New Roman"/>
        </w:rPr>
        <w:t>亿立方米，地下水资源量3.9亿立方米。全市</w:t>
      </w:r>
      <w:r>
        <w:rPr>
          <w:rFonts w:cs="Times New Roman"/>
        </w:rPr>
        <w:t>总供水量3.25亿立方米，其中地表水源供水量3.07亿立方米，占总供水量的94.30%；地下水源供水量0.18亿立方米，占总供水量的5.70%。全市总用水量约3.25亿立方米。其中居民生活用水量0.51亿立方米，占总用水量的15.7%；生产用水量2.74亿立方米，占总用水量的84.30%。</w:t>
      </w:r>
    </w:p>
    <w:p w14:paraId="00DFBD4A">
      <w:pPr>
        <w:pStyle w:val="4"/>
        <w:bidi w:val="0"/>
      </w:pPr>
      <w:bookmarkStart w:id="20" w:name="_bookmark10"/>
      <w:bookmarkEnd w:id="20"/>
      <w:bookmarkStart w:id="21" w:name="（四）水生态状况"/>
      <w:bookmarkEnd w:id="21"/>
      <w:bookmarkStart w:id="22" w:name="_Toc691"/>
      <w:r>
        <w:t>第四节</w:t>
      </w:r>
      <w:r>
        <w:rPr>
          <w:rFonts w:hint="eastAsia"/>
        </w:rPr>
        <w:t xml:space="preserve">  </w:t>
      </w:r>
      <w:r>
        <w:t>水生态状况</w:t>
      </w:r>
      <w:bookmarkEnd w:id="22"/>
    </w:p>
    <w:p w14:paraId="54882929">
      <w:pPr>
        <w:ind w:firstLine="562"/>
      </w:pPr>
      <w:bookmarkStart w:id="23" w:name="_bookmark11"/>
      <w:bookmarkEnd w:id="23"/>
      <w:bookmarkStart w:id="24" w:name="1、流域水生生物现状"/>
      <w:bookmarkEnd w:id="24"/>
      <w:r>
        <w:rPr>
          <w:rFonts w:cs="Times New Roman"/>
          <w:b/>
        </w:rPr>
        <w:t>河岸带情况</w:t>
      </w:r>
      <w:r>
        <w:rPr>
          <w:rFonts w:hint="eastAsia" w:cs="Times New Roman"/>
          <w:b/>
        </w:rPr>
        <w:t>。</w:t>
      </w:r>
      <w:r>
        <w:rPr>
          <w:rFonts w:cs="Times New Roman"/>
        </w:rPr>
        <w:t>太子河河岸带的植物区系以草甸沼泽，水生植被和土生植物为主</w:t>
      </w:r>
      <w:r>
        <w:rPr>
          <w:rFonts w:hint="eastAsia" w:cs="Times New Roman"/>
        </w:rPr>
        <w:t>，</w:t>
      </w:r>
      <w:r>
        <w:rPr>
          <w:rFonts w:cs="Times New Roman"/>
        </w:rPr>
        <w:t>草本植物占多数</w:t>
      </w:r>
      <w:r>
        <w:rPr>
          <w:rFonts w:hint="eastAsia" w:cs="Times New Roman"/>
        </w:rPr>
        <w:t>，</w:t>
      </w:r>
      <w:r>
        <w:rPr>
          <w:rFonts w:cs="Times New Roman"/>
        </w:rPr>
        <w:t>木本植物和灌木植物稀少，植物群落较为单一。</w:t>
      </w:r>
      <w:r>
        <w:t>太子河上游地区受人类活动干扰少</w:t>
      </w:r>
      <w:r>
        <w:rPr>
          <w:rFonts w:hint="eastAsia"/>
        </w:rPr>
        <w:t>，</w:t>
      </w:r>
      <w:r>
        <w:t>河岸带物种多样性指数高</w:t>
      </w:r>
      <w:r>
        <w:rPr>
          <w:rFonts w:hint="eastAsia"/>
        </w:rPr>
        <w:t>，中下游区域受到</w:t>
      </w:r>
      <w:r>
        <w:t>人为干扰影响生物多样性指数较低</w:t>
      </w:r>
      <w:r>
        <w:rPr>
          <w:rFonts w:cs="Times New Roman"/>
        </w:rPr>
        <w:t>。</w:t>
      </w:r>
    </w:p>
    <w:p w14:paraId="3E1EE15C">
      <w:pPr>
        <w:ind w:firstLine="562"/>
        <w:rPr>
          <w:rFonts w:cs="Times New Roman"/>
        </w:rPr>
      </w:pPr>
      <w:bookmarkStart w:id="25" w:name="2、流域鱼类现状"/>
      <w:bookmarkEnd w:id="25"/>
      <w:bookmarkStart w:id="26" w:name="_bookmark12"/>
      <w:bookmarkEnd w:id="26"/>
      <w:r>
        <w:rPr>
          <w:rFonts w:cs="Times New Roman"/>
          <w:b/>
        </w:rPr>
        <w:t>流域鱼类现状</w:t>
      </w:r>
      <w:r>
        <w:rPr>
          <w:rFonts w:hint="eastAsia" w:cs="Times New Roman"/>
        </w:rPr>
        <w:t>。</w:t>
      </w:r>
      <w:r>
        <w:rPr>
          <w:rFonts w:cs="Times New Roman"/>
        </w:rPr>
        <w:t>根据辽宁省淡水研究院开展的全省土著鱼类调查，本溪市现有土著鱼类9种。</w:t>
      </w:r>
    </w:p>
    <w:p w14:paraId="21A1A984">
      <w:pPr>
        <w:pStyle w:val="9"/>
        <w:spacing w:line="240" w:lineRule="auto"/>
        <w:ind w:firstLine="0" w:firstLineChars="0"/>
        <w:jc w:val="center"/>
        <w:rPr>
          <w:rFonts w:ascii="Times New Roman" w:hAnsi="Times New Roman" w:cs="Times New Roman"/>
          <w:b/>
          <w:bCs/>
          <w:sz w:val="24"/>
          <w:szCs w:val="24"/>
        </w:rPr>
      </w:pPr>
      <w:r>
        <w:rPr>
          <w:rFonts w:ascii="Times New Roman" w:hAnsi="Times New Roman" w:cs="Times New Roman"/>
          <w:b/>
          <w:bCs/>
          <w:sz w:val="24"/>
          <w:szCs w:val="24"/>
        </w:rPr>
        <w:t>表1</w:t>
      </w:r>
      <w:r>
        <w:rPr>
          <w:rFonts w:hint="eastAsia" w:ascii="Times New Roman" w:hAnsi="Times New Roman" w:cs="Times New Roman"/>
          <w:b/>
          <w:bCs/>
          <w:sz w:val="24"/>
          <w:szCs w:val="24"/>
        </w:rPr>
        <w:t>-</w:t>
      </w:r>
      <w:r>
        <w:rPr>
          <w:rFonts w:hint="eastAsia" w:ascii="Times New Roman" w:hAnsi="Times New Roman" w:cs="Times New Roman"/>
          <w:b/>
          <w:bCs/>
          <w:sz w:val="24"/>
          <w:szCs w:val="24"/>
          <w:lang w:val="en-US" w:eastAsia="zh-CN"/>
        </w:rPr>
        <w:t>1</w:t>
      </w:r>
      <w:r>
        <w:rPr>
          <w:rFonts w:ascii="Times New Roman" w:hAnsi="Times New Roman" w:cs="Times New Roman"/>
          <w:b/>
          <w:bCs/>
          <w:sz w:val="24"/>
          <w:szCs w:val="24"/>
        </w:rPr>
        <w:t xml:space="preserve"> </w:t>
      </w:r>
      <w:r>
        <w:rPr>
          <w:rFonts w:ascii="Times New Roman" w:hAnsi="Times New Roman" w:cs="Times New Roman"/>
          <w:b/>
          <w:bCs/>
          <w:sz w:val="24"/>
          <w:szCs w:val="24"/>
          <w:lang w:val="en-US"/>
        </w:rPr>
        <w:t xml:space="preserve"> </w:t>
      </w:r>
      <w:r>
        <w:rPr>
          <w:rFonts w:ascii="Times New Roman" w:hAnsi="Times New Roman" w:cs="Times New Roman"/>
          <w:b/>
          <w:bCs/>
          <w:sz w:val="24"/>
          <w:szCs w:val="24"/>
        </w:rPr>
        <w:t>本溪市土著鱼类调查表</w:t>
      </w:r>
    </w:p>
    <w:tbl>
      <w:tblPr>
        <w:tblStyle w:val="19"/>
        <w:tblW w:w="8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57"/>
        <w:gridCol w:w="825"/>
        <w:gridCol w:w="855"/>
        <w:gridCol w:w="795"/>
        <w:gridCol w:w="735"/>
        <w:gridCol w:w="1275"/>
        <w:gridCol w:w="1035"/>
        <w:gridCol w:w="810"/>
        <w:gridCol w:w="1287"/>
      </w:tblGrid>
      <w:tr w14:paraId="3C6A4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tblHeader/>
          <w:jc w:val="center"/>
        </w:trPr>
        <w:tc>
          <w:tcPr>
            <w:tcW w:w="557" w:type="dxa"/>
            <w:vAlign w:val="center"/>
          </w:tcPr>
          <w:p w14:paraId="2D9A1A00">
            <w:pPr>
              <w:pStyle w:val="9"/>
              <w:spacing w:line="240" w:lineRule="auto"/>
              <w:ind w:firstLine="0" w:firstLineChars="0"/>
              <w:jc w:val="center"/>
              <w:rPr>
                <w:rFonts w:ascii="Times New Roman" w:hAnsi="Times New Roman" w:cs="Times New Roman"/>
                <w:b/>
                <w:bCs/>
                <w:sz w:val="24"/>
                <w:szCs w:val="24"/>
              </w:rPr>
            </w:pPr>
            <w:r>
              <w:rPr>
                <w:rFonts w:ascii="Times New Roman" w:hAnsi="Times New Roman" w:cs="Times New Roman"/>
                <w:b/>
                <w:bCs/>
                <w:sz w:val="24"/>
                <w:szCs w:val="24"/>
              </w:rPr>
              <w:t>序号</w:t>
            </w:r>
          </w:p>
        </w:tc>
        <w:tc>
          <w:tcPr>
            <w:tcW w:w="825" w:type="dxa"/>
            <w:vAlign w:val="center"/>
          </w:tcPr>
          <w:p w14:paraId="6980846E">
            <w:pPr>
              <w:pStyle w:val="9"/>
              <w:spacing w:line="240" w:lineRule="auto"/>
              <w:ind w:firstLine="0" w:firstLineChars="0"/>
              <w:jc w:val="center"/>
              <w:rPr>
                <w:rFonts w:ascii="Times New Roman" w:hAnsi="Times New Roman" w:cs="Times New Roman"/>
                <w:b/>
                <w:bCs/>
                <w:sz w:val="24"/>
                <w:szCs w:val="24"/>
              </w:rPr>
            </w:pPr>
            <w:r>
              <w:rPr>
                <w:rFonts w:ascii="Times New Roman" w:hAnsi="Times New Roman" w:cs="Times New Roman"/>
                <w:b/>
                <w:bCs/>
                <w:sz w:val="24"/>
                <w:szCs w:val="24"/>
              </w:rPr>
              <w:t>省份</w:t>
            </w:r>
          </w:p>
        </w:tc>
        <w:tc>
          <w:tcPr>
            <w:tcW w:w="855" w:type="dxa"/>
            <w:vAlign w:val="center"/>
          </w:tcPr>
          <w:p w14:paraId="0EF35283">
            <w:pPr>
              <w:pStyle w:val="9"/>
              <w:spacing w:line="240" w:lineRule="auto"/>
              <w:ind w:firstLine="0" w:firstLineChars="0"/>
              <w:jc w:val="center"/>
              <w:rPr>
                <w:rFonts w:ascii="Times New Roman" w:hAnsi="Times New Roman" w:cs="Times New Roman"/>
                <w:b/>
                <w:bCs/>
                <w:sz w:val="24"/>
                <w:szCs w:val="24"/>
              </w:rPr>
            </w:pPr>
            <w:r>
              <w:rPr>
                <w:rFonts w:ascii="Times New Roman" w:hAnsi="Times New Roman" w:cs="Times New Roman"/>
                <w:b/>
                <w:bCs/>
                <w:sz w:val="24"/>
                <w:szCs w:val="24"/>
              </w:rPr>
              <w:t>城市</w:t>
            </w:r>
          </w:p>
        </w:tc>
        <w:tc>
          <w:tcPr>
            <w:tcW w:w="795" w:type="dxa"/>
            <w:vAlign w:val="center"/>
          </w:tcPr>
          <w:p w14:paraId="515C4AC6">
            <w:pPr>
              <w:pStyle w:val="9"/>
              <w:spacing w:line="240" w:lineRule="auto"/>
              <w:ind w:firstLine="0" w:firstLineChars="0"/>
              <w:jc w:val="center"/>
              <w:rPr>
                <w:rFonts w:ascii="Times New Roman" w:hAnsi="Times New Roman" w:cs="Times New Roman"/>
                <w:b/>
                <w:bCs/>
                <w:sz w:val="24"/>
                <w:szCs w:val="24"/>
              </w:rPr>
            </w:pPr>
            <w:r>
              <w:rPr>
                <w:rFonts w:ascii="Times New Roman" w:hAnsi="Times New Roman" w:cs="Times New Roman"/>
                <w:b/>
                <w:bCs/>
                <w:sz w:val="24"/>
                <w:szCs w:val="24"/>
              </w:rPr>
              <w:t>区县</w:t>
            </w:r>
          </w:p>
        </w:tc>
        <w:tc>
          <w:tcPr>
            <w:tcW w:w="735" w:type="dxa"/>
            <w:vAlign w:val="center"/>
          </w:tcPr>
          <w:p w14:paraId="517773E8">
            <w:pPr>
              <w:pStyle w:val="9"/>
              <w:spacing w:line="240" w:lineRule="auto"/>
              <w:ind w:firstLine="0" w:firstLineChars="0"/>
              <w:jc w:val="center"/>
              <w:rPr>
                <w:rFonts w:ascii="Times New Roman" w:hAnsi="Times New Roman" w:cs="Times New Roman"/>
                <w:b/>
                <w:bCs/>
                <w:sz w:val="24"/>
                <w:szCs w:val="24"/>
              </w:rPr>
            </w:pPr>
            <w:r>
              <w:rPr>
                <w:rFonts w:ascii="Times New Roman" w:hAnsi="Times New Roman" w:cs="Times New Roman"/>
                <w:b/>
                <w:bCs/>
                <w:sz w:val="24"/>
                <w:szCs w:val="24"/>
              </w:rPr>
              <w:t>流域</w:t>
            </w:r>
          </w:p>
        </w:tc>
        <w:tc>
          <w:tcPr>
            <w:tcW w:w="1275" w:type="dxa"/>
            <w:vAlign w:val="center"/>
          </w:tcPr>
          <w:p w14:paraId="6C3BBC31">
            <w:pPr>
              <w:pStyle w:val="9"/>
              <w:spacing w:line="240" w:lineRule="auto"/>
              <w:ind w:firstLine="0" w:firstLineChars="0"/>
              <w:jc w:val="center"/>
              <w:rPr>
                <w:rFonts w:ascii="Times New Roman" w:hAnsi="Times New Roman" w:cs="Times New Roman"/>
                <w:b/>
                <w:bCs/>
                <w:sz w:val="24"/>
                <w:szCs w:val="24"/>
              </w:rPr>
            </w:pPr>
            <w:r>
              <w:rPr>
                <w:rFonts w:ascii="Times New Roman" w:hAnsi="Times New Roman" w:cs="Times New Roman"/>
                <w:b/>
                <w:bCs/>
                <w:sz w:val="24"/>
                <w:szCs w:val="24"/>
              </w:rPr>
              <w:t>水体</w:t>
            </w:r>
          </w:p>
        </w:tc>
        <w:tc>
          <w:tcPr>
            <w:tcW w:w="1035" w:type="dxa"/>
            <w:vAlign w:val="center"/>
          </w:tcPr>
          <w:p w14:paraId="144B88ED">
            <w:pPr>
              <w:pStyle w:val="9"/>
              <w:spacing w:line="240" w:lineRule="auto"/>
              <w:ind w:firstLine="0" w:firstLineChars="0"/>
              <w:jc w:val="center"/>
              <w:rPr>
                <w:rFonts w:ascii="Times New Roman" w:hAnsi="Times New Roman" w:cs="Times New Roman"/>
                <w:b/>
                <w:bCs/>
                <w:sz w:val="24"/>
                <w:szCs w:val="24"/>
              </w:rPr>
            </w:pPr>
            <w:r>
              <w:rPr>
                <w:rFonts w:ascii="Times New Roman" w:hAnsi="Times New Roman" w:cs="Times New Roman"/>
                <w:b/>
                <w:bCs/>
                <w:sz w:val="24"/>
                <w:szCs w:val="24"/>
              </w:rPr>
              <w:t>水体类型</w:t>
            </w:r>
          </w:p>
        </w:tc>
        <w:tc>
          <w:tcPr>
            <w:tcW w:w="810" w:type="dxa"/>
            <w:vAlign w:val="center"/>
          </w:tcPr>
          <w:p w14:paraId="63FD1BEE">
            <w:pPr>
              <w:pStyle w:val="9"/>
              <w:spacing w:line="240" w:lineRule="auto"/>
              <w:ind w:firstLine="0" w:firstLineChars="0"/>
              <w:jc w:val="center"/>
              <w:rPr>
                <w:rFonts w:ascii="Times New Roman" w:hAnsi="Times New Roman" w:cs="Times New Roman"/>
                <w:b/>
                <w:bCs/>
                <w:sz w:val="24"/>
                <w:szCs w:val="24"/>
              </w:rPr>
            </w:pPr>
            <w:r>
              <w:rPr>
                <w:rFonts w:ascii="Times New Roman" w:hAnsi="Times New Roman" w:cs="Times New Roman"/>
                <w:b/>
                <w:bCs/>
                <w:sz w:val="24"/>
                <w:szCs w:val="24"/>
              </w:rPr>
              <w:t>俗称</w:t>
            </w:r>
          </w:p>
        </w:tc>
        <w:tc>
          <w:tcPr>
            <w:tcW w:w="1287" w:type="dxa"/>
            <w:vAlign w:val="center"/>
          </w:tcPr>
          <w:p w14:paraId="29EE6AF7">
            <w:pPr>
              <w:pStyle w:val="9"/>
              <w:spacing w:line="240" w:lineRule="auto"/>
              <w:ind w:firstLine="0" w:firstLineChars="0"/>
              <w:jc w:val="center"/>
              <w:rPr>
                <w:rFonts w:ascii="Times New Roman" w:hAnsi="Times New Roman" w:cs="Times New Roman"/>
                <w:b/>
                <w:bCs/>
                <w:sz w:val="24"/>
                <w:szCs w:val="24"/>
              </w:rPr>
            </w:pPr>
            <w:r>
              <w:rPr>
                <w:rFonts w:ascii="Times New Roman" w:hAnsi="Times New Roman" w:cs="Times New Roman"/>
                <w:b/>
                <w:bCs/>
                <w:sz w:val="24"/>
                <w:szCs w:val="24"/>
              </w:rPr>
              <w:t>学名</w:t>
            </w:r>
          </w:p>
        </w:tc>
      </w:tr>
      <w:tr w14:paraId="47071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557" w:type="dxa"/>
            <w:vAlign w:val="center"/>
          </w:tcPr>
          <w:p w14:paraId="16863897">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1</w:t>
            </w:r>
          </w:p>
        </w:tc>
        <w:tc>
          <w:tcPr>
            <w:tcW w:w="825" w:type="dxa"/>
            <w:vAlign w:val="center"/>
          </w:tcPr>
          <w:p w14:paraId="4AE29D8E">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辽宁省</w:t>
            </w:r>
          </w:p>
        </w:tc>
        <w:tc>
          <w:tcPr>
            <w:tcW w:w="855" w:type="dxa"/>
            <w:vAlign w:val="center"/>
          </w:tcPr>
          <w:p w14:paraId="5ED0B11F">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本溪市</w:t>
            </w:r>
          </w:p>
        </w:tc>
        <w:tc>
          <w:tcPr>
            <w:tcW w:w="795" w:type="dxa"/>
            <w:vAlign w:val="center"/>
          </w:tcPr>
          <w:p w14:paraId="413A3C92">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本溪县</w:t>
            </w:r>
          </w:p>
        </w:tc>
        <w:tc>
          <w:tcPr>
            <w:tcW w:w="735" w:type="dxa"/>
            <w:vAlign w:val="center"/>
          </w:tcPr>
          <w:p w14:paraId="753CB978">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辽河</w:t>
            </w:r>
          </w:p>
        </w:tc>
        <w:tc>
          <w:tcPr>
            <w:tcW w:w="1275" w:type="dxa"/>
            <w:vAlign w:val="center"/>
          </w:tcPr>
          <w:p w14:paraId="75B6DA5F">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太子河</w:t>
            </w:r>
          </w:p>
        </w:tc>
        <w:tc>
          <w:tcPr>
            <w:tcW w:w="1035" w:type="dxa"/>
            <w:vAlign w:val="center"/>
          </w:tcPr>
          <w:p w14:paraId="6F03796B">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河流</w:t>
            </w:r>
          </w:p>
        </w:tc>
        <w:tc>
          <w:tcPr>
            <w:tcW w:w="810" w:type="dxa"/>
            <w:vAlign w:val="center"/>
          </w:tcPr>
          <w:p w14:paraId="2D88CE1A">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柳根子</w:t>
            </w:r>
          </w:p>
        </w:tc>
        <w:tc>
          <w:tcPr>
            <w:tcW w:w="1287" w:type="dxa"/>
            <w:vAlign w:val="center"/>
          </w:tcPr>
          <w:p w14:paraId="615458F3">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拉氏鱥</w:t>
            </w:r>
          </w:p>
        </w:tc>
      </w:tr>
      <w:tr w14:paraId="5AB64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557" w:type="dxa"/>
            <w:vAlign w:val="center"/>
          </w:tcPr>
          <w:p w14:paraId="05E432E1">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2</w:t>
            </w:r>
          </w:p>
        </w:tc>
        <w:tc>
          <w:tcPr>
            <w:tcW w:w="825" w:type="dxa"/>
            <w:vAlign w:val="center"/>
          </w:tcPr>
          <w:p w14:paraId="633FF677">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辽宁省</w:t>
            </w:r>
          </w:p>
        </w:tc>
        <w:tc>
          <w:tcPr>
            <w:tcW w:w="855" w:type="dxa"/>
            <w:vAlign w:val="center"/>
          </w:tcPr>
          <w:p w14:paraId="143F2A27">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本溪市</w:t>
            </w:r>
          </w:p>
        </w:tc>
        <w:tc>
          <w:tcPr>
            <w:tcW w:w="795" w:type="dxa"/>
            <w:vAlign w:val="center"/>
          </w:tcPr>
          <w:p w14:paraId="21FAF8C6">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本溪县</w:t>
            </w:r>
          </w:p>
        </w:tc>
        <w:tc>
          <w:tcPr>
            <w:tcW w:w="735" w:type="dxa"/>
            <w:vAlign w:val="center"/>
          </w:tcPr>
          <w:p w14:paraId="72F1F23A">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辽河</w:t>
            </w:r>
          </w:p>
        </w:tc>
        <w:tc>
          <w:tcPr>
            <w:tcW w:w="1275" w:type="dxa"/>
            <w:vAlign w:val="center"/>
          </w:tcPr>
          <w:p w14:paraId="159F3F4E">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太子河</w:t>
            </w:r>
          </w:p>
        </w:tc>
        <w:tc>
          <w:tcPr>
            <w:tcW w:w="1035" w:type="dxa"/>
            <w:vAlign w:val="center"/>
          </w:tcPr>
          <w:p w14:paraId="2CBF3548">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河流</w:t>
            </w:r>
          </w:p>
        </w:tc>
        <w:tc>
          <w:tcPr>
            <w:tcW w:w="810" w:type="dxa"/>
            <w:vAlign w:val="center"/>
          </w:tcPr>
          <w:p w14:paraId="3DA82B68">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山胖头</w:t>
            </w:r>
          </w:p>
        </w:tc>
        <w:tc>
          <w:tcPr>
            <w:tcW w:w="1287" w:type="dxa"/>
            <w:vAlign w:val="center"/>
          </w:tcPr>
          <w:p w14:paraId="715F0198">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鸭绿沙塘鳢</w:t>
            </w:r>
          </w:p>
        </w:tc>
      </w:tr>
      <w:tr w14:paraId="5D5DCA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557" w:type="dxa"/>
            <w:vAlign w:val="center"/>
          </w:tcPr>
          <w:p w14:paraId="675A30EC">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3</w:t>
            </w:r>
          </w:p>
        </w:tc>
        <w:tc>
          <w:tcPr>
            <w:tcW w:w="825" w:type="dxa"/>
            <w:vAlign w:val="center"/>
          </w:tcPr>
          <w:p w14:paraId="7C9A1421">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辽宁省</w:t>
            </w:r>
          </w:p>
        </w:tc>
        <w:tc>
          <w:tcPr>
            <w:tcW w:w="855" w:type="dxa"/>
            <w:vAlign w:val="center"/>
          </w:tcPr>
          <w:p w14:paraId="05BFB88D">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本溪市</w:t>
            </w:r>
          </w:p>
        </w:tc>
        <w:tc>
          <w:tcPr>
            <w:tcW w:w="795" w:type="dxa"/>
            <w:vAlign w:val="center"/>
          </w:tcPr>
          <w:p w14:paraId="7B8AB3E6">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本溪县</w:t>
            </w:r>
          </w:p>
        </w:tc>
        <w:tc>
          <w:tcPr>
            <w:tcW w:w="735" w:type="dxa"/>
            <w:vAlign w:val="center"/>
          </w:tcPr>
          <w:p w14:paraId="543A6E59">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辽河</w:t>
            </w:r>
          </w:p>
        </w:tc>
        <w:tc>
          <w:tcPr>
            <w:tcW w:w="1275" w:type="dxa"/>
            <w:vAlign w:val="center"/>
          </w:tcPr>
          <w:p w14:paraId="76339EC2">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太子河</w:t>
            </w:r>
          </w:p>
        </w:tc>
        <w:tc>
          <w:tcPr>
            <w:tcW w:w="1035" w:type="dxa"/>
            <w:vAlign w:val="center"/>
          </w:tcPr>
          <w:p w14:paraId="66CAB2AC">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河流</w:t>
            </w:r>
          </w:p>
        </w:tc>
        <w:tc>
          <w:tcPr>
            <w:tcW w:w="810" w:type="dxa"/>
            <w:vAlign w:val="center"/>
          </w:tcPr>
          <w:p w14:paraId="6397FC7D">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花泥鳅</w:t>
            </w:r>
          </w:p>
        </w:tc>
        <w:tc>
          <w:tcPr>
            <w:tcW w:w="1287" w:type="dxa"/>
            <w:vAlign w:val="center"/>
          </w:tcPr>
          <w:p w14:paraId="57594B62">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北方须鳅</w:t>
            </w:r>
          </w:p>
        </w:tc>
      </w:tr>
      <w:tr w14:paraId="7F23C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557" w:type="dxa"/>
            <w:vAlign w:val="center"/>
          </w:tcPr>
          <w:p w14:paraId="0BAF329C">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4</w:t>
            </w:r>
          </w:p>
        </w:tc>
        <w:tc>
          <w:tcPr>
            <w:tcW w:w="825" w:type="dxa"/>
            <w:vAlign w:val="center"/>
          </w:tcPr>
          <w:p w14:paraId="0126A254">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辽宁省</w:t>
            </w:r>
          </w:p>
        </w:tc>
        <w:tc>
          <w:tcPr>
            <w:tcW w:w="855" w:type="dxa"/>
            <w:vAlign w:val="center"/>
          </w:tcPr>
          <w:p w14:paraId="6E2D6917">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本溪市</w:t>
            </w:r>
          </w:p>
        </w:tc>
        <w:tc>
          <w:tcPr>
            <w:tcW w:w="795" w:type="dxa"/>
            <w:vAlign w:val="center"/>
          </w:tcPr>
          <w:p w14:paraId="69119B95">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本溪县</w:t>
            </w:r>
          </w:p>
        </w:tc>
        <w:tc>
          <w:tcPr>
            <w:tcW w:w="735" w:type="dxa"/>
            <w:vAlign w:val="center"/>
          </w:tcPr>
          <w:p w14:paraId="49D0ED47">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辽河</w:t>
            </w:r>
          </w:p>
        </w:tc>
        <w:tc>
          <w:tcPr>
            <w:tcW w:w="1275" w:type="dxa"/>
            <w:vAlign w:val="center"/>
          </w:tcPr>
          <w:p w14:paraId="5C1E80AF">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太子河</w:t>
            </w:r>
          </w:p>
        </w:tc>
        <w:tc>
          <w:tcPr>
            <w:tcW w:w="1035" w:type="dxa"/>
            <w:vAlign w:val="center"/>
          </w:tcPr>
          <w:p w14:paraId="4A3CECFE">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河流</w:t>
            </w:r>
          </w:p>
        </w:tc>
        <w:tc>
          <w:tcPr>
            <w:tcW w:w="810" w:type="dxa"/>
            <w:vAlign w:val="center"/>
          </w:tcPr>
          <w:p w14:paraId="0194C815">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山石猴</w:t>
            </w:r>
          </w:p>
        </w:tc>
        <w:tc>
          <w:tcPr>
            <w:tcW w:w="1287" w:type="dxa"/>
            <w:vAlign w:val="center"/>
          </w:tcPr>
          <w:p w14:paraId="0CE19E0A">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花斑副泥鳅</w:t>
            </w:r>
          </w:p>
        </w:tc>
      </w:tr>
      <w:tr w14:paraId="08462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557" w:type="dxa"/>
            <w:vAlign w:val="center"/>
          </w:tcPr>
          <w:p w14:paraId="4E758930">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5</w:t>
            </w:r>
          </w:p>
        </w:tc>
        <w:tc>
          <w:tcPr>
            <w:tcW w:w="825" w:type="dxa"/>
            <w:vAlign w:val="center"/>
          </w:tcPr>
          <w:p w14:paraId="30C827A7">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辽宁省</w:t>
            </w:r>
          </w:p>
        </w:tc>
        <w:tc>
          <w:tcPr>
            <w:tcW w:w="855" w:type="dxa"/>
            <w:vAlign w:val="center"/>
          </w:tcPr>
          <w:p w14:paraId="77721749">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本溪市</w:t>
            </w:r>
          </w:p>
        </w:tc>
        <w:tc>
          <w:tcPr>
            <w:tcW w:w="795" w:type="dxa"/>
            <w:vAlign w:val="center"/>
          </w:tcPr>
          <w:p w14:paraId="5044B2A2">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桓仁县</w:t>
            </w:r>
          </w:p>
        </w:tc>
        <w:tc>
          <w:tcPr>
            <w:tcW w:w="735" w:type="dxa"/>
            <w:vAlign w:val="center"/>
          </w:tcPr>
          <w:p w14:paraId="34D1C5BA">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鸭绿江</w:t>
            </w:r>
          </w:p>
        </w:tc>
        <w:tc>
          <w:tcPr>
            <w:tcW w:w="1275" w:type="dxa"/>
            <w:vAlign w:val="center"/>
          </w:tcPr>
          <w:p w14:paraId="314016A3">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桓仁水库</w:t>
            </w:r>
          </w:p>
        </w:tc>
        <w:tc>
          <w:tcPr>
            <w:tcW w:w="1035" w:type="dxa"/>
            <w:vAlign w:val="center"/>
          </w:tcPr>
          <w:p w14:paraId="0D18DA42">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湖库</w:t>
            </w:r>
          </w:p>
        </w:tc>
        <w:tc>
          <w:tcPr>
            <w:tcW w:w="810" w:type="dxa"/>
            <w:vAlign w:val="center"/>
          </w:tcPr>
          <w:p w14:paraId="47FE93AD">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花吉勾</w:t>
            </w:r>
          </w:p>
        </w:tc>
        <w:tc>
          <w:tcPr>
            <w:tcW w:w="1287" w:type="dxa"/>
            <w:vAlign w:val="center"/>
          </w:tcPr>
          <w:p w14:paraId="1B5B137A">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花䱻</w:t>
            </w:r>
          </w:p>
        </w:tc>
      </w:tr>
      <w:tr w14:paraId="6DC21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557" w:type="dxa"/>
            <w:vAlign w:val="center"/>
          </w:tcPr>
          <w:p w14:paraId="4B6E8AA7">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6</w:t>
            </w:r>
          </w:p>
        </w:tc>
        <w:tc>
          <w:tcPr>
            <w:tcW w:w="825" w:type="dxa"/>
            <w:vAlign w:val="center"/>
          </w:tcPr>
          <w:p w14:paraId="0520FE66">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辽宁省</w:t>
            </w:r>
          </w:p>
        </w:tc>
        <w:tc>
          <w:tcPr>
            <w:tcW w:w="855" w:type="dxa"/>
            <w:vAlign w:val="center"/>
          </w:tcPr>
          <w:p w14:paraId="7A0ABC2E">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本溪市</w:t>
            </w:r>
          </w:p>
        </w:tc>
        <w:tc>
          <w:tcPr>
            <w:tcW w:w="795" w:type="dxa"/>
            <w:vAlign w:val="center"/>
          </w:tcPr>
          <w:p w14:paraId="36241FE9">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桓仁县</w:t>
            </w:r>
          </w:p>
        </w:tc>
        <w:tc>
          <w:tcPr>
            <w:tcW w:w="735" w:type="dxa"/>
            <w:vAlign w:val="center"/>
          </w:tcPr>
          <w:p w14:paraId="1F6D09CC">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鸭绿江</w:t>
            </w:r>
          </w:p>
        </w:tc>
        <w:tc>
          <w:tcPr>
            <w:tcW w:w="1275" w:type="dxa"/>
            <w:vAlign w:val="center"/>
          </w:tcPr>
          <w:p w14:paraId="6DC7EA41">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桓仁水库</w:t>
            </w:r>
          </w:p>
        </w:tc>
        <w:tc>
          <w:tcPr>
            <w:tcW w:w="1035" w:type="dxa"/>
            <w:vAlign w:val="center"/>
          </w:tcPr>
          <w:p w14:paraId="3BB1E20C">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河流</w:t>
            </w:r>
          </w:p>
        </w:tc>
        <w:tc>
          <w:tcPr>
            <w:tcW w:w="810" w:type="dxa"/>
            <w:vAlign w:val="center"/>
          </w:tcPr>
          <w:p w14:paraId="2163C4C5">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柳根子</w:t>
            </w:r>
          </w:p>
        </w:tc>
        <w:tc>
          <w:tcPr>
            <w:tcW w:w="1287" w:type="dxa"/>
            <w:vAlign w:val="center"/>
          </w:tcPr>
          <w:p w14:paraId="342849CD">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湖鱥</w:t>
            </w:r>
          </w:p>
        </w:tc>
      </w:tr>
      <w:tr w14:paraId="77DA5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557" w:type="dxa"/>
            <w:vAlign w:val="center"/>
          </w:tcPr>
          <w:p w14:paraId="77666563">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7</w:t>
            </w:r>
          </w:p>
        </w:tc>
        <w:tc>
          <w:tcPr>
            <w:tcW w:w="825" w:type="dxa"/>
            <w:vAlign w:val="center"/>
          </w:tcPr>
          <w:p w14:paraId="3666C0F0">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辽宁省</w:t>
            </w:r>
          </w:p>
        </w:tc>
        <w:tc>
          <w:tcPr>
            <w:tcW w:w="855" w:type="dxa"/>
            <w:vAlign w:val="center"/>
          </w:tcPr>
          <w:p w14:paraId="233F1A12">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本溪市</w:t>
            </w:r>
          </w:p>
        </w:tc>
        <w:tc>
          <w:tcPr>
            <w:tcW w:w="795" w:type="dxa"/>
            <w:vAlign w:val="center"/>
          </w:tcPr>
          <w:p w14:paraId="065A356F">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本溪县</w:t>
            </w:r>
          </w:p>
        </w:tc>
        <w:tc>
          <w:tcPr>
            <w:tcW w:w="735" w:type="dxa"/>
            <w:vAlign w:val="center"/>
          </w:tcPr>
          <w:p w14:paraId="1719036A">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辽河</w:t>
            </w:r>
          </w:p>
        </w:tc>
        <w:tc>
          <w:tcPr>
            <w:tcW w:w="1275" w:type="dxa"/>
            <w:vAlign w:val="center"/>
          </w:tcPr>
          <w:p w14:paraId="502E279F">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观音阁水库</w:t>
            </w:r>
          </w:p>
        </w:tc>
        <w:tc>
          <w:tcPr>
            <w:tcW w:w="1035" w:type="dxa"/>
            <w:vAlign w:val="center"/>
          </w:tcPr>
          <w:p w14:paraId="508F0385">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湖库</w:t>
            </w:r>
          </w:p>
        </w:tc>
        <w:tc>
          <w:tcPr>
            <w:tcW w:w="810" w:type="dxa"/>
            <w:vAlign w:val="center"/>
          </w:tcPr>
          <w:p w14:paraId="0A3BD929">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鳑鲏</w:t>
            </w:r>
          </w:p>
        </w:tc>
        <w:tc>
          <w:tcPr>
            <w:tcW w:w="1287" w:type="dxa"/>
            <w:vAlign w:val="center"/>
          </w:tcPr>
          <w:p w14:paraId="5F66144F">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越南鱊</w:t>
            </w:r>
          </w:p>
        </w:tc>
      </w:tr>
      <w:tr w14:paraId="4E857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557" w:type="dxa"/>
            <w:vAlign w:val="center"/>
          </w:tcPr>
          <w:p w14:paraId="37D4076F">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8</w:t>
            </w:r>
          </w:p>
        </w:tc>
        <w:tc>
          <w:tcPr>
            <w:tcW w:w="825" w:type="dxa"/>
            <w:vAlign w:val="center"/>
          </w:tcPr>
          <w:p w14:paraId="59722505">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辽宁省</w:t>
            </w:r>
          </w:p>
        </w:tc>
        <w:tc>
          <w:tcPr>
            <w:tcW w:w="855" w:type="dxa"/>
            <w:vAlign w:val="center"/>
          </w:tcPr>
          <w:p w14:paraId="49A26CA8">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本溪市</w:t>
            </w:r>
          </w:p>
        </w:tc>
        <w:tc>
          <w:tcPr>
            <w:tcW w:w="795" w:type="dxa"/>
            <w:vAlign w:val="center"/>
          </w:tcPr>
          <w:p w14:paraId="298B5DFA">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本溪县</w:t>
            </w:r>
          </w:p>
        </w:tc>
        <w:tc>
          <w:tcPr>
            <w:tcW w:w="735" w:type="dxa"/>
            <w:vAlign w:val="center"/>
          </w:tcPr>
          <w:p w14:paraId="27F34891">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辽河</w:t>
            </w:r>
          </w:p>
        </w:tc>
        <w:tc>
          <w:tcPr>
            <w:tcW w:w="1275" w:type="dxa"/>
            <w:vAlign w:val="center"/>
          </w:tcPr>
          <w:p w14:paraId="1FC33FA9">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观音阁水库</w:t>
            </w:r>
          </w:p>
        </w:tc>
        <w:tc>
          <w:tcPr>
            <w:tcW w:w="1035" w:type="dxa"/>
            <w:vAlign w:val="center"/>
          </w:tcPr>
          <w:p w14:paraId="6ACC26C3">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湖库</w:t>
            </w:r>
          </w:p>
        </w:tc>
        <w:tc>
          <w:tcPr>
            <w:tcW w:w="810" w:type="dxa"/>
            <w:vAlign w:val="center"/>
          </w:tcPr>
          <w:p w14:paraId="36F9FD54">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葫芦子</w:t>
            </w:r>
          </w:p>
        </w:tc>
        <w:tc>
          <w:tcPr>
            <w:tcW w:w="1287" w:type="dxa"/>
            <w:vAlign w:val="center"/>
          </w:tcPr>
          <w:p w14:paraId="28E5FA1D">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彩石鳑鲏</w:t>
            </w:r>
          </w:p>
        </w:tc>
      </w:tr>
      <w:tr w14:paraId="096B6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557" w:type="dxa"/>
            <w:vAlign w:val="center"/>
          </w:tcPr>
          <w:p w14:paraId="02034795">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9</w:t>
            </w:r>
          </w:p>
        </w:tc>
        <w:tc>
          <w:tcPr>
            <w:tcW w:w="825" w:type="dxa"/>
            <w:vAlign w:val="center"/>
          </w:tcPr>
          <w:p w14:paraId="618406DD">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辽宁省</w:t>
            </w:r>
          </w:p>
        </w:tc>
        <w:tc>
          <w:tcPr>
            <w:tcW w:w="855" w:type="dxa"/>
            <w:vAlign w:val="center"/>
          </w:tcPr>
          <w:p w14:paraId="0725535F">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本溪市</w:t>
            </w:r>
          </w:p>
        </w:tc>
        <w:tc>
          <w:tcPr>
            <w:tcW w:w="795" w:type="dxa"/>
            <w:vAlign w:val="center"/>
          </w:tcPr>
          <w:p w14:paraId="6C257BBC">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本溪县</w:t>
            </w:r>
          </w:p>
        </w:tc>
        <w:tc>
          <w:tcPr>
            <w:tcW w:w="735" w:type="dxa"/>
            <w:vAlign w:val="center"/>
          </w:tcPr>
          <w:p w14:paraId="6CA4AC2C">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辽河</w:t>
            </w:r>
          </w:p>
        </w:tc>
        <w:tc>
          <w:tcPr>
            <w:tcW w:w="1275" w:type="dxa"/>
            <w:vAlign w:val="center"/>
          </w:tcPr>
          <w:p w14:paraId="267D350F">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太子河</w:t>
            </w:r>
          </w:p>
        </w:tc>
        <w:tc>
          <w:tcPr>
            <w:tcW w:w="1035" w:type="dxa"/>
            <w:vAlign w:val="center"/>
          </w:tcPr>
          <w:p w14:paraId="073883E8">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河流</w:t>
            </w:r>
          </w:p>
        </w:tc>
        <w:tc>
          <w:tcPr>
            <w:tcW w:w="810" w:type="dxa"/>
            <w:vAlign w:val="center"/>
          </w:tcPr>
          <w:p w14:paraId="7BC4F87C">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花丁鮈</w:t>
            </w:r>
          </w:p>
        </w:tc>
        <w:tc>
          <w:tcPr>
            <w:tcW w:w="1287" w:type="dxa"/>
            <w:vAlign w:val="center"/>
          </w:tcPr>
          <w:p w14:paraId="34585EA7">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犬首鮈</w:t>
            </w:r>
          </w:p>
        </w:tc>
      </w:tr>
    </w:tbl>
    <w:p w14:paraId="019CE1FB">
      <w:pPr>
        <w:pStyle w:val="3"/>
        <w:keepNext/>
        <w:keepLines/>
        <w:spacing w:before="480"/>
        <w:rPr>
          <w:rFonts w:ascii="华文细黑" w:hAnsi="华文细黑" w:eastAsia="华文细黑" w:cs="Times New Roman"/>
        </w:rPr>
        <w:sectPr>
          <w:headerReference r:id="rId11" w:type="default"/>
          <w:footerReference r:id="rId12" w:type="default"/>
          <w:pgSz w:w="11906" w:h="16838"/>
          <w:pgMar w:top="1440" w:right="1800" w:bottom="1440" w:left="1800" w:header="851" w:footer="850" w:gutter="0"/>
          <w:pgNumType w:start="1"/>
          <w:cols w:space="425" w:num="1"/>
          <w:docGrid w:type="lines" w:linePitch="312" w:charSpace="0"/>
        </w:sectPr>
      </w:pPr>
      <w:bookmarkStart w:id="27" w:name="（六）“十三五”水生态环境保护实施成效与经验"/>
      <w:bookmarkEnd w:id="27"/>
      <w:bookmarkStart w:id="28" w:name="_bookmark14"/>
      <w:bookmarkEnd w:id="28"/>
      <w:bookmarkStart w:id="29" w:name="（五）水污染物排放状况"/>
      <w:bookmarkEnd w:id="29"/>
      <w:bookmarkStart w:id="30" w:name="_bookmark13"/>
      <w:bookmarkEnd w:id="30"/>
    </w:p>
    <w:p w14:paraId="5B74B102">
      <w:pPr>
        <w:pStyle w:val="3"/>
        <w:bidi w:val="0"/>
        <w:rPr>
          <w:rFonts w:hint="eastAsia"/>
        </w:rPr>
      </w:pPr>
      <w:bookmarkStart w:id="31" w:name="_Toc413"/>
      <w:r>
        <w:rPr>
          <w:rFonts w:hint="eastAsia"/>
        </w:rPr>
        <w:t>第二章  “十三五”成效经验及“十四五”面临挑战</w:t>
      </w:r>
      <w:bookmarkEnd w:id="31"/>
    </w:p>
    <w:p w14:paraId="5294567F">
      <w:pPr>
        <w:pStyle w:val="4"/>
        <w:bidi w:val="0"/>
      </w:pPr>
      <w:bookmarkStart w:id="32" w:name="_Toc23035"/>
      <w:r>
        <w:rPr>
          <w:rFonts w:hint="eastAsia"/>
        </w:rPr>
        <w:t>第一节  “</w:t>
      </w:r>
      <w:r>
        <w:t>十三五</w:t>
      </w:r>
      <w:r>
        <w:rPr>
          <w:rFonts w:hint="eastAsia"/>
        </w:rPr>
        <w:t>”</w:t>
      </w:r>
      <w:r>
        <w:t>水生态环境保护成效与经验</w:t>
      </w:r>
      <w:bookmarkEnd w:id="32"/>
    </w:p>
    <w:p w14:paraId="6FF50BC3">
      <w:pPr>
        <w:ind w:firstLine="560"/>
        <w:rPr>
          <w:rFonts w:cs="Times New Roman"/>
        </w:rPr>
      </w:pPr>
      <w:r>
        <w:rPr>
          <w:rFonts w:cs="Times New Roman"/>
        </w:rPr>
        <w:t>“</w:t>
      </w:r>
      <w:r>
        <w:rPr>
          <w:rFonts w:hint="eastAsia" w:cs="Times New Roman"/>
        </w:rPr>
        <w:t>十三五</w:t>
      </w:r>
      <w:r>
        <w:rPr>
          <w:rFonts w:cs="Times New Roman"/>
        </w:rPr>
        <w:t>”</w:t>
      </w:r>
      <w:r>
        <w:rPr>
          <w:rFonts w:hint="eastAsia" w:cs="Times New Roman"/>
        </w:rPr>
        <w:t>期间，全市</w:t>
      </w:r>
      <w:r>
        <w:rPr>
          <w:rFonts w:cs="Times New Roman"/>
        </w:rPr>
        <w:t>上下以习近平新时代中国特色社会主义思想为指导，全面学习贯彻党的十九大和十九届二中、三中、四中、五中全会精神，按照《水污染防治行动计划》要求，按照省委、省政府的工作安排，在省生态环境厅总体部署下</w:t>
      </w:r>
      <w:r>
        <w:rPr>
          <w:rFonts w:hint="eastAsia" w:cs="Times New Roman"/>
        </w:rPr>
        <w:t>，</w:t>
      </w:r>
      <w:r>
        <w:rPr>
          <w:rFonts w:cs="Times New Roman"/>
        </w:rPr>
        <w:t>系统实施了城市黑臭水体攻坚战、集中式饮用水水源地保护攻坚战、重污染河流治理攻坚战</w:t>
      </w:r>
      <w:r>
        <w:rPr>
          <w:rFonts w:hint="eastAsia" w:cs="Times New Roman"/>
        </w:rPr>
        <w:t>，“碧水”成效显著。</w:t>
      </w:r>
    </w:p>
    <w:p w14:paraId="719842AF">
      <w:pPr>
        <w:ind w:firstLine="562"/>
        <w:rPr>
          <w:rFonts w:cs="Times New Roman"/>
        </w:rPr>
      </w:pPr>
      <w:r>
        <w:rPr>
          <w:rFonts w:cs="Times New Roman"/>
          <w:b/>
          <w:bCs/>
        </w:rPr>
        <w:t>一是工业点源治理得到有效治理。</w:t>
      </w:r>
      <w:r>
        <w:rPr>
          <w:rFonts w:cs="Times New Roman"/>
        </w:rPr>
        <w:t>本钢工业污水治理不断深化</w:t>
      </w:r>
      <w:r>
        <w:rPr>
          <w:rFonts w:hint="eastAsia" w:cs="Times New Roman"/>
        </w:rPr>
        <w:t>。</w:t>
      </w:r>
      <w:r>
        <w:rPr>
          <w:rFonts w:cs="Times New Roman"/>
        </w:rPr>
        <w:t>2016年完成本钢板材焦化厂东风厂区8#、9#焦炉生物脱氮污水处理设施升级改造，采用膜处理+臭氧深度处理+超滤、反渗透膜处理技术，实现焦化废水零排放，保障兴安断面特征污染物挥发酚持续达标；2019年，完成本钢板材污水处理厂深度处理项目</w:t>
      </w:r>
      <w:r>
        <w:rPr>
          <w:rFonts w:hint="eastAsia" w:cs="Times New Roman"/>
        </w:rPr>
        <w:t>，</w:t>
      </w:r>
      <w:r>
        <w:rPr>
          <w:rFonts w:cs="Times New Roman"/>
        </w:rPr>
        <w:t>进一步降低污染物排放量。同时，为保障兴安断面达标，2019年6月本钢集团采取氨氮临时强化处理措施，全年排放口氨氮平均浓度控制在3mg/L以下，污水排放量控制在2万立方米/日以下。</w:t>
      </w:r>
    </w:p>
    <w:p w14:paraId="020866B9">
      <w:pPr>
        <w:ind w:firstLine="562"/>
        <w:rPr>
          <w:rFonts w:cs="Times New Roman"/>
        </w:rPr>
      </w:pPr>
      <w:r>
        <w:rPr>
          <w:rFonts w:cs="Times New Roman"/>
          <w:b/>
          <w:bCs/>
        </w:rPr>
        <w:t>二是城镇污水基础设施进一步完善。</w:t>
      </w:r>
      <w:r>
        <w:rPr>
          <w:rFonts w:cs="Times New Roman"/>
        </w:rPr>
        <w:t>实施沙河东路（松岱路~张仲景大街段）污水管网工程、辽宁省本溪市溪湖老工业区牛心台地区污水管线建设工程项目、南芬区污水处理厂提标改造项目、北沙河污水截流管网工程</w:t>
      </w:r>
      <w:r>
        <w:rPr>
          <w:rFonts w:hint="eastAsia" w:cs="Times New Roman"/>
        </w:rPr>
        <w:t>、</w:t>
      </w:r>
      <w:r>
        <w:rPr>
          <w:rFonts w:cs="Times New Roman"/>
        </w:rPr>
        <w:t>本溪市明山区新型城镇化建设项目排水建设项目等城镇基础设施建设项目，全市污水收集能力得到</w:t>
      </w:r>
      <w:r>
        <w:rPr>
          <w:rFonts w:hint="eastAsia" w:cs="Times New Roman"/>
          <w:lang w:eastAsia="zh-CN"/>
        </w:rPr>
        <w:t>进一步</w:t>
      </w:r>
      <w:bookmarkStart w:id="244" w:name="_GoBack"/>
      <w:bookmarkEnd w:id="244"/>
      <w:r>
        <w:rPr>
          <w:rFonts w:cs="Times New Roman"/>
        </w:rPr>
        <w:t>提升。</w:t>
      </w:r>
      <w:r>
        <w:rPr>
          <w:rFonts w:hint="eastAsia" w:cs="Times New Roman"/>
        </w:rPr>
        <w:t>“</w:t>
      </w:r>
      <w:r>
        <w:rPr>
          <w:rFonts w:cs="Times New Roman"/>
        </w:rPr>
        <w:t>十三五</w:t>
      </w:r>
      <w:r>
        <w:rPr>
          <w:rFonts w:hint="eastAsia" w:cs="Times New Roman"/>
        </w:rPr>
        <w:t>”</w:t>
      </w:r>
      <w:r>
        <w:rPr>
          <w:rFonts w:cs="Times New Roman"/>
        </w:rPr>
        <w:t>期间，通过争取国家资金支持，2018年实施了彩屯河及排涝池黑臭水体整治工程。</w:t>
      </w:r>
    </w:p>
    <w:p w14:paraId="471E1208">
      <w:pPr>
        <w:ind w:firstLine="562"/>
        <w:rPr>
          <w:rFonts w:cs="Times New Roman"/>
        </w:rPr>
      </w:pPr>
      <w:r>
        <w:rPr>
          <w:rFonts w:cs="Times New Roman"/>
          <w:b/>
          <w:bCs/>
        </w:rPr>
        <w:t>三是水源安全得到进一步保障。</w:t>
      </w:r>
      <w:r>
        <w:rPr>
          <w:rFonts w:cs="Times New Roman"/>
        </w:rPr>
        <w:t>以桓仁水库及浑江输水河道保护为重点，实施了大伙房水源桓仁区域一级保护区隔离工程</w:t>
      </w:r>
      <w:r>
        <w:rPr>
          <w:rFonts w:hint="eastAsia" w:cs="Times New Roman"/>
        </w:rPr>
        <w:t>、</w:t>
      </w:r>
      <w:r>
        <w:rPr>
          <w:rFonts w:cs="Times New Roman"/>
        </w:rPr>
        <w:t>桓仁县亚铅河流域生态治理工程</w:t>
      </w:r>
      <w:r>
        <w:rPr>
          <w:rFonts w:hint="eastAsia" w:cs="Times New Roman"/>
        </w:rPr>
        <w:t>、</w:t>
      </w:r>
      <w:r>
        <w:rPr>
          <w:rFonts w:cs="Times New Roman"/>
        </w:rPr>
        <w:t>二棚甸子镇污水处理厂工程</w:t>
      </w:r>
      <w:r>
        <w:rPr>
          <w:rFonts w:hint="eastAsia" w:cs="Times New Roman"/>
        </w:rPr>
        <w:t>、</w:t>
      </w:r>
      <w:r>
        <w:rPr>
          <w:rFonts w:cs="Times New Roman"/>
        </w:rPr>
        <w:t>哈达河下游五女山保护区环境综合治理工程</w:t>
      </w:r>
      <w:r>
        <w:rPr>
          <w:rFonts w:hint="eastAsia" w:cs="Times New Roman"/>
        </w:rPr>
        <w:t>、</w:t>
      </w:r>
      <w:r>
        <w:rPr>
          <w:rFonts w:cs="Times New Roman"/>
        </w:rPr>
        <w:t>桓仁满族自治县古城镇污水处理厂工程</w:t>
      </w:r>
      <w:r>
        <w:rPr>
          <w:rFonts w:hint="eastAsia" w:cs="Times New Roman"/>
        </w:rPr>
        <w:t>、</w:t>
      </w:r>
      <w:r>
        <w:rPr>
          <w:rFonts w:cs="Times New Roman"/>
        </w:rPr>
        <w:t>桓仁满族自治县北甸子乡污水处理站及配套管网（干管）工程</w:t>
      </w:r>
      <w:r>
        <w:rPr>
          <w:rFonts w:hint="eastAsia" w:cs="Times New Roman"/>
        </w:rPr>
        <w:t>、</w:t>
      </w:r>
      <w:r>
        <w:rPr>
          <w:rFonts w:cs="Times New Roman"/>
        </w:rPr>
        <w:t>桓仁水库拦污漂排工程</w:t>
      </w:r>
      <w:r>
        <w:rPr>
          <w:rFonts w:hint="eastAsia" w:cs="Times New Roman"/>
        </w:rPr>
        <w:t>、</w:t>
      </w:r>
      <w:r>
        <w:rPr>
          <w:rFonts w:cs="Times New Roman"/>
        </w:rPr>
        <w:t>桓仁满族自治县古城镇生活垃圾卫生填埋场工程</w:t>
      </w:r>
      <w:r>
        <w:rPr>
          <w:rFonts w:hint="eastAsia" w:cs="Times New Roman"/>
        </w:rPr>
        <w:t>、</w:t>
      </w:r>
      <w:r>
        <w:rPr>
          <w:rFonts w:cs="Times New Roman"/>
        </w:rPr>
        <w:t>本溪市提升大伙房饮用水水源桓仁水库109项水质指标监测能力建设项目</w:t>
      </w:r>
      <w:r>
        <w:rPr>
          <w:rFonts w:hint="eastAsia" w:cs="Times New Roman"/>
        </w:rPr>
        <w:t>、</w:t>
      </w:r>
      <w:r>
        <w:rPr>
          <w:rFonts w:cs="Times New Roman"/>
        </w:rPr>
        <w:t>桓仁满族自治县二棚甸子生活垃圾卫生填埋场工程</w:t>
      </w:r>
      <w:r>
        <w:rPr>
          <w:rFonts w:hint="eastAsia" w:cs="Times New Roman"/>
        </w:rPr>
        <w:t>、</w:t>
      </w:r>
      <w:r>
        <w:rPr>
          <w:rFonts w:cs="Times New Roman"/>
        </w:rPr>
        <w:t>观音阁水源保护区隔离工程观音阁水源一级保护区封育项目等污染治理及风险防范项目，关闭了金山热电厂排口</w:t>
      </w:r>
      <w:r>
        <w:rPr>
          <w:rFonts w:hint="eastAsia" w:cs="Times New Roman"/>
        </w:rPr>
        <w:t>，</w:t>
      </w:r>
      <w:r>
        <w:rPr>
          <w:rFonts w:cs="Times New Roman"/>
        </w:rPr>
        <w:t>全市水源安全得到进一步保障。</w:t>
      </w:r>
    </w:p>
    <w:p w14:paraId="2097D705">
      <w:pPr>
        <w:pStyle w:val="4"/>
        <w:bidi w:val="0"/>
      </w:pPr>
      <w:bookmarkStart w:id="33" w:name="_bookmark15"/>
      <w:bookmarkEnd w:id="33"/>
      <w:bookmarkStart w:id="34" w:name="（七）问题及成因分析"/>
      <w:bookmarkEnd w:id="34"/>
      <w:bookmarkStart w:id="35" w:name="_Toc2047"/>
      <w:r>
        <w:t>第二节</w:t>
      </w:r>
      <w:r>
        <w:rPr>
          <w:rFonts w:hint="eastAsia"/>
        </w:rPr>
        <w:t xml:space="preserve">  “十四五”面临的挑战</w:t>
      </w:r>
      <w:bookmarkEnd w:id="35"/>
    </w:p>
    <w:p w14:paraId="2543BB5F">
      <w:pPr>
        <w:ind w:firstLine="562"/>
        <w:rPr>
          <w:rFonts w:cs="Times New Roman"/>
        </w:rPr>
      </w:pPr>
      <w:r>
        <w:rPr>
          <w:rFonts w:hint="eastAsia" w:cs="Times New Roman"/>
          <w:b/>
          <w:bCs/>
          <w:szCs w:val="28"/>
        </w:rPr>
        <w:t>断面水质达标压力倍增。</w:t>
      </w:r>
      <w:r>
        <w:rPr>
          <w:rFonts w:hint="eastAsia" w:cs="Times New Roman"/>
          <w:bCs/>
          <w:szCs w:val="28"/>
        </w:rPr>
        <w:t>“十四五”期间，本溪市国控断面由“十三五”末期</w:t>
      </w:r>
      <w:r>
        <w:rPr>
          <w:rFonts w:hint="eastAsia" w:cs="Times New Roman"/>
          <w:bCs/>
          <w:szCs w:val="28"/>
          <w:lang w:val="en-US"/>
        </w:rPr>
        <w:t>5</w:t>
      </w:r>
      <w:r>
        <w:rPr>
          <w:rFonts w:hint="eastAsia" w:cs="Times New Roman"/>
          <w:bCs/>
          <w:szCs w:val="28"/>
        </w:rPr>
        <w:t>个增加至12个，</w:t>
      </w:r>
      <w:r>
        <w:rPr>
          <w:rFonts w:hint="eastAsia" w:ascii="宋体" w:hAnsi="宋体" w:eastAsia="宋体" w:cs="宋体"/>
          <w:bCs/>
          <w:szCs w:val="28"/>
        </w:rPr>
        <w:t>Ⅱ</w:t>
      </w:r>
      <w:r>
        <w:rPr>
          <w:rFonts w:hint="eastAsia" w:cs="Times New Roman"/>
          <w:bCs/>
          <w:szCs w:val="28"/>
        </w:rPr>
        <w:t>类水体国控断面由</w:t>
      </w:r>
      <w:r>
        <w:rPr>
          <w:rFonts w:hint="eastAsia" w:cs="Times New Roman"/>
          <w:bCs/>
          <w:szCs w:val="28"/>
          <w:lang w:val="en-US"/>
        </w:rPr>
        <w:t>1</w:t>
      </w:r>
      <w:r>
        <w:rPr>
          <w:rFonts w:hint="eastAsia" w:cs="Times New Roman"/>
          <w:bCs/>
          <w:szCs w:val="28"/>
        </w:rPr>
        <w:t>个提升至</w:t>
      </w:r>
      <w:r>
        <w:rPr>
          <w:rFonts w:hint="eastAsia" w:cs="Times New Roman"/>
          <w:bCs/>
          <w:szCs w:val="28"/>
          <w:lang w:val="en-US"/>
        </w:rPr>
        <w:t>8个</w:t>
      </w:r>
      <w:r>
        <w:rPr>
          <w:rFonts w:hint="eastAsia" w:cs="Times New Roman"/>
          <w:bCs/>
          <w:szCs w:val="28"/>
        </w:rPr>
        <w:t>，断面水质稳定达标考核压力倍增。</w:t>
      </w:r>
      <w:r>
        <w:rPr>
          <w:rFonts w:cs="Times New Roman"/>
          <w:bCs/>
          <w:szCs w:val="28"/>
        </w:rPr>
        <w:t>南太子河入库口</w:t>
      </w:r>
      <w:r>
        <w:rPr>
          <w:rFonts w:hint="eastAsia" w:cs="Times New Roman"/>
          <w:bCs/>
          <w:szCs w:val="28"/>
        </w:rPr>
        <w:t>个别时段溶解氧超标，老官砬子断面</w:t>
      </w:r>
      <w:r>
        <w:rPr>
          <w:rFonts w:cs="Times New Roman"/>
          <w:bCs/>
          <w:szCs w:val="28"/>
          <w:lang w:val="en-US"/>
        </w:rPr>
        <w:t>水质</w:t>
      </w:r>
      <w:r>
        <w:rPr>
          <w:rFonts w:hint="eastAsia" w:cs="Times New Roman"/>
          <w:bCs/>
          <w:szCs w:val="28"/>
          <w:lang w:val="en-US" w:eastAsia="zh-CN"/>
        </w:rPr>
        <w:t>化学需氧量</w:t>
      </w:r>
      <w:r>
        <w:rPr>
          <w:rFonts w:cs="Times New Roman"/>
          <w:bCs/>
          <w:szCs w:val="28"/>
          <w:lang w:val="en-US"/>
        </w:rPr>
        <w:t>指标近年有所升高，</w:t>
      </w:r>
      <w:r>
        <w:rPr>
          <w:rFonts w:hint="eastAsia" w:cs="Times New Roman"/>
          <w:bCs/>
          <w:szCs w:val="28"/>
        </w:rPr>
        <w:t>兴安、</w:t>
      </w:r>
      <w:r>
        <w:rPr>
          <w:rFonts w:cs="Times New Roman"/>
          <w:bCs/>
          <w:szCs w:val="28"/>
        </w:rPr>
        <w:t>邱家</w:t>
      </w:r>
      <w:r>
        <w:rPr>
          <w:rFonts w:hint="eastAsia" w:cs="Times New Roman"/>
          <w:bCs/>
          <w:szCs w:val="28"/>
        </w:rPr>
        <w:t>、姚千户桥</w:t>
      </w:r>
      <w:r>
        <w:rPr>
          <w:rFonts w:cs="Times New Roman"/>
          <w:bCs/>
          <w:szCs w:val="28"/>
        </w:rPr>
        <w:t>断面</w:t>
      </w:r>
      <w:r>
        <w:rPr>
          <w:rFonts w:hint="eastAsia" w:cs="Times New Roman"/>
          <w:bCs/>
          <w:szCs w:val="28"/>
        </w:rPr>
        <w:t>个别月份氨氮指标超标。</w:t>
      </w:r>
    </w:p>
    <w:p w14:paraId="0954F66E">
      <w:pPr>
        <w:ind w:firstLine="562"/>
        <w:rPr>
          <w:lang w:val="en-US"/>
        </w:rPr>
      </w:pPr>
      <w:r>
        <w:rPr>
          <w:rFonts w:hint="eastAsia" w:cs="Times New Roman"/>
          <w:b/>
          <w:bCs/>
          <w:szCs w:val="28"/>
        </w:rPr>
        <w:t>河流生态水流量不足。</w:t>
      </w:r>
      <w:r>
        <w:rPr>
          <w:rFonts w:hint="eastAsia"/>
        </w:rPr>
        <w:t>太子河</w:t>
      </w:r>
      <w:r>
        <w:rPr>
          <w:rFonts w:cs="Times New Roman"/>
          <w:bCs/>
          <w:szCs w:val="28"/>
        </w:rPr>
        <w:t>老官砬子</w:t>
      </w:r>
      <w:r>
        <w:rPr>
          <w:rFonts w:hint="eastAsia" w:cs="Times New Roman"/>
          <w:bCs/>
          <w:szCs w:val="28"/>
        </w:rPr>
        <w:t>、兴安断面</w:t>
      </w:r>
      <w:r>
        <w:rPr>
          <w:rFonts w:cs="Times New Roman"/>
          <w:bCs/>
          <w:szCs w:val="28"/>
        </w:rPr>
        <w:t>位于观音阁</w:t>
      </w:r>
      <w:r>
        <w:rPr>
          <w:rFonts w:hint="eastAsia" w:cs="Times New Roman"/>
          <w:bCs/>
          <w:szCs w:val="28"/>
          <w:lang w:eastAsia="zh-CN"/>
        </w:rPr>
        <w:t>水库</w:t>
      </w:r>
      <w:r>
        <w:rPr>
          <w:rFonts w:cs="Times New Roman"/>
          <w:bCs/>
          <w:szCs w:val="28"/>
        </w:rPr>
        <w:t>下游，来水主要是观音阁水库、关门山水库和三道河水库的下泄水。2019年观音阁水库向本溪市管道供水后，水库下泄流量大幅减少，枯水期水库下泄流量不足，不能满足枯水期生态流量需求。</w:t>
      </w:r>
      <w:r>
        <w:rPr>
          <w:rFonts w:cs="Times New Roman"/>
        </w:rPr>
        <w:t>北沙河</w:t>
      </w:r>
      <w:r>
        <w:rPr>
          <w:lang w:val="en-US"/>
        </w:rPr>
        <w:t>汇水面积小，仅200多平方公里</w:t>
      </w:r>
      <w:r>
        <w:rPr>
          <w:rFonts w:hint="eastAsia"/>
          <w:lang w:val="en-US"/>
        </w:rPr>
        <w:t>，</w:t>
      </w:r>
      <w:r>
        <w:rPr>
          <w:lang w:val="en-US"/>
        </w:rPr>
        <w:t>枯水期补水以本溪新城污水处理厂尾水为主，天然补给水不足。</w:t>
      </w:r>
    </w:p>
    <w:p w14:paraId="4C9A05C6">
      <w:pPr>
        <w:ind w:firstLine="562"/>
        <w:rPr>
          <w:lang w:val="en-US"/>
        </w:rPr>
      </w:pPr>
      <w:r>
        <w:rPr>
          <w:rFonts w:hint="eastAsia" w:cs="Times New Roman"/>
          <w:b/>
          <w:bCs/>
          <w:szCs w:val="28"/>
        </w:rPr>
        <w:t>城镇环境基础设施不完善。</w:t>
      </w:r>
      <w:r>
        <w:rPr>
          <w:rFonts w:hint="eastAsia"/>
          <w:lang w:val="en-US"/>
        </w:rPr>
        <w:t>本溪满族自治县碱厂镇、东营坊乡，明山区卧龙、牛心台，高新区</w:t>
      </w:r>
      <w:r>
        <w:rPr>
          <w:lang w:val="en-US"/>
        </w:rPr>
        <w:t>国家辽宁（本溪）生物医药科技产业园</w:t>
      </w:r>
      <w:r>
        <w:rPr>
          <w:rFonts w:hint="eastAsia"/>
          <w:lang w:val="en-US"/>
        </w:rPr>
        <w:t>等乡镇、城乡结合部、工业园区无污水处理设施。高新区沈本新城污水处理厂、桓仁县污水处理厂及桓仁水库上游城镇污水设施处理能力不足，运行不稳定。本溪满族自治县</w:t>
      </w:r>
      <w:r>
        <w:rPr>
          <w:rFonts w:cs="Times New Roman"/>
          <w:bCs/>
          <w:szCs w:val="28"/>
        </w:rPr>
        <w:t>滨河西路、春光路南</w:t>
      </w:r>
      <w:r>
        <w:rPr>
          <w:rFonts w:hint="eastAsia" w:cs="Times New Roman"/>
          <w:bCs/>
          <w:szCs w:val="28"/>
        </w:rPr>
        <w:t>段</w:t>
      </w:r>
      <w:r>
        <w:rPr>
          <w:rFonts w:cs="Times New Roman"/>
          <w:bCs/>
          <w:szCs w:val="28"/>
        </w:rPr>
        <w:t>、高官镇</w:t>
      </w:r>
      <w:r>
        <w:rPr>
          <w:rFonts w:hint="eastAsia" w:cs="Times New Roman"/>
          <w:bCs/>
          <w:szCs w:val="28"/>
        </w:rPr>
        <w:t>、南甸镇，明山区高峪、大峪，南芬区城区，高新区沙河东西路、歪头山矿区，桓仁县县城等地区</w:t>
      </w:r>
      <w:r>
        <w:rPr>
          <w:rFonts w:hint="eastAsia"/>
          <w:lang w:val="en-US"/>
        </w:rPr>
        <w:t>存在雨污混排、溢流污染等现象。</w:t>
      </w:r>
    </w:p>
    <w:p w14:paraId="426D6FBD">
      <w:pPr>
        <w:ind w:firstLine="562"/>
      </w:pPr>
      <w:r>
        <w:rPr>
          <w:b/>
          <w:lang w:val="en-US"/>
        </w:rPr>
        <w:t>农业农村污染问题日益凸显</w:t>
      </w:r>
      <w:r>
        <w:rPr>
          <w:rFonts w:hint="eastAsia"/>
          <w:b/>
          <w:lang w:val="en-US"/>
        </w:rPr>
        <w:t>。</w:t>
      </w:r>
      <w:r>
        <w:rPr>
          <w:lang w:val="en-US"/>
        </w:rPr>
        <w:t>农村生活污水未得到有效治理</w:t>
      </w:r>
      <w:r>
        <w:rPr>
          <w:rFonts w:hint="eastAsia"/>
          <w:lang w:val="en-US"/>
        </w:rPr>
        <w:t>，污水处理设施及管网建设短板突出，存在污水直排入河现象</w:t>
      </w:r>
      <w:r>
        <w:rPr>
          <w:lang w:val="en-US"/>
        </w:rPr>
        <w:t>。农村垃圾处理设施不完善，未得到有效处置，生活垃圾在河边、路边随意倾倒的现象仍普遍存在。农业生产上过度依赖化学农药现象仍然存在，河流沿岸畜禽养殖污染未得到有效控制，布局不合理，规模化、集约化程度不高，部分粪污处理设施建设相对滞后，干湿分离、防渗防溢等设施建设不完善。</w:t>
      </w:r>
    </w:p>
    <w:p w14:paraId="0C14A529">
      <w:pPr>
        <w:ind w:firstLine="562"/>
        <w:rPr>
          <w:lang w:val="en-US"/>
        </w:rPr>
      </w:pPr>
      <w:r>
        <w:rPr>
          <w:rFonts w:hint="eastAsia"/>
          <w:b/>
          <w:lang w:val="en-US"/>
        </w:rPr>
        <w:t>水源安全保障能力有待进一步提升。</w:t>
      </w:r>
      <w:r>
        <w:rPr>
          <w:lang w:val="en-US"/>
        </w:rPr>
        <w:t>观音阁水库</w:t>
      </w:r>
      <w:r>
        <w:rPr>
          <w:rFonts w:hint="eastAsia"/>
          <w:lang w:val="en-US"/>
        </w:rPr>
        <w:t>和桓仁水库总氮超标，</w:t>
      </w:r>
      <w:r>
        <w:rPr>
          <w:lang w:val="en-US"/>
        </w:rPr>
        <w:t>存在富营养化潜在风险。库滨湿地、缓冲带</w:t>
      </w:r>
      <w:r>
        <w:rPr>
          <w:rFonts w:hint="eastAsia"/>
          <w:lang w:val="en-US" w:eastAsia="zh-CN"/>
        </w:rPr>
        <w:t>生态功能</w:t>
      </w:r>
      <w:r>
        <w:rPr>
          <w:lang w:val="en-US"/>
        </w:rPr>
        <w:t>有待进一步提升，</w:t>
      </w:r>
      <w:r>
        <w:rPr>
          <w:rFonts w:hint="eastAsia"/>
          <w:lang w:val="en-US"/>
        </w:rPr>
        <w:t>居民生活及农业面源对水库水质影响较大</w:t>
      </w:r>
      <w:r>
        <w:rPr>
          <w:lang w:val="en-US"/>
        </w:rPr>
        <w:t>。观音阁水库</w:t>
      </w:r>
      <w:r>
        <w:rPr>
          <w:rFonts w:hint="eastAsia"/>
          <w:lang w:val="en-US"/>
        </w:rPr>
        <w:t>饮用水水源地</w:t>
      </w:r>
      <w:r>
        <w:rPr>
          <w:lang w:val="en-US"/>
        </w:rPr>
        <w:t>一级区未进行封育，存在一定的安全风险</w:t>
      </w:r>
      <w:r>
        <w:rPr>
          <w:rFonts w:hint="eastAsia"/>
          <w:lang w:val="en-US"/>
        </w:rPr>
        <w:t>。</w:t>
      </w:r>
    </w:p>
    <w:p w14:paraId="76048CFA">
      <w:pPr>
        <w:ind w:firstLine="560"/>
        <w:rPr>
          <w:rFonts w:cs="Times New Roman"/>
        </w:rPr>
      </w:pPr>
      <w:r>
        <w:rPr>
          <w:lang w:val="en-US"/>
        </w:rPr>
        <w:br w:type="page"/>
      </w:r>
    </w:p>
    <w:p w14:paraId="1648E353">
      <w:pPr>
        <w:pStyle w:val="3"/>
        <w:bidi w:val="0"/>
      </w:pPr>
      <w:bookmarkStart w:id="36" w:name="4、水生态环境压力持续加大"/>
      <w:bookmarkEnd w:id="36"/>
      <w:bookmarkStart w:id="37" w:name="_bookmark19"/>
      <w:bookmarkEnd w:id="37"/>
      <w:bookmarkStart w:id="38" w:name="（八）形势与机遇"/>
      <w:bookmarkEnd w:id="38"/>
      <w:bookmarkStart w:id="39" w:name="第二章__总体要求"/>
      <w:bookmarkEnd w:id="39"/>
      <w:bookmarkStart w:id="40" w:name="_bookmark21"/>
      <w:bookmarkEnd w:id="40"/>
      <w:bookmarkStart w:id="41" w:name="_bookmark20"/>
      <w:bookmarkEnd w:id="41"/>
      <w:bookmarkStart w:id="42" w:name="_Toc30021"/>
      <w:r>
        <w:t xml:space="preserve">第三章 </w:t>
      </w:r>
      <w:r>
        <w:rPr>
          <w:rFonts w:hint="eastAsia"/>
          <w:lang w:val="en-US" w:eastAsia="zh-CN"/>
        </w:rPr>
        <w:t xml:space="preserve"> </w:t>
      </w:r>
      <w:r>
        <w:t>总体要求</w:t>
      </w:r>
      <w:bookmarkEnd w:id="42"/>
    </w:p>
    <w:p w14:paraId="468F511E">
      <w:pPr>
        <w:pStyle w:val="4"/>
        <w:bidi w:val="0"/>
      </w:pPr>
      <w:bookmarkStart w:id="43" w:name="（一）指导思想"/>
      <w:bookmarkEnd w:id="43"/>
      <w:bookmarkStart w:id="44" w:name="_bookmark22"/>
      <w:bookmarkEnd w:id="44"/>
      <w:bookmarkStart w:id="45" w:name="_Toc12653"/>
      <w:r>
        <w:t>第一节</w:t>
      </w:r>
      <w:r>
        <w:rPr>
          <w:rFonts w:hint="eastAsia"/>
        </w:rPr>
        <w:t xml:space="preserve">  </w:t>
      </w:r>
      <w:r>
        <w:t>指导思想</w:t>
      </w:r>
      <w:bookmarkEnd w:id="45"/>
    </w:p>
    <w:p w14:paraId="3801E881">
      <w:pPr>
        <w:ind w:firstLine="560"/>
        <w:rPr>
          <w:rFonts w:cs="Times New Roman"/>
        </w:rPr>
      </w:pPr>
      <w:r>
        <w:rPr>
          <w:rFonts w:cs="Times New Roman"/>
        </w:rPr>
        <w:t>以习近平生态文明思想为指导，深入贯彻党的十九大和十九届二中、三中、四中、五中全会精神，全面贯彻落实党中央和国务院的决策部署，贯彻落实习近平总书记在辽宁考察时和在深入推进东北振兴座谈会上重要讲话精神，围绕统筹推进</w:t>
      </w:r>
      <w:r>
        <w:rPr>
          <w:rFonts w:hint="eastAsia" w:cs="Times New Roman"/>
        </w:rPr>
        <w:t>“</w:t>
      </w:r>
      <w:r>
        <w:rPr>
          <w:rFonts w:cs="Times New Roman"/>
        </w:rPr>
        <w:t>五位一体</w:t>
      </w:r>
      <w:r>
        <w:rPr>
          <w:rFonts w:hint="eastAsia" w:cs="Times New Roman"/>
        </w:rPr>
        <w:t>”</w:t>
      </w:r>
      <w:r>
        <w:rPr>
          <w:rFonts w:cs="Times New Roman"/>
        </w:rPr>
        <w:t>总体布局和协调推进</w:t>
      </w:r>
      <w:r>
        <w:rPr>
          <w:rFonts w:hint="eastAsia" w:cs="Times New Roman"/>
        </w:rPr>
        <w:t>“</w:t>
      </w:r>
      <w:r>
        <w:rPr>
          <w:rFonts w:cs="Times New Roman"/>
        </w:rPr>
        <w:t>四个全面</w:t>
      </w:r>
      <w:r>
        <w:rPr>
          <w:rFonts w:hint="eastAsia" w:cs="Times New Roman"/>
        </w:rPr>
        <w:t>”</w:t>
      </w:r>
      <w:r>
        <w:rPr>
          <w:rFonts w:cs="Times New Roman"/>
        </w:rPr>
        <w:t>战略布局，牢固树立和贯彻落实创新、协调、绿色、开放、共享的发展理念，坚持生态优先、绿色发展，以改善水生态环境质量为核心，深刻把握</w:t>
      </w:r>
      <w:r>
        <w:rPr>
          <w:rFonts w:hint="eastAsia" w:cs="Times New Roman"/>
        </w:rPr>
        <w:t>“</w:t>
      </w:r>
      <w:r>
        <w:rPr>
          <w:rFonts w:cs="Times New Roman"/>
        </w:rPr>
        <w:t>山水林田湖草是一个生命共同体</w:t>
      </w:r>
      <w:r>
        <w:rPr>
          <w:rFonts w:hint="eastAsia" w:cs="Times New Roman"/>
        </w:rPr>
        <w:t>”</w:t>
      </w:r>
      <w:r>
        <w:rPr>
          <w:rFonts w:cs="Times New Roman"/>
        </w:rPr>
        <w:t>的科学内涵，严守资源利用上线、生态保护红线、环境质量底线，建立健全流域水生态环境协同保护机制，坚持问题导向与目标导向，一河一策，精准发力，统筹水资源利用、水生态保护和水环境治理，创新机制体制，着力解决群众身边的突出问题，持续改善水生态环境，确保规划目标如期实现。</w:t>
      </w:r>
    </w:p>
    <w:p w14:paraId="7FA44F34">
      <w:pPr>
        <w:pStyle w:val="4"/>
        <w:bidi w:val="0"/>
      </w:pPr>
      <w:bookmarkStart w:id="46" w:name="_bookmark23"/>
      <w:bookmarkEnd w:id="46"/>
      <w:bookmarkStart w:id="47" w:name="（二）基本原则"/>
      <w:bookmarkEnd w:id="47"/>
      <w:bookmarkStart w:id="48" w:name="_Toc29493"/>
      <w:r>
        <w:t>第二节</w:t>
      </w:r>
      <w:r>
        <w:rPr>
          <w:rFonts w:hint="eastAsia"/>
        </w:rPr>
        <w:t xml:space="preserve">  </w:t>
      </w:r>
      <w:r>
        <w:t>基本原则</w:t>
      </w:r>
      <w:bookmarkEnd w:id="48"/>
    </w:p>
    <w:p w14:paraId="4262CDDA">
      <w:pPr>
        <w:ind w:firstLine="562"/>
        <w:rPr>
          <w:rFonts w:cs="Times New Roman"/>
        </w:rPr>
      </w:pPr>
      <w:r>
        <w:rPr>
          <w:rFonts w:cs="Times New Roman"/>
          <w:b/>
          <w:bCs/>
        </w:rPr>
        <w:t>三水统筹，系统治理。</w:t>
      </w:r>
      <w:r>
        <w:rPr>
          <w:rFonts w:cs="Times New Roman"/>
        </w:rPr>
        <w:t>坚持山水林田湖草是生命共同体的科学理念，以河湖为统领，统筹水资源、水生态、水环境，强化质量目标管理，明确重点水体的质量改善目标和清单，采取科学、系统、有效的措施，突出针对性、差异性和可操作性的任务要求，系统推进水环境治理与水生态修复，用环境质量改善增强人民群众获得感。</w:t>
      </w:r>
    </w:p>
    <w:p w14:paraId="74CE655C">
      <w:pPr>
        <w:ind w:firstLine="562"/>
        <w:rPr>
          <w:rFonts w:cs="Times New Roman"/>
        </w:rPr>
      </w:pPr>
      <w:r>
        <w:rPr>
          <w:rFonts w:cs="Times New Roman"/>
          <w:b/>
          <w:bCs/>
        </w:rPr>
        <w:t>问题导向，有限目标。</w:t>
      </w:r>
      <w:r>
        <w:rPr>
          <w:rFonts w:cs="Times New Roman"/>
        </w:rPr>
        <w:t>坚持问题导向与目标导向，着力解决老百姓身边的水环境污染、水生态破坏、生态流量匮乏等突出生态环境问题，根据全市社会经济发展目标，结合水生态环境质量现状和各流域的不同特点，提出</w:t>
      </w:r>
      <w:r>
        <w:rPr>
          <w:rFonts w:hint="eastAsia" w:cs="Times New Roman"/>
        </w:rPr>
        <w:t>“</w:t>
      </w:r>
      <w:r>
        <w:rPr>
          <w:rFonts w:cs="Times New Roman"/>
        </w:rPr>
        <w:t>十四五</w:t>
      </w:r>
      <w:r>
        <w:rPr>
          <w:rFonts w:hint="eastAsia" w:cs="Times New Roman"/>
        </w:rPr>
        <w:t>”</w:t>
      </w:r>
      <w:r>
        <w:rPr>
          <w:rFonts w:cs="Times New Roman"/>
        </w:rPr>
        <w:t>期间可达到的目标任务。</w:t>
      </w:r>
    </w:p>
    <w:p w14:paraId="00E2C39C">
      <w:pPr>
        <w:ind w:firstLine="562"/>
        <w:rPr>
          <w:rFonts w:cs="Times New Roman"/>
        </w:rPr>
      </w:pPr>
      <w:r>
        <w:rPr>
          <w:rFonts w:cs="Times New Roman"/>
          <w:b/>
          <w:bCs/>
        </w:rPr>
        <w:t>突出重点、带动全局。</w:t>
      </w:r>
      <w:r>
        <w:rPr>
          <w:rFonts w:cs="Times New Roman"/>
        </w:rPr>
        <w:t>以浑江、太子河干流及其主要支流为重点，加快入河（湖、库）排污口排查整治，强化工业、农业、生活、畜禽污染治理，加强生态系统保护修复，全面推动水生态环境保护。</w:t>
      </w:r>
    </w:p>
    <w:p w14:paraId="446E8244">
      <w:pPr>
        <w:ind w:firstLine="562"/>
        <w:rPr>
          <w:rFonts w:cs="Times New Roman"/>
        </w:rPr>
      </w:pPr>
      <w:r>
        <w:rPr>
          <w:rFonts w:cs="Times New Roman"/>
          <w:b/>
          <w:bCs/>
        </w:rPr>
        <w:t>明晰责任，督促落实。</w:t>
      </w:r>
      <w:r>
        <w:rPr>
          <w:rFonts w:cs="Times New Roman"/>
        </w:rPr>
        <w:t>水域、陆域融合，打通岸上和水里。通过控制断面将水生态环境质量目标任务层层落实到各级行政辖区，将区域水生态环境改善责任与各级政府一一对应，督促地方政府持续改善水生态环境质量。</w:t>
      </w:r>
    </w:p>
    <w:p w14:paraId="61D635FF">
      <w:pPr>
        <w:pStyle w:val="4"/>
        <w:bidi w:val="0"/>
      </w:pPr>
      <w:bookmarkStart w:id="49" w:name="（三）总体思路和布局"/>
      <w:bookmarkEnd w:id="49"/>
      <w:bookmarkStart w:id="50" w:name="_bookmark24"/>
      <w:bookmarkEnd w:id="50"/>
      <w:bookmarkStart w:id="51" w:name="_Toc1167"/>
      <w:r>
        <w:t>第三节</w:t>
      </w:r>
      <w:r>
        <w:rPr>
          <w:rFonts w:hint="eastAsia"/>
        </w:rPr>
        <w:t xml:space="preserve">  </w:t>
      </w:r>
      <w:r>
        <w:t>总体思路和布局</w:t>
      </w:r>
      <w:bookmarkEnd w:id="51"/>
    </w:p>
    <w:p w14:paraId="70B2A9BC">
      <w:pPr>
        <w:ind w:firstLine="560"/>
        <w:rPr>
          <w:rFonts w:cs="Times New Roman"/>
        </w:rPr>
      </w:pPr>
      <w:bookmarkStart w:id="52" w:name="_bookmark26"/>
      <w:bookmarkEnd w:id="52"/>
      <w:bookmarkStart w:id="53" w:name="3、沈阳经济区（浑太流域）"/>
      <w:bookmarkEnd w:id="53"/>
      <w:bookmarkStart w:id="54" w:name="_bookmark27"/>
      <w:bookmarkEnd w:id="54"/>
      <w:bookmarkStart w:id="55" w:name="2、凌河生态走廊"/>
      <w:bookmarkEnd w:id="55"/>
      <w:r>
        <w:rPr>
          <w:rFonts w:cs="Times New Roman"/>
        </w:rPr>
        <w:t>针对各河流水资源、水生态、水环境现状，巩固</w:t>
      </w:r>
      <w:r>
        <w:rPr>
          <w:rFonts w:hint="eastAsia" w:cs="Times New Roman"/>
        </w:rPr>
        <w:t>“</w:t>
      </w:r>
      <w:r>
        <w:rPr>
          <w:rFonts w:cs="Times New Roman"/>
        </w:rPr>
        <w:t>十三五</w:t>
      </w:r>
      <w:r>
        <w:rPr>
          <w:rFonts w:hint="eastAsia" w:cs="Times New Roman"/>
        </w:rPr>
        <w:t>”</w:t>
      </w:r>
      <w:r>
        <w:rPr>
          <w:rFonts w:cs="Times New Roman"/>
        </w:rPr>
        <w:t>治理成果，统筹水资源、水生态、水环境，以</w:t>
      </w:r>
      <w:r>
        <w:rPr>
          <w:rFonts w:hint="eastAsia" w:cs="Times New Roman"/>
        </w:rPr>
        <w:t>“</w:t>
      </w:r>
      <w:r>
        <w:rPr>
          <w:rFonts w:cs="Times New Roman"/>
        </w:rPr>
        <w:t>补短板，惠民生</w:t>
      </w:r>
      <w:r>
        <w:rPr>
          <w:rFonts w:hint="eastAsia" w:cs="Times New Roman"/>
        </w:rPr>
        <w:t>”</w:t>
      </w:r>
      <w:r>
        <w:rPr>
          <w:rFonts w:cs="Times New Roman"/>
        </w:rPr>
        <w:t>为导向，围绕打造</w:t>
      </w:r>
      <w:r>
        <w:rPr>
          <w:rFonts w:hint="eastAsia" w:cs="Times New Roman"/>
        </w:rPr>
        <w:t>“</w:t>
      </w:r>
      <w:r>
        <w:rPr>
          <w:rFonts w:cs="Times New Roman"/>
        </w:rPr>
        <w:t>一个样板</w:t>
      </w:r>
      <w:r>
        <w:rPr>
          <w:rFonts w:hint="eastAsia" w:cs="Times New Roman"/>
        </w:rPr>
        <w:t>”</w:t>
      </w:r>
      <w:r>
        <w:rPr>
          <w:rFonts w:cs="Times New Roman"/>
        </w:rPr>
        <w:t>，实现</w:t>
      </w:r>
      <w:r>
        <w:rPr>
          <w:rFonts w:hint="eastAsia" w:cs="Times New Roman"/>
        </w:rPr>
        <w:t>“</w:t>
      </w:r>
      <w:r>
        <w:rPr>
          <w:rFonts w:cs="Times New Roman"/>
        </w:rPr>
        <w:t>三个提升</w:t>
      </w:r>
      <w:r>
        <w:rPr>
          <w:rFonts w:hint="eastAsia" w:cs="Times New Roman"/>
        </w:rPr>
        <w:t>”，</w:t>
      </w:r>
      <w:r>
        <w:rPr>
          <w:rFonts w:cs="Times New Roman"/>
        </w:rPr>
        <w:t>完善</w:t>
      </w:r>
      <w:r>
        <w:rPr>
          <w:rFonts w:hint="eastAsia" w:cs="Times New Roman"/>
        </w:rPr>
        <w:t>“</w:t>
      </w:r>
      <w:r>
        <w:rPr>
          <w:rFonts w:cs="Times New Roman"/>
        </w:rPr>
        <w:t>两大体系</w:t>
      </w:r>
      <w:r>
        <w:rPr>
          <w:rFonts w:hint="eastAsia" w:cs="Times New Roman"/>
        </w:rPr>
        <w:t>”</w:t>
      </w:r>
      <w:r>
        <w:rPr>
          <w:rFonts w:cs="Times New Roman"/>
        </w:rPr>
        <w:t>，实施</w:t>
      </w:r>
      <w:r>
        <w:rPr>
          <w:rFonts w:hint="eastAsia" w:cs="Times New Roman"/>
        </w:rPr>
        <w:t>“</w:t>
      </w:r>
      <w:r>
        <w:rPr>
          <w:rFonts w:cs="Times New Roman"/>
        </w:rPr>
        <w:t>四类工程</w:t>
      </w:r>
      <w:r>
        <w:rPr>
          <w:rFonts w:hint="eastAsia" w:cs="Times New Roman"/>
        </w:rPr>
        <w:t>”</w:t>
      </w:r>
      <w:r>
        <w:rPr>
          <w:rFonts w:cs="Times New Roman"/>
        </w:rPr>
        <w:t>开展水生态环境保护。</w:t>
      </w:r>
    </w:p>
    <w:p w14:paraId="2F08D035">
      <w:pPr>
        <w:ind w:firstLine="562"/>
        <w:rPr>
          <w:rFonts w:hint="eastAsia" w:cs="Times New Roman"/>
        </w:rPr>
      </w:pPr>
      <w:r>
        <w:rPr>
          <w:rFonts w:cs="Times New Roman"/>
          <w:b/>
          <w:bCs/>
        </w:rPr>
        <w:t>一个样板：</w:t>
      </w:r>
      <w:r>
        <w:rPr>
          <w:rFonts w:cs="Times New Roman"/>
        </w:rPr>
        <w:t>即立足国家生态功能区、辽东生态屏障</w:t>
      </w:r>
      <w:r>
        <w:rPr>
          <w:rFonts w:hint="eastAsia" w:cs="Times New Roman"/>
        </w:rPr>
        <w:t>、</w:t>
      </w:r>
      <w:r>
        <w:rPr>
          <w:rFonts w:cs="Times New Roman"/>
        </w:rPr>
        <w:t>辽宁水塔的定位，坚定不移地推进</w:t>
      </w:r>
      <w:r>
        <w:rPr>
          <w:rFonts w:hint="eastAsia" w:cs="Times New Roman"/>
        </w:rPr>
        <w:t>“</w:t>
      </w:r>
      <w:r>
        <w:rPr>
          <w:rFonts w:cs="Times New Roman"/>
        </w:rPr>
        <w:t>生态立市</w:t>
      </w:r>
      <w:r>
        <w:rPr>
          <w:rFonts w:hint="eastAsia" w:cs="Times New Roman"/>
        </w:rPr>
        <w:t>”</w:t>
      </w:r>
      <w:r>
        <w:rPr>
          <w:rFonts w:cs="Times New Roman"/>
        </w:rPr>
        <w:t>战略，将本溪打造成美丽河湖样板区。</w:t>
      </w:r>
    </w:p>
    <w:p w14:paraId="7A83B002">
      <w:pPr>
        <w:ind w:firstLine="562"/>
        <w:rPr>
          <w:rFonts w:cs="Times New Roman"/>
        </w:rPr>
      </w:pPr>
      <w:r>
        <w:rPr>
          <w:rFonts w:cs="Times New Roman"/>
          <w:b/>
          <w:bCs/>
        </w:rPr>
        <w:t>三个提升：</w:t>
      </w:r>
      <w:r>
        <w:rPr>
          <w:rFonts w:cs="Times New Roman"/>
        </w:rPr>
        <w:t>水源地生态安全有提升，河湖生态服务功能有提升，河湖水质有提升。</w:t>
      </w:r>
    </w:p>
    <w:p w14:paraId="28E1500D">
      <w:pPr>
        <w:ind w:firstLine="562"/>
        <w:rPr>
          <w:rFonts w:cs="Times New Roman"/>
        </w:rPr>
      </w:pPr>
      <w:r>
        <w:rPr>
          <w:rFonts w:cs="Times New Roman"/>
          <w:b/>
          <w:bCs/>
        </w:rPr>
        <w:t>两大体系：</w:t>
      </w:r>
      <w:r>
        <w:rPr>
          <w:rFonts w:cs="Times New Roman"/>
        </w:rPr>
        <w:t>完善管理和治理体系。</w:t>
      </w:r>
    </w:p>
    <w:p w14:paraId="0CCCA118">
      <w:pPr>
        <w:ind w:firstLine="562"/>
        <w:rPr>
          <w:rFonts w:cs="Times New Roman"/>
        </w:rPr>
      </w:pPr>
      <w:r>
        <w:rPr>
          <w:rFonts w:cs="Times New Roman"/>
          <w:b/>
          <w:bCs/>
        </w:rPr>
        <w:t>四类工程：</w:t>
      </w:r>
      <w:r>
        <w:rPr>
          <w:rFonts w:cs="Times New Roman"/>
        </w:rPr>
        <w:t>生态扩容工程、节水工程、污染减排工程以及美丽河湖建设工程。</w:t>
      </w:r>
    </w:p>
    <w:p w14:paraId="14C411DC">
      <w:pPr>
        <w:pStyle w:val="4"/>
        <w:bidi w:val="0"/>
      </w:pPr>
      <w:bookmarkStart w:id="56" w:name="_bookmark30"/>
      <w:bookmarkEnd w:id="56"/>
      <w:bookmarkStart w:id="57" w:name="（四）规划目标"/>
      <w:bookmarkEnd w:id="57"/>
      <w:bookmarkStart w:id="58" w:name="_Toc24606"/>
      <w:r>
        <w:t>第四节</w:t>
      </w:r>
      <w:r>
        <w:rPr>
          <w:rFonts w:hint="eastAsia"/>
        </w:rPr>
        <w:t xml:space="preserve">  </w:t>
      </w:r>
      <w:r>
        <w:t>规划目标与指标</w:t>
      </w:r>
      <w:bookmarkEnd w:id="58"/>
    </w:p>
    <w:p w14:paraId="700E848B">
      <w:pPr>
        <w:ind w:firstLine="562"/>
        <w:rPr>
          <w:rFonts w:hint="eastAsia" w:cs="Times New Roman"/>
          <w:b/>
        </w:rPr>
      </w:pPr>
      <w:bookmarkStart w:id="59" w:name="1、总体目标"/>
      <w:bookmarkEnd w:id="59"/>
      <w:bookmarkStart w:id="60" w:name="_bookmark31"/>
      <w:bookmarkEnd w:id="60"/>
      <w:r>
        <w:rPr>
          <w:rFonts w:hint="eastAsia" w:cs="Times New Roman"/>
          <w:b/>
        </w:rPr>
        <w:t>（一）规划</w:t>
      </w:r>
      <w:r>
        <w:rPr>
          <w:rFonts w:cs="Times New Roman"/>
          <w:b/>
        </w:rPr>
        <w:t>目标</w:t>
      </w:r>
    </w:p>
    <w:p w14:paraId="49C7B377">
      <w:pPr>
        <w:ind w:firstLine="560"/>
        <w:rPr>
          <w:rFonts w:cs="Times New Roman"/>
        </w:rPr>
      </w:pPr>
      <w:r>
        <w:rPr>
          <w:rFonts w:cs="Times New Roman"/>
        </w:rPr>
        <w:t>到2025年，</w:t>
      </w:r>
      <w:r>
        <w:rPr>
          <w:rFonts w:cs="Times New Roman"/>
          <w:lang w:val="en-US"/>
        </w:rPr>
        <w:t>1</w:t>
      </w:r>
      <w:r>
        <w:rPr>
          <w:rFonts w:hint="eastAsia" w:cs="Times New Roman"/>
          <w:lang w:val="en-US"/>
        </w:rPr>
        <w:t>2</w:t>
      </w:r>
      <w:r>
        <w:rPr>
          <w:rFonts w:cs="Times New Roman"/>
          <w:lang w:val="en-US"/>
        </w:rPr>
        <w:t>个国控断面</w:t>
      </w:r>
      <w:r>
        <w:rPr>
          <w:rFonts w:cs="Times New Roman"/>
        </w:rPr>
        <w:t>稳定达到国家考核标准，全市水生态环境质量持续改善，生态系统稳定性逐步提升，河湖、湿地生态功能初步恢复，水资源、水生态、水环境统筹推进格局基本形成，初步实现有河有水、有水有鱼、有鱼有草，初步建设一批美丽河湖，进一步完善生态环境保护体制机制，区域协同发展、共同保护的水生态环境联防联控现代治理体系初步形成。</w:t>
      </w:r>
    </w:p>
    <w:p w14:paraId="3578DCC9">
      <w:pPr>
        <w:ind w:firstLine="560"/>
        <w:rPr>
          <w:rFonts w:cs="Times New Roman"/>
        </w:rPr>
      </w:pPr>
      <w:r>
        <w:rPr>
          <w:rFonts w:cs="Times New Roman"/>
        </w:rPr>
        <w:t>到2030年，流域水生态环境明显改善，生态系统稳定性全面提升，太子河、浑江等主要干支流生态水量基本满足需求，河湖、湿地生态功能基本恢复，生态环境保护体制机制基本完善，水生态环境联防联控现代治理体系基本形成。</w:t>
      </w:r>
    </w:p>
    <w:p w14:paraId="328C3A8C">
      <w:pPr>
        <w:ind w:firstLine="560"/>
        <w:rPr>
          <w:rFonts w:cs="Times New Roman"/>
        </w:rPr>
      </w:pPr>
      <w:r>
        <w:rPr>
          <w:rFonts w:cs="Times New Roman"/>
        </w:rPr>
        <w:t>到2035年，流域水生态环境全面改善，水功能区全面达标</w:t>
      </w:r>
      <w:r>
        <w:rPr>
          <w:rFonts w:hint="eastAsia" w:cs="Times New Roman"/>
        </w:rPr>
        <w:t>，</w:t>
      </w:r>
      <w:r>
        <w:rPr>
          <w:rFonts w:cs="Times New Roman"/>
        </w:rPr>
        <w:t>生态流量得到全面保障</w:t>
      </w:r>
      <w:r>
        <w:rPr>
          <w:rFonts w:hint="eastAsia" w:cs="Times New Roman"/>
        </w:rPr>
        <w:t>，</w:t>
      </w:r>
      <w:r>
        <w:rPr>
          <w:rFonts w:cs="Times New Roman"/>
        </w:rPr>
        <w:t>水生态纳入常规化管理，水生态系统实现良性循环</w:t>
      </w:r>
      <w:r>
        <w:rPr>
          <w:rFonts w:hint="eastAsia" w:cs="Times New Roman"/>
        </w:rPr>
        <w:t>，</w:t>
      </w:r>
      <w:r>
        <w:rPr>
          <w:rFonts w:cs="Times New Roman"/>
        </w:rPr>
        <w:t>水生态环境领域治理体系和治理能力现代化基本实现。</w:t>
      </w:r>
    </w:p>
    <w:p w14:paraId="538DEC7B">
      <w:pPr>
        <w:ind w:firstLine="562"/>
        <w:rPr>
          <w:rFonts w:cs="Times New Roman"/>
          <w:b/>
        </w:rPr>
      </w:pPr>
      <w:bookmarkStart w:id="61" w:name="_bookmark32"/>
      <w:bookmarkEnd w:id="61"/>
      <w:bookmarkStart w:id="62" w:name="2、规划指标"/>
      <w:bookmarkEnd w:id="62"/>
      <w:r>
        <w:rPr>
          <w:rFonts w:hint="eastAsia" w:cs="Times New Roman"/>
          <w:b/>
        </w:rPr>
        <w:t>（二）</w:t>
      </w:r>
      <w:r>
        <w:rPr>
          <w:rFonts w:cs="Times New Roman"/>
          <w:b/>
        </w:rPr>
        <w:t>规划指标</w:t>
      </w:r>
    </w:p>
    <w:p w14:paraId="5BA74AFB">
      <w:pPr>
        <w:pStyle w:val="9"/>
        <w:spacing w:line="240" w:lineRule="auto"/>
        <w:ind w:firstLine="0" w:firstLineChars="0"/>
        <w:jc w:val="center"/>
        <w:rPr>
          <w:rFonts w:ascii="Times New Roman" w:hAnsi="Times New Roman" w:cs="Times New Roman"/>
          <w:b/>
          <w:bCs/>
          <w:sz w:val="24"/>
          <w:szCs w:val="24"/>
        </w:rPr>
      </w:pPr>
      <w:r>
        <w:rPr>
          <w:rFonts w:ascii="Times New Roman" w:hAnsi="Times New Roman" w:cs="Times New Roman"/>
          <w:b/>
          <w:bCs/>
          <w:sz w:val="24"/>
          <w:szCs w:val="24"/>
        </w:rPr>
        <w:t>表</w:t>
      </w:r>
      <w:r>
        <w:rPr>
          <w:rFonts w:hint="eastAsia" w:ascii="Times New Roman" w:hAnsi="Times New Roman" w:cs="Times New Roman"/>
          <w:b/>
          <w:bCs/>
          <w:sz w:val="24"/>
          <w:szCs w:val="24"/>
          <w:lang w:val="en-US" w:eastAsia="zh-CN"/>
        </w:rPr>
        <w:t>3</w:t>
      </w:r>
      <w:r>
        <w:rPr>
          <w:rFonts w:hint="eastAsia" w:ascii="Times New Roman" w:hAnsi="Times New Roman" w:cs="Times New Roman"/>
          <w:b/>
          <w:bCs/>
          <w:sz w:val="24"/>
          <w:szCs w:val="24"/>
          <w:lang w:val="en-US"/>
        </w:rPr>
        <w:t>-1</w:t>
      </w:r>
      <w:r>
        <w:rPr>
          <w:rFonts w:ascii="Times New Roman" w:hAnsi="Times New Roman" w:cs="Times New Roman"/>
          <w:b/>
          <w:bCs/>
          <w:sz w:val="24"/>
          <w:szCs w:val="24"/>
        </w:rPr>
        <w:t xml:space="preserve"> 常规指标</w:t>
      </w: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
        <w:gridCol w:w="878"/>
        <w:gridCol w:w="3646"/>
        <w:gridCol w:w="1672"/>
        <w:gridCol w:w="1413"/>
      </w:tblGrid>
      <w:tr w14:paraId="6829D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534" w:type="pct"/>
            <w:vAlign w:val="center"/>
          </w:tcPr>
          <w:p w14:paraId="67FA98C2">
            <w:pPr>
              <w:pStyle w:val="9"/>
              <w:spacing w:line="240" w:lineRule="auto"/>
              <w:ind w:firstLine="0" w:firstLineChars="0"/>
              <w:rPr>
                <w:rFonts w:ascii="Times New Roman" w:hAnsi="Times New Roman" w:cs="Times New Roman"/>
                <w:b/>
                <w:bCs/>
                <w:sz w:val="24"/>
                <w:szCs w:val="24"/>
              </w:rPr>
            </w:pPr>
            <w:r>
              <w:rPr>
                <w:rFonts w:ascii="Times New Roman" w:hAnsi="Times New Roman" w:cs="Times New Roman"/>
                <w:b/>
                <w:bCs/>
                <w:sz w:val="24"/>
                <w:szCs w:val="24"/>
              </w:rPr>
              <w:t>类别</w:t>
            </w:r>
          </w:p>
        </w:tc>
        <w:tc>
          <w:tcPr>
            <w:tcW w:w="515" w:type="pct"/>
            <w:vAlign w:val="center"/>
          </w:tcPr>
          <w:p w14:paraId="28A0E8DA">
            <w:pPr>
              <w:pStyle w:val="9"/>
              <w:spacing w:line="240" w:lineRule="auto"/>
              <w:ind w:firstLine="0" w:firstLineChars="0"/>
              <w:rPr>
                <w:rFonts w:ascii="Times New Roman" w:hAnsi="Times New Roman" w:cs="Times New Roman"/>
                <w:b/>
                <w:bCs/>
                <w:sz w:val="24"/>
                <w:szCs w:val="24"/>
              </w:rPr>
            </w:pPr>
            <w:r>
              <w:rPr>
                <w:rFonts w:ascii="Times New Roman" w:hAnsi="Times New Roman" w:cs="Times New Roman"/>
                <w:b/>
                <w:bCs/>
                <w:sz w:val="24"/>
                <w:szCs w:val="24"/>
              </w:rPr>
              <w:t>序号</w:t>
            </w:r>
          </w:p>
        </w:tc>
        <w:tc>
          <w:tcPr>
            <w:tcW w:w="2139" w:type="pct"/>
            <w:vAlign w:val="center"/>
          </w:tcPr>
          <w:p w14:paraId="60B109A6">
            <w:pPr>
              <w:pStyle w:val="9"/>
              <w:spacing w:line="240" w:lineRule="auto"/>
              <w:ind w:firstLine="0" w:firstLineChars="0"/>
              <w:rPr>
                <w:rFonts w:ascii="Times New Roman" w:hAnsi="Times New Roman" w:cs="Times New Roman"/>
                <w:b/>
                <w:bCs/>
                <w:sz w:val="24"/>
                <w:szCs w:val="24"/>
              </w:rPr>
            </w:pPr>
            <w:r>
              <w:rPr>
                <w:rFonts w:ascii="Times New Roman" w:hAnsi="Times New Roman" w:cs="Times New Roman"/>
                <w:b/>
                <w:bCs/>
                <w:sz w:val="24"/>
                <w:szCs w:val="24"/>
              </w:rPr>
              <w:t>指标</w:t>
            </w:r>
          </w:p>
        </w:tc>
        <w:tc>
          <w:tcPr>
            <w:tcW w:w="981" w:type="pct"/>
            <w:vAlign w:val="center"/>
          </w:tcPr>
          <w:p w14:paraId="73B7FD09">
            <w:pPr>
              <w:pStyle w:val="9"/>
              <w:spacing w:line="240" w:lineRule="auto"/>
              <w:ind w:firstLine="0" w:firstLineChars="0"/>
              <w:rPr>
                <w:rFonts w:ascii="Times New Roman" w:hAnsi="Times New Roman" w:cs="Times New Roman"/>
                <w:b/>
                <w:bCs/>
                <w:sz w:val="24"/>
                <w:szCs w:val="24"/>
              </w:rPr>
            </w:pPr>
            <w:r>
              <w:rPr>
                <w:rFonts w:ascii="Times New Roman" w:hAnsi="Times New Roman" w:cs="Times New Roman"/>
                <w:b/>
                <w:bCs/>
                <w:sz w:val="24"/>
                <w:szCs w:val="24"/>
              </w:rPr>
              <w:t>2025年目标</w:t>
            </w:r>
          </w:p>
        </w:tc>
        <w:tc>
          <w:tcPr>
            <w:tcW w:w="829" w:type="pct"/>
            <w:vAlign w:val="center"/>
          </w:tcPr>
          <w:p w14:paraId="06DC75B1">
            <w:pPr>
              <w:pStyle w:val="9"/>
              <w:spacing w:line="240" w:lineRule="auto"/>
              <w:ind w:firstLine="0" w:firstLineChars="0"/>
              <w:rPr>
                <w:rFonts w:ascii="Times New Roman" w:hAnsi="Times New Roman" w:cs="Times New Roman"/>
                <w:b/>
                <w:bCs/>
                <w:sz w:val="24"/>
                <w:szCs w:val="24"/>
              </w:rPr>
            </w:pPr>
            <w:r>
              <w:rPr>
                <w:rFonts w:ascii="Times New Roman" w:hAnsi="Times New Roman" w:cs="Times New Roman"/>
                <w:b/>
                <w:bCs/>
                <w:sz w:val="24"/>
                <w:szCs w:val="24"/>
              </w:rPr>
              <w:t>责任部门</w:t>
            </w:r>
          </w:p>
        </w:tc>
      </w:tr>
      <w:tr w14:paraId="3E75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34" w:type="pct"/>
            <w:vMerge w:val="restart"/>
            <w:vAlign w:val="center"/>
          </w:tcPr>
          <w:p w14:paraId="18BFC6F6">
            <w:pPr>
              <w:pStyle w:val="9"/>
              <w:spacing w:line="240" w:lineRule="auto"/>
              <w:ind w:firstLine="0" w:firstLineChars="0"/>
              <w:rPr>
                <w:rFonts w:ascii="Times New Roman" w:hAnsi="Times New Roman" w:cs="Times New Roman"/>
                <w:sz w:val="24"/>
                <w:szCs w:val="24"/>
              </w:rPr>
            </w:pPr>
            <w:r>
              <w:rPr>
                <w:rFonts w:ascii="Times New Roman" w:hAnsi="Times New Roman" w:cs="Times New Roman"/>
                <w:sz w:val="24"/>
                <w:szCs w:val="24"/>
              </w:rPr>
              <w:t>水环境</w:t>
            </w:r>
          </w:p>
        </w:tc>
        <w:tc>
          <w:tcPr>
            <w:tcW w:w="515" w:type="pct"/>
            <w:vAlign w:val="center"/>
          </w:tcPr>
          <w:p w14:paraId="4AD7757E">
            <w:pPr>
              <w:pStyle w:val="9"/>
              <w:spacing w:line="240" w:lineRule="auto"/>
              <w:ind w:firstLine="0" w:firstLineChars="0"/>
              <w:rPr>
                <w:rFonts w:ascii="Times New Roman" w:hAnsi="Times New Roman" w:cs="Times New Roman"/>
                <w:sz w:val="24"/>
                <w:szCs w:val="24"/>
              </w:rPr>
            </w:pPr>
            <w:r>
              <w:rPr>
                <w:rFonts w:ascii="Times New Roman" w:hAnsi="Times New Roman" w:cs="Times New Roman"/>
                <w:sz w:val="24"/>
                <w:szCs w:val="24"/>
              </w:rPr>
              <w:t>1</w:t>
            </w:r>
          </w:p>
        </w:tc>
        <w:tc>
          <w:tcPr>
            <w:tcW w:w="2139" w:type="pct"/>
            <w:vAlign w:val="center"/>
          </w:tcPr>
          <w:p w14:paraId="3E97A19C">
            <w:pPr>
              <w:pStyle w:val="9"/>
              <w:spacing w:line="240" w:lineRule="auto"/>
              <w:ind w:firstLine="0" w:firstLineChars="0"/>
              <w:jc w:val="left"/>
              <w:rPr>
                <w:rFonts w:ascii="Times New Roman" w:hAnsi="Times New Roman" w:cs="Times New Roman"/>
                <w:sz w:val="24"/>
                <w:szCs w:val="24"/>
                <w:highlight w:val="none"/>
              </w:rPr>
            </w:pPr>
            <w:r>
              <w:rPr>
                <w:rFonts w:ascii="Times New Roman" w:hAnsi="Times New Roman" w:cs="Times New Roman"/>
                <w:sz w:val="24"/>
                <w:szCs w:val="24"/>
                <w:highlight w:val="none"/>
              </w:rPr>
              <w:t>地表水优良（国控断面达到或优于</w:t>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 3 \* ROMAN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III</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t>类）</w:t>
            </w:r>
          </w:p>
        </w:tc>
        <w:tc>
          <w:tcPr>
            <w:tcW w:w="981" w:type="pct"/>
            <w:vAlign w:val="center"/>
          </w:tcPr>
          <w:p w14:paraId="1EFEF964">
            <w:pPr>
              <w:pStyle w:val="9"/>
              <w:spacing w:line="240" w:lineRule="auto"/>
              <w:ind w:firstLine="0" w:firstLineChars="0"/>
              <w:rPr>
                <w:rFonts w:ascii="Times New Roman" w:hAnsi="Times New Roman" w:cs="Times New Roman"/>
                <w:sz w:val="24"/>
                <w:szCs w:val="24"/>
                <w:highlight w:val="none"/>
              </w:rPr>
            </w:pPr>
            <w:r>
              <w:rPr>
                <w:rFonts w:hint="eastAsia" w:ascii="Times New Roman" w:hAnsi="Times New Roman" w:cs="Times New Roman"/>
                <w:sz w:val="24"/>
                <w:szCs w:val="24"/>
                <w:highlight w:val="none"/>
                <w:lang w:val="en-US"/>
              </w:rPr>
              <w:t>91.7</w:t>
            </w:r>
            <w:r>
              <w:rPr>
                <w:rFonts w:ascii="Times New Roman" w:hAnsi="Times New Roman" w:cs="Times New Roman"/>
                <w:sz w:val="24"/>
                <w:szCs w:val="24"/>
                <w:highlight w:val="none"/>
              </w:rPr>
              <w:t>%</w:t>
            </w:r>
          </w:p>
        </w:tc>
        <w:tc>
          <w:tcPr>
            <w:tcW w:w="829" w:type="pct"/>
            <w:vAlign w:val="center"/>
          </w:tcPr>
          <w:p w14:paraId="37532835">
            <w:pPr>
              <w:pStyle w:val="9"/>
              <w:spacing w:line="240" w:lineRule="auto"/>
              <w:ind w:firstLine="0" w:firstLineChars="0"/>
              <w:rPr>
                <w:rFonts w:ascii="Times New Roman" w:hAnsi="Times New Roman" w:cs="Times New Roman"/>
                <w:sz w:val="24"/>
                <w:szCs w:val="24"/>
                <w:highlight w:val="yellow"/>
              </w:rPr>
            </w:pPr>
            <w:r>
              <w:rPr>
                <w:rFonts w:ascii="Times New Roman" w:hAnsi="Times New Roman" w:cs="Times New Roman"/>
                <w:sz w:val="24"/>
                <w:szCs w:val="24"/>
                <w:highlight w:val="none"/>
              </w:rPr>
              <w:t>生态环境局、水务局</w:t>
            </w:r>
          </w:p>
        </w:tc>
      </w:tr>
      <w:tr w14:paraId="2A723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34" w:type="pct"/>
            <w:vMerge w:val="continue"/>
            <w:vAlign w:val="center"/>
          </w:tcPr>
          <w:p w14:paraId="26E2ADA7">
            <w:pPr>
              <w:pStyle w:val="9"/>
              <w:spacing w:line="240" w:lineRule="auto"/>
              <w:ind w:firstLine="0" w:firstLineChars="0"/>
              <w:rPr>
                <w:rFonts w:ascii="Times New Roman" w:hAnsi="Times New Roman" w:cs="Times New Roman"/>
                <w:sz w:val="24"/>
                <w:szCs w:val="24"/>
              </w:rPr>
            </w:pPr>
          </w:p>
        </w:tc>
        <w:tc>
          <w:tcPr>
            <w:tcW w:w="515" w:type="pct"/>
            <w:vAlign w:val="center"/>
          </w:tcPr>
          <w:p w14:paraId="0E99F1CE">
            <w:pPr>
              <w:pStyle w:val="9"/>
              <w:spacing w:line="240" w:lineRule="auto"/>
              <w:ind w:firstLine="0" w:firstLineChars="0"/>
              <w:rPr>
                <w:rFonts w:ascii="Times New Roman" w:hAnsi="Times New Roman" w:cs="Times New Roman"/>
                <w:sz w:val="24"/>
                <w:szCs w:val="24"/>
              </w:rPr>
            </w:pPr>
            <w:r>
              <w:rPr>
                <w:rFonts w:ascii="Times New Roman" w:hAnsi="Times New Roman" w:cs="Times New Roman"/>
                <w:sz w:val="24"/>
                <w:szCs w:val="24"/>
              </w:rPr>
              <w:t>2</w:t>
            </w:r>
          </w:p>
        </w:tc>
        <w:tc>
          <w:tcPr>
            <w:tcW w:w="2139" w:type="pct"/>
            <w:vAlign w:val="center"/>
          </w:tcPr>
          <w:p w14:paraId="3AAE6428">
            <w:pPr>
              <w:pStyle w:val="9"/>
              <w:spacing w:line="240" w:lineRule="auto"/>
              <w:ind w:firstLine="0" w:firstLineChars="0"/>
              <w:jc w:val="left"/>
              <w:rPr>
                <w:rFonts w:ascii="Times New Roman" w:hAnsi="Times New Roman" w:cs="Times New Roman"/>
                <w:sz w:val="24"/>
                <w:szCs w:val="24"/>
              </w:rPr>
            </w:pPr>
            <w:r>
              <w:rPr>
                <w:rFonts w:ascii="Times New Roman" w:hAnsi="Times New Roman" w:cs="Times New Roman"/>
                <w:sz w:val="24"/>
                <w:szCs w:val="24"/>
              </w:rPr>
              <w:t>地表劣</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 5 \* ROMAN </w:instrText>
            </w:r>
            <w:r>
              <w:rPr>
                <w:rFonts w:ascii="Times New Roman" w:hAnsi="Times New Roman" w:cs="Times New Roman"/>
                <w:sz w:val="24"/>
                <w:szCs w:val="24"/>
              </w:rPr>
              <w:fldChar w:fldCharType="separate"/>
            </w:r>
            <w:r>
              <w:rPr>
                <w:rFonts w:ascii="Times New Roman" w:hAnsi="Times New Roman" w:cs="Times New Roman"/>
                <w:sz w:val="24"/>
                <w:szCs w:val="24"/>
              </w:rPr>
              <w:t>V</w:t>
            </w:r>
            <w:r>
              <w:rPr>
                <w:rFonts w:ascii="Times New Roman" w:hAnsi="Times New Roman" w:cs="Times New Roman"/>
                <w:sz w:val="24"/>
                <w:szCs w:val="24"/>
              </w:rPr>
              <w:fldChar w:fldCharType="end"/>
            </w:r>
            <w:r>
              <w:rPr>
                <w:rFonts w:ascii="Times New Roman" w:hAnsi="Times New Roman" w:cs="Times New Roman"/>
                <w:sz w:val="24"/>
                <w:szCs w:val="24"/>
              </w:rPr>
              <w:t>类水体比例（%）</w:t>
            </w:r>
          </w:p>
        </w:tc>
        <w:tc>
          <w:tcPr>
            <w:tcW w:w="981" w:type="pct"/>
            <w:vAlign w:val="center"/>
          </w:tcPr>
          <w:p w14:paraId="51937186">
            <w:pPr>
              <w:pStyle w:val="9"/>
              <w:spacing w:line="240" w:lineRule="auto"/>
              <w:ind w:firstLine="0" w:firstLineChars="0"/>
              <w:rPr>
                <w:rFonts w:ascii="Times New Roman" w:hAnsi="Times New Roman" w:cs="Times New Roman"/>
                <w:sz w:val="24"/>
                <w:szCs w:val="24"/>
              </w:rPr>
            </w:pPr>
            <w:r>
              <w:rPr>
                <w:rFonts w:ascii="Times New Roman" w:hAnsi="Times New Roman" w:cs="Times New Roman"/>
                <w:sz w:val="24"/>
                <w:szCs w:val="24"/>
              </w:rPr>
              <w:t>0</w:t>
            </w:r>
          </w:p>
        </w:tc>
        <w:tc>
          <w:tcPr>
            <w:tcW w:w="829" w:type="pct"/>
            <w:vAlign w:val="center"/>
          </w:tcPr>
          <w:p w14:paraId="5F3E0AE9">
            <w:pPr>
              <w:pStyle w:val="9"/>
              <w:spacing w:line="240" w:lineRule="auto"/>
              <w:ind w:firstLine="0" w:firstLineChars="0"/>
              <w:rPr>
                <w:rFonts w:ascii="Times New Roman" w:hAnsi="Times New Roman" w:cs="Times New Roman"/>
                <w:sz w:val="24"/>
                <w:szCs w:val="24"/>
              </w:rPr>
            </w:pPr>
            <w:r>
              <w:rPr>
                <w:rFonts w:ascii="Times New Roman" w:hAnsi="Times New Roman" w:cs="Times New Roman"/>
                <w:sz w:val="24"/>
                <w:szCs w:val="24"/>
              </w:rPr>
              <w:t>住建局</w:t>
            </w:r>
          </w:p>
        </w:tc>
      </w:tr>
      <w:tr w14:paraId="1A3B1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34" w:type="pct"/>
            <w:vMerge w:val="continue"/>
            <w:vAlign w:val="center"/>
          </w:tcPr>
          <w:p w14:paraId="0C4203EC">
            <w:pPr>
              <w:pStyle w:val="9"/>
              <w:spacing w:line="240" w:lineRule="auto"/>
              <w:ind w:firstLine="0" w:firstLineChars="0"/>
              <w:rPr>
                <w:rFonts w:ascii="Times New Roman" w:hAnsi="Times New Roman" w:cs="Times New Roman"/>
                <w:sz w:val="24"/>
                <w:szCs w:val="24"/>
              </w:rPr>
            </w:pPr>
          </w:p>
        </w:tc>
        <w:tc>
          <w:tcPr>
            <w:tcW w:w="515" w:type="pct"/>
            <w:vAlign w:val="center"/>
          </w:tcPr>
          <w:p w14:paraId="1E511A72">
            <w:pPr>
              <w:pStyle w:val="9"/>
              <w:spacing w:line="240" w:lineRule="auto"/>
              <w:ind w:firstLine="0" w:firstLineChars="0"/>
              <w:rPr>
                <w:rFonts w:ascii="Times New Roman" w:hAnsi="Times New Roman" w:cs="Times New Roman"/>
                <w:sz w:val="24"/>
                <w:szCs w:val="24"/>
              </w:rPr>
            </w:pPr>
            <w:r>
              <w:rPr>
                <w:rFonts w:ascii="Times New Roman" w:hAnsi="Times New Roman" w:cs="Times New Roman"/>
                <w:sz w:val="24"/>
                <w:szCs w:val="24"/>
              </w:rPr>
              <w:t>3</w:t>
            </w:r>
          </w:p>
        </w:tc>
        <w:tc>
          <w:tcPr>
            <w:tcW w:w="2139" w:type="pct"/>
            <w:vAlign w:val="center"/>
          </w:tcPr>
          <w:p w14:paraId="274ABCCC">
            <w:pPr>
              <w:pStyle w:val="9"/>
              <w:spacing w:line="240" w:lineRule="auto"/>
              <w:ind w:firstLine="0" w:firstLineChars="0"/>
              <w:jc w:val="left"/>
              <w:rPr>
                <w:rFonts w:ascii="Times New Roman" w:hAnsi="Times New Roman" w:cs="Times New Roman"/>
                <w:sz w:val="24"/>
                <w:szCs w:val="24"/>
              </w:rPr>
            </w:pPr>
            <w:r>
              <w:rPr>
                <w:rFonts w:ascii="Times New Roman" w:hAnsi="Times New Roman" w:cs="Times New Roman"/>
                <w:sz w:val="24"/>
                <w:szCs w:val="24"/>
              </w:rPr>
              <w:t>水功能区达标率（%）</w:t>
            </w:r>
          </w:p>
        </w:tc>
        <w:tc>
          <w:tcPr>
            <w:tcW w:w="981" w:type="pct"/>
            <w:vAlign w:val="center"/>
          </w:tcPr>
          <w:p w14:paraId="188F82A0">
            <w:pPr>
              <w:pStyle w:val="9"/>
              <w:spacing w:line="240" w:lineRule="auto"/>
              <w:ind w:firstLine="0" w:firstLineChars="0"/>
              <w:rPr>
                <w:rFonts w:ascii="Times New Roman" w:hAnsi="Times New Roman" w:cs="Times New Roman"/>
                <w:sz w:val="24"/>
                <w:szCs w:val="24"/>
              </w:rPr>
            </w:pPr>
            <w:r>
              <w:rPr>
                <w:rFonts w:ascii="Times New Roman" w:hAnsi="Times New Roman" w:cs="Times New Roman"/>
                <w:sz w:val="24"/>
                <w:szCs w:val="24"/>
              </w:rPr>
              <w:t>94%</w:t>
            </w:r>
          </w:p>
        </w:tc>
        <w:tc>
          <w:tcPr>
            <w:tcW w:w="829" w:type="pct"/>
            <w:vAlign w:val="center"/>
          </w:tcPr>
          <w:p w14:paraId="104D6BFB">
            <w:pPr>
              <w:pStyle w:val="9"/>
              <w:spacing w:line="240" w:lineRule="auto"/>
              <w:ind w:firstLine="0" w:firstLineChars="0"/>
              <w:rPr>
                <w:rFonts w:ascii="Times New Roman" w:hAnsi="Times New Roman" w:cs="Times New Roman"/>
                <w:sz w:val="24"/>
                <w:szCs w:val="24"/>
              </w:rPr>
            </w:pPr>
          </w:p>
        </w:tc>
      </w:tr>
      <w:tr w14:paraId="1D381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34" w:type="pct"/>
            <w:vMerge w:val="continue"/>
            <w:vAlign w:val="center"/>
          </w:tcPr>
          <w:p w14:paraId="1B52A7B1">
            <w:pPr>
              <w:pStyle w:val="9"/>
              <w:spacing w:line="240" w:lineRule="auto"/>
              <w:ind w:firstLine="0" w:firstLineChars="0"/>
              <w:rPr>
                <w:rFonts w:ascii="Times New Roman" w:hAnsi="Times New Roman" w:cs="Times New Roman"/>
                <w:sz w:val="24"/>
                <w:szCs w:val="24"/>
              </w:rPr>
            </w:pPr>
          </w:p>
        </w:tc>
        <w:tc>
          <w:tcPr>
            <w:tcW w:w="515" w:type="pct"/>
            <w:vAlign w:val="center"/>
          </w:tcPr>
          <w:p w14:paraId="2B3C2B2D">
            <w:pPr>
              <w:pStyle w:val="9"/>
              <w:spacing w:line="240" w:lineRule="auto"/>
              <w:ind w:firstLine="0" w:firstLineChars="0"/>
              <w:rPr>
                <w:rFonts w:ascii="Times New Roman" w:hAnsi="Times New Roman" w:cs="Times New Roman"/>
                <w:sz w:val="24"/>
                <w:szCs w:val="24"/>
              </w:rPr>
            </w:pPr>
            <w:r>
              <w:rPr>
                <w:rFonts w:ascii="Times New Roman" w:hAnsi="Times New Roman" w:cs="Times New Roman"/>
                <w:sz w:val="24"/>
                <w:szCs w:val="24"/>
              </w:rPr>
              <w:t>4</w:t>
            </w:r>
          </w:p>
        </w:tc>
        <w:tc>
          <w:tcPr>
            <w:tcW w:w="2139" w:type="pct"/>
            <w:vAlign w:val="center"/>
          </w:tcPr>
          <w:p w14:paraId="5142F50F">
            <w:pPr>
              <w:pStyle w:val="9"/>
              <w:spacing w:line="240" w:lineRule="auto"/>
              <w:ind w:firstLine="0" w:firstLineChars="0"/>
              <w:jc w:val="left"/>
              <w:rPr>
                <w:rFonts w:ascii="Times New Roman" w:hAnsi="Times New Roman" w:cs="Times New Roman"/>
                <w:sz w:val="24"/>
                <w:szCs w:val="24"/>
              </w:rPr>
            </w:pPr>
            <w:r>
              <w:rPr>
                <w:rFonts w:ascii="Times New Roman" w:hAnsi="Times New Roman" w:cs="Times New Roman"/>
                <w:sz w:val="24"/>
                <w:szCs w:val="24"/>
              </w:rPr>
              <w:t>县级及以上集中式饮用水水源达到或优于</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 3 \* ROMAN </w:instrText>
            </w:r>
            <w:r>
              <w:rPr>
                <w:rFonts w:ascii="Times New Roman" w:hAnsi="Times New Roman" w:cs="Times New Roman"/>
                <w:sz w:val="24"/>
                <w:szCs w:val="24"/>
              </w:rPr>
              <w:fldChar w:fldCharType="separate"/>
            </w:r>
            <w:r>
              <w:rPr>
                <w:rFonts w:ascii="Times New Roman" w:hAnsi="Times New Roman" w:cs="Times New Roman"/>
                <w:sz w:val="24"/>
                <w:szCs w:val="24"/>
              </w:rPr>
              <w:t>III</w:t>
            </w:r>
            <w:r>
              <w:rPr>
                <w:rFonts w:ascii="Times New Roman" w:hAnsi="Times New Roman" w:cs="Times New Roman"/>
                <w:sz w:val="24"/>
                <w:szCs w:val="24"/>
              </w:rPr>
              <w:fldChar w:fldCharType="end"/>
            </w:r>
            <w:r>
              <w:rPr>
                <w:rFonts w:ascii="Times New Roman" w:hAnsi="Times New Roman" w:cs="Times New Roman"/>
                <w:sz w:val="24"/>
                <w:szCs w:val="24"/>
              </w:rPr>
              <w:t>类比例</w:t>
            </w:r>
          </w:p>
        </w:tc>
        <w:tc>
          <w:tcPr>
            <w:tcW w:w="981" w:type="pct"/>
            <w:vAlign w:val="center"/>
          </w:tcPr>
          <w:p w14:paraId="71EB5D68">
            <w:pPr>
              <w:pStyle w:val="9"/>
              <w:spacing w:line="240" w:lineRule="auto"/>
              <w:ind w:firstLine="0" w:firstLineChars="0"/>
              <w:rPr>
                <w:rFonts w:ascii="Times New Roman" w:hAnsi="Times New Roman" w:cs="Times New Roman"/>
                <w:sz w:val="24"/>
                <w:szCs w:val="24"/>
              </w:rPr>
            </w:pPr>
            <w:r>
              <w:rPr>
                <w:rFonts w:ascii="Times New Roman" w:hAnsi="Times New Roman" w:cs="Times New Roman"/>
                <w:sz w:val="24"/>
                <w:szCs w:val="24"/>
              </w:rPr>
              <w:t>100%</w:t>
            </w:r>
          </w:p>
        </w:tc>
        <w:tc>
          <w:tcPr>
            <w:tcW w:w="829" w:type="pct"/>
            <w:vAlign w:val="center"/>
          </w:tcPr>
          <w:p w14:paraId="0FDC6C1A">
            <w:pPr>
              <w:pStyle w:val="9"/>
              <w:spacing w:line="240" w:lineRule="auto"/>
              <w:ind w:firstLine="0" w:firstLineChars="0"/>
              <w:rPr>
                <w:rFonts w:ascii="Times New Roman" w:hAnsi="Times New Roman" w:cs="Times New Roman"/>
                <w:sz w:val="24"/>
                <w:szCs w:val="24"/>
              </w:rPr>
            </w:pPr>
            <w:r>
              <w:rPr>
                <w:rFonts w:ascii="Times New Roman" w:hAnsi="Times New Roman" w:cs="Times New Roman"/>
                <w:sz w:val="24"/>
                <w:szCs w:val="24"/>
              </w:rPr>
              <w:t>水务局、生态环境局</w:t>
            </w:r>
          </w:p>
        </w:tc>
      </w:tr>
      <w:tr w14:paraId="2AC61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34" w:type="pct"/>
            <w:vMerge w:val="continue"/>
            <w:vAlign w:val="center"/>
          </w:tcPr>
          <w:p w14:paraId="6AF699DD">
            <w:pPr>
              <w:pStyle w:val="9"/>
              <w:spacing w:line="240" w:lineRule="auto"/>
              <w:ind w:firstLine="0" w:firstLineChars="0"/>
              <w:rPr>
                <w:rFonts w:ascii="Times New Roman" w:hAnsi="Times New Roman" w:cs="Times New Roman"/>
                <w:sz w:val="24"/>
                <w:szCs w:val="24"/>
              </w:rPr>
            </w:pPr>
          </w:p>
        </w:tc>
        <w:tc>
          <w:tcPr>
            <w:tcW w:w="515" w:type="pct"/>
            <w:vAlign w:val="center"/>
          </w:tcPr>
          <w:p w14:paraId="1DE0378A">
            <w:pPr>
              <w:pStyle w:val="9"/>
              <w:spacing w:line="240" w:lineRule="auto"/>
              <w:ind w:firstLine="0" w:firstLineChars="0"/>
              <w:rPr>
                <w:rFonts w:ascii="Times New Roman" w:hAnsi="Times New Roman" w:cs="Times New Roman"/>
                <w:sz w:val="24"/>
                <w:szCs w:val="24"/>
              </w:rPr>
            </w:pPr>
            <w:r>
              <w:rPr>
                <w:rFonts w:ascii="Times New Roman" w:hAnsi="Times New Roman" w:cs="Times New Roman"/>
                <w:sz w:val="24"/>
                <w:szCs w:val="24"/>
              </w:rPr>
              <w:t>5</w:t>
            </w:r>
          </w:p>
        </w:tc>
        <w:tc>
          <w:tcPr>
            <w:tcW w:w="2139" w:type="pct"/>
            <w:vAlign w:val="center"/>
          </w:tcPr>
          <w:p w14:paraId="50A4FB59">
            <w:pPr>
              <w:pStyle w:val="9"/>
              <w:spacing w:line="240" w:lineRule="auto"/>
              <w:ind w:firstLine="0" w:firstLineChars="0"/>
              <w:jc w:val="left"/>
              <w:rPr>
                <w:rFonts w:ascii="Times New Roman" w:hAnsi="Times New Roman" w:cs="Times New Roman"/>
                <w:sz w:val="24"/>
                <w:szCs w:val="24"/>
              </w:rPr>
            </w:pPr>
            <w:r>
              <w:rPr>
                <w:rStyle w:val="24"/>
                <w:rFonts w:hint="default" w:ascii="Times New Roman" w:hAnsi="Times New Roman" w:cs="Times New Roman"/>
                <w:color w:val="auto"/>
              </w:rPr>
              <w:t>农村生活污水治理率（%）</w:t>
            </w:r>
          </w:p>
        </w:tc>
        <w:tc>
          <w:tcPr>
            <w:tcW w:w="981" w:type="pct"/>
            <w:vAlign w:val="center"/>
          </w:tcPr>
          <w:p w14:paraId="209BF8CA">
            <w:pPr>
              <w:pStyle w:val="9"/>
              <w:spacing w:line="240" w:lineRule="auto"/>
              <w:ind w:firstLine="0" w:firstLineChars="0"/>
              <w:rPr>
                <w:rFonts w:ascii="Times New Roman" w:hAnsi="Times New Roman" w:cs="Times New Roman"/>
                <w:sz w:val="24"/>
                <w:szCs w:val="24"/>
                <w:lang w:val="en-US"/>
              </w:rPr>
            </w:pPr>
            <w:r>
              <w:rPr>
                <w:rFonts w:hint="eastAsia" w:ascii="Times New Roman" w:hAnsi="Times New Roman" w:cs="Times New Roman"/>
                <w:sz w:val="24"/>
                <w:szCs w:val="24"/>
                <w:lang w:val="en-US"/>
              </w:rPr>
              <w:t>40%</w:t>
            </w:r>
          </w:p>
        </w:tc>
        <w:tc>
          <w:tcPr>
            <w:tcW w:w="829" w:type="pct"/>
            <w:vAlign w:val="center"/>
          </w:tcPr>
          <w:p w14:paraId="13A97DF5">
            <w:pPr>
              <w:pStyle w:val="9"/>
              <w:spacing w:line="240" w:lineRule="auto"/>
              <w:ind w:firstLine="0" w:firstLineChars="0"/>
              <w:rPr>
                <w:rFonts w:ascii="Times New Roman" w:hAnsi="Times New Roman" w:cs="Times New Roman"/>
                <w:sz w:val="24"/>
                <w:szCs w:val="24"/>
              </w:rPr>
            </w:pPr>
          </w:p>
        </w:tc>
      </w:tr>
      <w:tr w14:paraId="22D32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534" w:type="pct"/>
            <w:vMerge w:val="continue"/>
            <w:vAlign w:val="center"/>
          </w:tcPr>
          <w:p w14:paraId="0744EC1A">
            <w:pPr>
              <w:pStyle w:val="9"/>
              <w:spacing w:line="240" w:lineRule="auto"/>
              <w:ind w:firstLine="0" w:firstLineChars="0"/>
              <w:rPr>
                <w:rFonts w:ascii="Times New Roman" w:hAnsi="Times New Roman" w:cs="Times New Roman"/>
                <w:sz w:val="24"/>
                <w:szCs w:val="24"/>
              </w:rPr>
            </w:pPr>
          </w:p>
        </w:tc>
        <w:tc>
          <w:tcPr>
            <w:tcW w:w="515" w:type="pct"/>
            <w:vAlign w:val="center"/>
          </w:tcPr>
          <w:p w14:paraId="0BF13263">
            <w:pPr>
              <w:pStyle w:val="9"/>
              <w:spacing w:line="240" w:lineRule="auto"/>
              <w:ind w:firstLine="0" w:firstLineChars="0"/>
              <w:rPr>
                <w:rFonts w:ascii="Times New Roman" w:hAnsi="Times New Roman" w:cs="Times New Roman"/>
                <w:sz w:val="24"/>
                <w:szCs w:val="24"/>
              </w:rPr>
            </w:pPr>
            <w:r>
              <w:rPr>
                <w:rFonts w:ascii="Times New Roman" w:hAnsi="Times New Roman" w:cs="Times New Roman"/>
                <w:sz w:val="24"/>
                <w:szCs w:val="24"/>
              </w:rPr>
              <w:t>6</w:t>
            </w:r>
          </w:p>
        </w:tc>
        <w:tc>
          <w:tcPr>
            <w:tcW w:w="2139" w:type="pct"/>
            <w:vAlign w:val="center"/>
          </w:tcPr>
          <w:p w14:paraId="6467B0A7">
            <w:pPr>
              <w:widowControl/>
              <w:spacing w:line="240" w:lineRule="auto"/>
              <w:ind w:firstLine="0" w:firstLineChars="0"/>
              <w:jc w:val="left"/>
              <w:textAlignment w:val="center"/>
              <w:rPr>
                <w:rFonts w:cs="Times New Roman"/>
                <w:sz w:val="24"/>
                <w:szCs w:val="24"/>
                <w:highlight w:val="none"/>
              </w:rPr>
            </w:pPr>
            <w:r>
              <w:rPr>
                <w:rFonts w:cs="Times New Roman"/>
                <w:sz w:val="24"/>
                <w:szCs w:val="24"/>
                <w:highlight w:val="none"/>
              </w:rPr>
              <w:t>畜禽粪污综合利用率</w:t>
            </w:r>
            <w:r>
              <w:rPr>
                <w:rFonts w:hint="eastAsia" w:cs="Times New Roman"/>
                <w:sz w:val="24"/>
                <w:szCs w:val="24"/>
                <w:highlight w:val="none"/>
              </w:rPr>
              <w:t>（</w:t>
            </w:r>
            <w:r>
              <w:rPr>
                <w:rFonts w:hint="eastAsia" w:cs="Times New Roman"/>
                <w:sz w:val="24"/>
                <w:szCs w:val="24"/>
                <w:highlight w:val="none"/>
                <w:lang w:val="en-US"/>
              </w:rPr>
              <w:t>%</w:t>
            </w:r>
            <w:r>
              <w:rPr>
                <w:rFonts w:hint="eastAsia" w:cs="Times New Roman"/>
                <w:sz w:val="24"/>
                <w:szCs w:val="24"/>
                <w:highlight w:val="none"/>
              </w:rPr>
              <w:t>）</w:t>
            </w:r>
          </w:p>
        </w:tc>
        <w:tc>
          <w:tcPr>
            <w:tcW w:w="981" w:type="pct"/>
          </w:tcPr>
          <w:p w14:paraId="7BD11E7C">
            <w:pPr>
              <w:pStyle w:val="9"/>
              <w:spacing w:line="240" w:lineRule="auto"/>
              <w:ind w:firstLine="0" w:firstLineChars="0"/>
              <w:rPr>
                <w:rFonts w:ascii="Times New Roman" w:hAnsi="Times New Roman" w:cs="Times New Roman"/>
                <w:sz w:val="24"/>
                <w:szCs w:val="24"/>
                <w:highlight w:val="none"/>
                <w:lang w:val="en-US"/>
              </w:rPr>
            </w:pPr>
            <w:r>
              <w:rPr>
                <w:rFonts w:hint="eastAsia" w:ascii="Times New Roman" w:hAnsi="Times New Roman" w:cs="Times New Roman"/>
                <w:sz w:val="24"/>
                <w:szCs w:val="24"/>
                <w:highlight w:val="none"/>
                <w:lang w:val="en-US"/>
              </w:rPr>
              <w:t>80%</w:t>
            </w:r>
          </w:p>
        </w:tc>
        <w:tc>
          <w:tcPr>
            <w:tcW w:w="829" w:type="pct"/>
            <w:vAlign w:val="center"/>
          </w:tcPr>
          <w:p w14:paraId="27E0A8B9">
            <w:pPr>
              <w:pStyle w:val="9"/>
              <w:spacing w:line="240" w:lineRule="auto"/>
              <w:ind w:firstLine="0" w:firstLineChars="0"/>
              <w:rPr>
                <w:rFonts w:ascii="Times New Roman" w:hAnsi="Times New Roman" w:cs="Times New Roman"/>
                <w:sz w:val="24"/>
                <w:szCs w:val="24"/>
                <w:highlight w:val="yellow"/>
              </w:rPr>
            </w:pPr>
          </w:p>
        </w:tc>
      </w:tr>
      <w:tr w14:paraId="62C68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34" w:type="pct"/>
            <w:vMerge w:val="continue"/>
            <w:vAlign w:val="center"/>
          </w:tcPr>
          <w:p w14:paraId="4EF47BBA">
            <w:pPr>
              <w:pStyle w:val="9"/>
              <w:spacing w:line="240" w:lineRule="auto"/>
              <w:ind w:firstLine="0" w:firstLineChars="0"/>
              <w:rPr>
                <w:rFonts w:ascii="Times New Roman" w:hAnsi="Times New Roman" w:cs="Times New Roman"/>
                <w:sz w:val="24"/>
                <w:szCs w:val="24"/>
              </w:rPr>
            </w:pPr>
          </w:p>
        </w:tc>
        <w:tc>
          <w:tcPr>
            <w:tcW w:w="515" w:type="pct"/>
            <w:vAlign w:val="center"/>
          </w:tcPr>
          <w:p w14:paraId="47D89CAC">
            <w:pPr>
              <w:pStyle w:val="9"/>
              <w:spacing w:line="240" w:lineRule="auto"/>
              <w:ind w:firstLine="0" w:firstLineChars="0"/>
              <w:jc w:val="left"/>
              <w:rPr>
                <w:rStyle w:val="24"/>
                <w:rFonts w:hint="default" w:ascii="Times New Roman" w:hAnsi="Times New Roman" w:cs="Times New Roman"/>
                <w:color w:val="auto"/>
              </w:rPr>
            </w:pPr>
            <w:r>
              <w:rPr>
                <w:rStyle w:val="24"/>
                <w:rFonts w:hint="default" w:ascii="Times New Roman" w:hAnsi="Times New Roman" w:cs="Times New Roman"/>
                <w:color w:val="auto"/>
              </w:rPr>
              <w:t>7</w:t>
            </w:r>
          </w:p>
        </w:tc>
        <w:tc>
          <w:tcPr>
            <w:tcW w:w="2139" w:type="pct"/>
            <w:vAlign w:val="center"/>
          </w:tcPr>
          <w:p w14:paraId="10406452">
            <w:pPr>
              <w:pStyle w:val="9"/>
              <w:spacing w:line="240" w:lineRule="auto"/>
              <w:ind w:firstLine="0" w:firstLineChars="0"/>
              <w:jc w:val="left"/>
              <w:rPr>
                <w:rStyle w:val="24"/>
                <w:rFonts w:hint="default" w:ascii="Times New Roman" w:hAnsi="Times New Roman" w:cs="Times New Roman"/>
                <w:color w:val="auto"/>
              </w:rPr>
            </w:pPr>
            <w:r>
              <w:rPr>
                <w:rStyle w:val="24"/>
                <w:rFonts w:hint="default" w:ascii="Times New Roman" w:hAnsi="Times New Roman" w:cs="Times New Roman"/>
                <w:color w:val="auto"/>
              </w:rPr>
              <w:t>主要农作物秸秆综合利用率（</w:t>
            </w:r>
            <w:r>
              <w:rPr>
                <w:rStyle w:val="24"/>
                <w:rFonts w:hint="default" w:ascii="Times New Roman" w:hAnsi="Times New Roman" w:cs="Times New Roman"/>
                <w:color w:val="auto"/>
                <w:lang w:val="en-US"/>
              </w:rPr>
              <w:t>%</w:t>
            </w:r>
            <w:r>
              <w:rPr>
                <w:rStyle w:val="24"/>
                <w:rFonts w:hint="default" w:ascii="Times New Roman" w:hAnsi="Times New Roman" w:cs="Times New Roman"/>
                <w:color w:val="auto"/>
              </w:rPr>
              <w:t>）</w:t>
            </w:r>
          </w:p>
        </w:tc>
        <w:tc>
          <w:tcPr>
            <w:tcW w:w="981" w:type="pct"/>
          </w:tcPr>
          <w:p w14:paraId="0D57064B">
            <w:pPr>
              <w:pStyle w:val="9"/>
              <w:spacing w:line="240" w:lineRule="auto"/>
              <w:ind w:firstLine="0" w:firstLineChars="0"/>
              <w:jc w:val="left"/>
              <w:rPr>
                <w:rStyle w:val="24"/>
                <w:rFonts w:hint="default" w:ascii="Times New Roman" w:hAnsi="Times New Roman" w:cs="Times New Roman"/>
                <w:color w:val="auto"/>
                <w:lang w:val="en-US"/>
              </w:rPr>
            </w:pPr>
            <w:r>
              <w:rPr>
                <w:rStyle w:val="24"/>
                <w:rFonts w:hint="default" w:ascii="Times New Roman" w:hAnsi="Times New Roman" w:cs="Times New Roman"/>
                <w:color w:val="auto"/>
                <w:lang w:val="en-US"/>
              </w:rPr>
              <w:t>90%</w:t>
            </w:r>
          </w:p>
        </w:tc>
        <w:tc>
          <w:tcPr>
            <w:tcW w:w="829" w:type="pct"/>
            <w:vAlign w:val="center"/>
          </w:tcPr>
          <w:p w14:paraId="5E1FC515">
            <w:pPr>
              <w:pStyle w:val="9"/>
              <w:spacing w:line="240" w:lineRule="auto"/>
              <w:ind w:firstLine="0" w:firstLineChars="0"/>
              <w:jc w:val="left"/>
              <w:rPr>
                <w:rStyle w:val="24"/>
                <w:rFonts w:hint="default" w:ascii="Times New Roman" w:hAnsi="Times New Roman" w:cs="Times New Roman"/>
                <w:color w:val="auto"/>
              </w:rPr>
            </w:pPr>
          </w:p>
        </w:tc>
      </w:tr>
      <w:tr w14:paraId="5C460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34" w:type="pct"/>
            <w:vAlign w:val="center"/>
          </w:tcPr>
          <w:p w14:paraId="0B15487B">
            <w:pPr>
              <w:pStyle w:val="9"/>
              <w:spacing w:line="240" w:lineRule="auto"/>
              <w:ind w:firstLine="0" w:firstLineChars="0"/>
              <w:rPr>
                <w:rFonts w:ascii="Times New Roman" w:hAnsi="Times New Roman" w:cs="Times New Roman"/>
                <w:sz w:val="24"/>
                <w:szCs w:val="24"/>
              </w:rPr>
            </w:pPr>
            <w:r>
              <w:rPr>
                <w:rFonts w:ascii="Times New Roman" w:hAnsi="Times New Roman" w:cs="Times New Roman"/>
                <w:sz w:val="24"/>
                <w:szCs w:val="24"/>
              </w:rPr>
              <w:t>水资源</w:t>
            </w:r>
          </w:p>
        </w:tc>
        <w:tc>
          <w:tcPr>
            <w:tcW w:w="515" w:type="pct"/>
            <w:vAlign w:val="center"/>
          </w:tcPr>
          <w:p w14:paraId="33C4D7F0">
            <w:pPr>
              <w:pStyle w:val="9"/>
              <w:spacing w:line="240" w:lineRule="auto"/>
              <w:ind w:firstLine="0" w:firstLineChars="0"/>
              <w:jc w:val="left"/>
              <w:rPr>
                <w:rStyle w:val="24"/>
                <w:rFonts w:hint="default" w:ascii="Times New Roman" w:hAnsi="Times New Roman" w:cs="Times New Roman"/>
                <w:color w:val="auto"/>
              </w:rPr>
            </w:pPr>
            <w:r>
              <w:rPr>
                <w:rStyle w:val="24"/>
                <w:rFonts w:hint="default" w:ascii="Times New Roman" w:hAnsi="Times New Roman" w:cs="Times New Roman"/>
                <w:color w:val="auto"/>
              </w:rPr>
              <w:t>8</w:t>
            </w:r>
          </w:p>
        </w:tc>
        <w:tc>
          <w:tcPr>
            <w:tcW w:w="2139" w:type="pct"/>
            <w:vAlign w:val="center"/>
          </w:tcPr>
          <w:p w14:paraId="1D65FA59">
            <w:pPr>
              <w:pStyle w:val="9"/>
              <w:spacing w:line="240" w:lineRule="auto"/>
              <w:ind w:firstLine="0" w:firstLineChars="0"/>
              <w:jc w:val="left"/>
              <w:rPr>
                <w:rStyle w:val="24"/>
                <w:rFonts w:hint="default" w:ascii="Times New Roman" w:hAnsi="Times New Roman" w:cs="Times New Roman"/>
                <w:color w:val="auto"/>
              </w:rPr>
            </w:pPr>
            <w:r>
              <w:rPr>
                <w:rStyle w:val="24"/>
                <w:rFonts w:hint="default" w:ascii="Times New Roman" w:hAnsi="Times New Roman" w:cs="Times New Roman"/>
                <w:color w:val="auto"/>
              </w:rPr>
              <w:t>达到生态流量（水位）底线要求的河湖数量（个）</w:t>
            </w:r>
          </w:p>
        </w:tc>
        <w:tc>
          <w:tcPr>
            <w:tcW w:w="981" w:type="pct"/>
            <w:vAlign w:val="center"/>
          </w:tcPr>
          <w:p w14:paraId="5AA92BE6">
            <w:pPr>
              <w:pStyle w:val="9"/>
              <w:spacing w:line="240" w:lineRule="auto"/>
              <w:ind w:firstLine="0" w:firstLineChars="0"/>
              <w:jc w:val="left"/>
              <w:rPr>
                <w:rStyle w:val="24"/>
                <w:rFonts w:hint="default" w:ascii="Times New Roman" w:hAnsi="Times New Roman" w:cs="Times New Roman"/>
                <w:color w:val="auto"/>
              </w:rPr>
            </w:pPr>
            <w:r>
              <w:rPr>
                <w:rStyle w:val="24"/>
                <w:rFonts w:hint="default" w:ascii="Times New Roman" w:hAnsi="Times New Roman" w:cs="Times New Roman"/>
                <w:color w:val="auto"/>
              </w:rPr>
              <w:t>1（老官砬子）</w:t>
            </w:r>
          </w:p>
        </w:tc>
        <w:tc>
          <w:tcPr>
            <w:tcW w:w="829" w:type="pct"/>
            <w:vAlign w:val="center"/>
          </w:tcPr>
          <w:p w14:paraId="19E34A2D">
            <w:pPr>
              <w:pStyle w:val="9"/>
              <w:spacing w:line="240" w:lineRule="auto"/>
              <w:ind w:firstLine="0" w:firstLineChars="0"/>
              <w:jc w:val="left"/>
              <w:rPr>
                <w:rStyle w:val="24"/>
                <w:rFonts w:hint="default" w:ascii="Times New Roman" w:hAnsi="Times New Roman" w:cs="Times New Roman"/>
                <w:color w:val="auto"/>
              </w:rPr>
            </w:pPr>
            <w:r>
              <w:rPr>
                <w:rStyle w:val="24"/>
                <w:rFonts w:hint="default" w:ascii="Times New Roman" w:hAnsi="Times New Roman" w:cs="Times New Roman"/>
                <w:color w:val="auto"/>
              </w:rPr>
              <w:t>水务局</w:t>
            </w:r>
          </w:p>
        </w:tc>
      </w:tr>
      <w:tr w14:paraId="514AC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34" w:type="pct"/>
            <w:vMerge w:val="restart"/>
            <w:vAlign w:val="center"/>
          </w:tcPr>
          <w:p w14:paraId="097222A9">
            <w:pPr>
              <w:pStyle w:val="9"/>
              <w:spacing w:line="240" w:lineRule="auto"/>
              <w:ind w:firstLine="0" w:firstLineChars="0"/>
              <w:rPr>
                <w:rFonts w:ascii="Times New Roman" w:hAnsi="Times New Roman" w:cs="Times New Roman"/>
                <w:sz w:val="24"/>
                <w:szCs w:val="24"/>
              </w:rPr>
            </w:pPr>
            <w:r>
              <w:rPr>
                <w:rFonts w:ascii="Times New Roman" w:hAnsi="Times New Roman" w:cs="Times New Roman"/>
                <w:sz w:val="24"/>
                <w:szCs w:val="24"/>
              </w:rPr>
              <w:t>水生态</w:t>
            </w:r>
          </w:p>
        </w:tc>
        <w:tc>
          <w:tcPr>
            <w:tcW w:w="515" w:type="pct"/>
            <w:vAlign w:val="center"/>
          </w:tcPr>
          <w:p w14:paraId="426215C4">
            <w:pPr>
              <w:pStyle w:val="9"/>
              <w:spacing w:line="240" w:lineRule="auto"/>
              <w:ind w:firstLine="0" w:firstLineChars="0"/>
              <w:jc w:val="left"/>
              <w:rPr>
                <w:rStyle w:val="24"/>
                <w:rFonts w:hint="default" w:ascii="Times New Roman" w:hAnsi="Times New Roman" w:cs="Times New Roman"/>
                <w:color w:val="auto"/>
              </w:rPr>
            </w:pPr>
            <w:r>
              <w:rPr>
                <w:rStyle w:val="24"/>
                <w:rFonts w:hint="default" w:ascii="Times New Roman" w:hAnsi="Times New Roman" w:cs="Times New Roman"/>
                <w:color w:val="auto"/>
                <w:lang w:val="en-US"/>
              </w:rPr>
              <w:t>9</w:t>
            </w:r>
          </w:p>
        </w:tc>
        <w:tc>
          <w:tcPr>
            <w:tcW w:w="2139" w:type="pct"/>
            <w:vAlign w:val="center"/>
          </w:tcPr>
          <w:p w14:paraId="0EF822CB">
            <w:pPr>
              <w:pStyle w:val="9"/>
              <w:spacing w:line="240" w:lineRule="auto"/>
              <w:ind w:firstLine="0" w:firstLineChars="0"/>
              <w:jc w:val="left"/>
              <w:rPr>
                <w:rStyle w:val="24"/>
                <w:rFonts w:hint="default" w:ascii="Times New Roman" w:hAnsi="Times New Roman" w:cs="Times New Roman"/>
                <w:color w:val="auto"/>
              </w:rPr>
            </w:pPr>
            <w:r>
              <w:rPr>
                <w:rStyle w:val="24"/>
                <w:rFonts w:hint="default" w:ascii="Times New Roman" w:hAnsi="Times New Roman" w:cs="Times New Roman"/>
                <w:color w:val="auto"/>
              </w:rPr>
              <w:t>水生物完整性指数</w:t>
            </w:r>
          </w:p>
        </w:tc>
        <w:tc>
          <w:tcPr>
            <w:tcW w:w="981" w:type="pct"/>
            <w:vAlign w:val="center"/>
          </w:tcPr>
          <w:p w14:paraId="7061BF96">
            <w:pPr>
              <w:pStyle w:val="9"/>
              <w:spacing w:line="240" w:lineRule="auto"/>
              <w:ind w:firstLine="0" w:firstLineChars="0"/>
              <w:jc w:val="left"/>
              <w:rPr>
                <w:rStyle w:val="24"/>
                <w:rFonts w:hint="default" w:ascii="Times New Roman" w:hAnsi="Times New Roman" w:cs="Times New Roman"/>
                <w:color w:val="auto"/>
              </w:rPr>
            </w:pPr>
            <w:r>
              <w:rPr>
                <w:rStyle w:val="24"/>
                <w:rFonts w:hint="default" w:ascii="Times New Roman" w:hAnsi="Times New Roman" w:cs="Times New Roman"/>
                <w:color w:val="auto"/>
              </w:rPr>
              <w:t>BI指数监测断面达到清洁以上的60%</w:t>
            </w:r>
          </w:p>
        </w:tc>
        <w:tc>
          <w:tcPr>
            <w:tcW w:w="829" w:type="pct"/>
            <w:vAlign w:val="center"/>
          </w:tcPr>
          <w:p w14:paraId="79A561DB">
            <w:pPr>
              <w:pStyle w:val="9"/>
              <w:spacing w:line="240" w:lineRule="auto"/>
              <w:ind w:firstLine="0" w:firstLineChars="0"/>
              <w:jc w:val="left"/>
              <w:rPr>
                <w:rStyle w:val="24"/>
                <w:rFonts w:hint="default" w:ascii="Times New Roman" w:hAnsi="Times New Roman" w:cs="Times New Roman"/>
                <w:color w:val="auto"/>
              </w:rPr>
            </w:pPr>
          </w:p>
        </w:tc>
      </w:tr>
      <w:tr w14:paraId="08627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34" w:type="pct"/>
            <w:vMerge w:val="continue"/>
            <w:vAlign w:val="center"/>
          </w:tcPr>
          <w:p w14:paraId="3B0F333A">
            <w:pPr>
              <w:pStyle w:val="9"/>
              <w:spacing w:line="240" w:lineRule="auto"/>
              <w:ind w:firstLine="0" w:firstLineChars="0"/>
              <w:rPr>
                <w:rFonts w:ascii="Times New Roman" w:hAnsi="Times New Roman" w:cs="Times New Roman"/>
                <w:sz w:val="24"/>
                <w:szCs w:val="24"/>
              </w:rPr>
            </w:pPr>
          </w:p>
        </w:tc>
        <w:tc>
          <w:tcPr>
            <w:tcW w:w="515" w:type="pct"/>
            <w:vAlign w:val="center"/>
          </w:tcPr>
          <w:p w14:paraId="7CFC20E3">
            <w:pPr>
              <w:pStyle w:val="9"/>
              <w:spacing w:line="240" w:lineRule="auto"/>
              <w:ind w:firstLine="0" w:firstLineChars="0"/>
              <w:jc w:val="left"/>
              <w:rPr>
                <w:rStyle w:val="24"/>
                <w:rFonts w:hint="default" w:ascii="Times New Roman" w:hAnsi="Times New Roman" w:cs="Times New Roman"/>
                <w:color w:val="auto"/>
              </w:rPr>
            </w:pPr>
            <w:r>
              <w:rPr>
                <w:rStyle w:val="24"/>
                <w:rFonts w:hint="default" w:ascii="Times New Roman" w:hAnsi="Times New Roman" w:cs="Times New Roman"/>
                <w:color w:val="auto"/>
                <w:lang w:val="en-US"/>
              </w:rPr>
              <w:t>10</w:t>
            </w:r>
          </w:p>
        </w:tc>
        <w:tc>
          <w:tcPr>
            <w:tcW w:w="2139" w:type="pct"/>
            <w:vAlign w:val="center"/>
          </w:tcPr>
          <w:p w14:paraId="77FFB3F6">
            <w:pPr>
              <w:pStyle w:val="9"/>
              <w:spacing w:line="240" w:lineRule="auto"/>
              <w:ind w:firstLine="0" w:firstLineChars="0"/>
              <w:jc w:val="left"/>
              <w:rPr>
                <w:rStyle w:val="24"/>
                <w:rFonts w:hint="default" w:ascii="Times New Roman" w:hAnsi="Times New Roman" w:cs="Times New Roman"/>
                <w:color w:val="auto"/>
              </w:rPr>
            </w:pPr>
            <w:r>
              <w:rPr>
                <w:rStyle w:val="24"/>
                <w:rFonts w:hint="default" w:ascii="Times New Roman" w:hAnsi="Times New Roman" w:cs="Times New Roman"/>
                <w:color w:val="auto"/>
              </w:rPr>
              <w:t>河湖生态缓冲带修复长度（km）</w:t>
            </w:r>
          </w:p>
        </w:tc>
        <w:tc>
          <w:tcPr>
            <w:tcW w:w="981" w:type="pct"/>
            <w:vAlign w:val="center"/>
          </w:tcPr>
          <w:p w14:paraId="1B7E5392">
            <w:pPr>
              <w:pStyle w:val="9"/>
              <w:spacing w:line="240" w:lineRule="auto"/>
              <w:ind w:firstLine="0" w:firstLineChars="0"/>
              <w:jc w:val="left"/>
              <w:rPr>
                <w:rStyle w:val="24"/>
                <w:rFonts w:hint="default" w:ascii="Times New Roman" w:hAnsi="Times New Roman" w:cs="Times New Roman"/>
                <w:color w:val="auto"/>
                <w:lang w:val="en-US"/>
              </w:rPr>
            </w:pPr>
            <w:r>
              <w:rPr>
                <w:rStyle w:val="24"/>
                <w:rFonts w:hint="default" w:ascii="Times New Roman" w:hAnsi="Times New Roman" w:cs="Times New Roman"/>
                <w:color w:val="auto"/>
                <w:lang w:val="en-US"/>
              </w:rPr>
              <w:t>38.7</w:t>
            </w:r>
          </w:p>
        </w:tc>
        <w:tc>
          <w:tcPr>
            <w:tcW w:w="829" w:type="pct"/>
            <w:vAlign w:val="center"/>
          </w:tcPr>
          <w:p w14:paraId="38A73DE0">
            <w:pPr>
              <w:pStyle w:val="9"/>
              <w:spacing w:line="240" w:lineRule="auto"/>
              <w:ind w:firstLine="0" w:firstLineChars="0"/>
              <w:jc w:val="left"/>
              <w:rPr>
                <w:rStyle w:val="24"/>
                <w:rFonts w:hint="default" w:ascii="Times New Roman" w:hAnsi="Times New Roman" w:cs="Times New Roman"/>
                <w:color w:val="auto"/>
              </w:rPr>
            </w:pPr>
          </w:p>
        </w:tc>
      </w:tr>
      <w:tr w14:paraId="4756D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34" w:type="pct"/>
            <w:vMerge w:val="continue"/>
            <w:vAlign w:val="center"/>
          </w:tcPr>
          <w:p w14:paraId="7AE28C6D">
            <w:pPr>
              <w:pStyle w:val="9"/>
              <w:spacing w:line="240" w:lineRule="auto"/>
              <w:ind w:firstLine="0" w:firstLineChars="0"/>
              <w:rPr>
                <w:rFonts w:ascii="Times New Roman" w:hAnsi="Times New Roman" w:cs="Times New Roman"/>
                <w:sz w:val="24"/>
                <w:szCs w:val="24"/>
              </w:rPr>
            </w:pPr>
          </w:p>
        </w:tc>
        <w:tc>
          <w:tcPr>
            <w:tcW w:w="515" w:type="pct"/>
          </w:tcPr>
          <w:p w14:paraId="5CD04963">
            <w:pPr>
              <w:pStyle w:val="9"/>
              <w:spacing w:line="240" w:lineRule="auto"/>
              <w:ind w:firstLine="0" w:firstLineChars="0"/>
              <w:jc w:val="left"/>
              <w:rPr>
                <w:rStyle w:val="24"/>
                <w:rFonts w:hint="default" w:ascii="Times New Roman" w:hAnsi="Times New Roman" w:cs="Times New Roman"/>
                <w:color w:val="auto"/>
                <w:lang w:val="en-US"/>
              </w:rPr>
            </w:pPr>
            <w:r>
              <w:rPr>
                <w:rStyle w:val="24"/>
                <w:rFonts w:hint="default" w:ascii="Times New Roman" w:hAnsi="Times New Roman" w:cs="Times New Roman"/>
                <w:color w:val="auto"/>
                <w:lang w:val="en-US"/>
              </w:rPr>
              <w:t>11</w:t>
            </w:r>
          </w:p>
        </w:tc>
        <w:tc>
          <w:tcPr>
            <w:tcW w:w="2139" w:type="pct"/>
            <w:vAlign w:val="center"/>
          </w:tcPr>
          <w:p w14:paraId="798DC24E">
            <w:pPr>
              <w:pStyle w:val="9"/>
              <w:spacing w:line="240" w:lineRule="auto"/>
              <w:ind w:firstLine="0" w:firstLineChars="0"/>
              <w:jc w:val="left"/>
              <w:rPr>
                <w:rStyle w:val="24"/>
                <w:rFonts w:hint="default" w:ascii="Times New Roman" w:hAnsi="Times New Roman" w:cs="Times New Roman"/>
                <w:color w:val="auto"/>
              </w:rPr>
            </w:pPr>
            <w:r>
              <w:rPr>
                <w:rStyle w:val="24"/>
                <w:rFonts w:hint="default" w:ascii="Times New Roman" w:hAnsi="Times New Roman" w:cs="Times New Roman"/>
                <w:color w:val="auto"/>
              </w:rPr>
              <w:t>湿地恢复（建设）面积（km</w:t>
            </w:r>
            <w:r>
              <w:rPr>
                <w:rStyle w:val="24"/>
                <w:rFonts w:hint="default" w:ascii="Times New Roman" w:hAnsi="Times New Roman" w:cs="Times New Roman"/>
                <w:color w:val="auto"/>
                <w:vertAlign w:val="superscript"/>
              </w:rPr>
              <w:t>2</w:t>
            </w:r>
            <w:r>
              <w:rPr>
                <w:rStyle w:val="24"/>
                <w:rFonts w:hint="default" w:ascii="Times New Roman" w:hAnsi="Times New Roman" w:cs="Times New Roman"/>
                <w:color w:val="auto"/>
              </w:rPr>
              <w:t>）</w:t>
            </w:r>
          </w:p>
        </w:tc>
        <w:tc>
          <w:tcPr>
            <w:tcW w:w="981" w:type="pct"/>
            <w:vAlign w:val="center"/>
          </w:tcPr>
          <w:p w14:paraId="442B1BB3">
            <w:pPr>
              <w:pStyle w:val="9"/>
              <w:spacing w:line="240" w:lineRule="auto"/>
              <w:ind w:firstLine="0" w:firstLineChars="0"/>
              <w:jc w:val="left"/>
              <w:rPr>
                <w:rStyle w:val="24"/>
                <w:rFonts w:hint="default" w:ascii="Times New Roman" w:hAnsi="Times New Roman" w:cs="Times New Roman"/>
                <w:color w:val="auto"/>
                <w:lang w:val="en-US"/>
              </w:rPr>
            </w:pPr>
            <w:r>
              <w:rPr>
                <w:rStyle w:val="24"/>
                <w:rFonts w:hint="default" w:ascii="Times New Roman" w:hAnsi="Times New Roman" w:cs="Times New Roman"/>
                <w:color w:val="auto"/>
                <w:lang w:val="en-US"/>
              </w:rPr>
              <w:t>0.5</w:t>
            </w:r>
          </w:p>
        </w:tc>
        <w:tc>
          <w:tcPr>
            <w:tcW w:w="829" w:type="pct"/>
            <w:vAlign w:val="center"/>
          </w:tcPr>
          <w:p w14:paraId="752E38B1">
            <w:pPr>
              <w:pStyle w:val="9"/>
              <w:spacing w:line="240" w:lineRule="auto"/>
              <w:ind w:firstLine="0" w:firstLineChars="0"/>
              <w:jc w:val="left"/>
              <w:rPr>
                <w:rStyle w:val="24"/>
                <w:rFonts w:hint="default" w:ascii="Times New Roman" w:hAnsi="Times New Roman" w:cs="Times New Roman"/>
                <w:color w:val="auto"/>
              </w:rPr>
            </w:pPr>
          </w:p>
        </w:tc>
      </w:tr>
      <w:tr w14:paraId="467A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34" w:type="pct"/>
            <w:vMerge w:val="restart"/>
            <w:vAlign w:val="center"/>
          </w:tcPr>
          <w:p w14:paraId="20BD477C">
            <w:pPr>
              <w:pStyle w:val="9"/>
              <w:spacing w:line="240" w:lineRule="auto"/>
              <w:ind w:firstLine="0" w:firstLineChars="0"/>
              <w:rPr>
                <w:rFonts w:ascii="Times New Roman" w:hAnsi="Times New Roman" w:cs="Times New Roman"/>
                <w:sz w:val="24"/>
                <w:szCs w:val="24"/>
              </w:rPr>
            </w:pPr>
            <w:r>
              <w:rPr>
                <w:rFonts w:hint="eastAsia" w:ascii="Times New Roman" w:hAnsi="Times New Roman" w:cs="Times New Roman"/>
                <w:sz w:val="24"/>
                <w:szCs w:val="24"/>
              </w:rPr>
              <w:t>总量减排</w:t>
            </w:r>
          </w:p>
        </w:tc>
        <w:tc>
          <w:tcPr>
            <w:tcW w:w="515" w:type="pct"/>
          </w:tcPr>
          <w:p w14:paraId="3BAB6466">
            <w:pPr>
              <w:pStyle w:val="9"/>
              <w:spacing w:line="240" w:lineRule="auto"/>
              <w:ind w:firstLine="0" w:firstLineChars="0"/>
              <w:jc w:val="left"/>
              <w:rPr>
                <w:rStyle w:val="24"/>
                <w:rFonts w:hint="default" w:ascii="Times New Roman" w:hAnsi="Times New Roman" w:cs="Times New Roman"/>
                <w:color w:val="auto"/>
                <w:lang w:val="en-US"/>
              </w:rPr>
            </w:pPr>
            <w:r>
              <w:rPr>
                <w:rStyle w:val="24"/>
                <w:rFonts w:hint="default" w:ascii="Times New Roman" w:hAnsi="Times New Roman" w:cs="Times New Roman"/>
                <w:color w:val="auto"/>
                <w:lang w:val="en-US"/>
              </w:rPr>
              <w:t>12</w:t>
            </w:r>
          </w:p>
        </w:tc>
        <w:tc>
          <w:tcPr>
            <w:tcW w:w="2139" w:type="pct"/>
            <w:vAlign w:val="center"/>
          </w:tcPr>
          <w:p w14:paraId="3A7374BC">
            <w:pPr>
              <w:pStyle w:val="9"/>
              <w:spacing w:line="240" w:lineRule="auto"/>
              <w:ind w:firstLine="0" w:firstLineChars="0"/>
              <w:jc w:val="left"/>
              <w:rPr>
                <w:rStyle w:val="24"/>
                <w:rFonts w:hint="default" w:ascii="Times New Roman" w:hAnsi="Times New Roman" w:cs="Times New Roman"/>
                <w:color w:val="auto"/>
                <w:highlight w:val="none"/>
              </w:rPr>
            </w:pPr>
            <w:r>
              <w:rPr>
                <w:rStyle w:val="24"/>
                <w:rFonts w:hint="default" w:ascii="Times New Roman" w:hAnsi="Times New Roman" w:cs="Times New Roman"/>
                <w:color w:val="auto"/>
                <w:highlight w:val="none"/>
              </w:rPr>
              <w:t>化学需氧量下降（%）</w:t>
            </w:r>
          </w:p>
        </w:tc>
        <w:tc>
          <w:tcPr>
            <w:tcW w:w="981" w:type="pct"/>
            <w:vAlign w:val="center"/>
          </w:tcPr>
          <w:p w14:paraId="5FC97365">
            <w:pPr>
              <w:pStyle w:val="9"/>
              <w:spacing w:line="240" w:lineRule="auto"/>
              <w:ind w:firstLine="0" w:firstLineChars="0"/>
              <w:jc w:val="left"/>
              <w:rPr>
                <w:rStyle w:val="24"/>
                <w:rFonts w:hint="default" w:ascii="Times New Roman" w:hAnsi="Times New Roman" w:cs="Times New Roman"/>
                <w:color w:val="auto"/>
                <w:highlight w:val="none"/>
                <w:lang w:val="en-US"/>
              </w:rPr>
            </w:pPr>
            <w:r>
              <w:rPr>
                <w:rStyle w:val="24"/>
                <w:rFonts w:hint="default" w:ascii="Times New Roman" w:hAnsi="Times New Roman" w:cs="Times New Roman"/>
                <w:color w:val="auto"/>
                <w:highlight w:val="none"/>
                <w:lang w:val="en-US"/>
              </w:rPr>
              <w:t>8%</w:t>
            </w:r>
          </w:p>
        </w:tc>
        <w:tc>
          <w:tcPr>
            <w:tcW w:w="829" w:type="pct"/>
            <w:vAlign w:val="center"/>
          </w:tcPr>
          <w:p w14:paraId="67DFD0BE">
            <w:pPr>
              <w:pStyle w:val="9"/>
              <w:spacing w:line="240" w:lineRule="auto"/>
              <w:ind w:firstLine="0" w:firstLineChars="0"/>
              <w:jc w:val="left"/>
              <w:rPr>
                <w:rStyle w:val="24"/>
                <w:rFonts w:hint="default" w:ascii="Times New Roman" w:hAnsi="Times New Roman" w:cs="Times New Roman"/>
                <w:color w:val="auto"/>
                <w:highlight w:val="yellow"/>
              </w:rPr>
            </w:pPr>
          </w:p>
        </w:tc>
      </w:tr>
      <w:tr w14:paraId="73599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34" w:type="pct"/>
            <w:vMerge w:val="continue"/>
          </w:tcPr>
          <w:p w14:paraId="740267C2">
            <w:pPr>
              <w:pStyle w:val="9"/>
              <w:spacing w:line="240" w:lineRule="auto"/>
              <w:ind w:firstLine="0" w:firstLineChars="0"/>
              <w:rPr>
                <w:rFonts w:ascii="Times New Roman" w:hAnsi="Times New Roman" w:cs="Times New Roman"/>
                <w:sz w:val="24"/>
                <w:szCs w:val="24"/>
              </w:rPr>
            </w:pPr>
          </w:p>
        </w:tc>
        <w:tc>
          <w:tcPr>
            <w:tcW w:w="515" w:type="pct"/>
          </w:tcPr>
          <w:p w14:paraId="23554939">
            <w:pPr>
              <w:pStyle w:val="9"/>
              <w:spacing w:line="240" w:lineRule="auto"/>
              <w:ind w:firstLine="0" w:firstLineChars="0"/>
              <w:jc w:val="left"/>
              <w:rPr>
                <w:rStyle w:val="24"/>
                <w:rFonts w:hint="default" w:ascii="Times New Roman" w:hAnsi="Times New Roman" w:cs="Times New Roman"/>
                <w:color w:val="auto"/>
                <w:lang w:val="en-US"/>
              </w:rPr>
            </w:pPr>
            <w:r>
              <w:rPr>
                <w:rStyle w:val="24"/>
                <w:rFonts w:hint="default" w:ascii="Times New Roman" w:hAnsi="Times New Roman" w:cs="Times New Roman"/>
                <w:color w:val="auto"/>
                <w:lang w:val="en-US"/>
              </w:rPr>
              <w:t>13</w:t>
            </w:r>
          </w:p>
        </w:tc>
        <w:tc>
          <w:tcPr>
            <w:tcW w:w="2139" w:type="pct"/>
            <w:vAlign w:val="center"/>
          </w:tcPr>
          <w:p w14:paraId="464DCB2C">
            <w:pPr>
              <w:pStyle w:val="9"/>
              <w:spacing w:line="240" w:lineRule="auto"/>
              <w:ind w:firstLine="0" w:firstLineChars="0"/>
              <w:jc w:val="left"/>
              <w:rPr>
                <w:rStyle w:val="24"/>
                <w:rFonts w:hint="default" w:ascii="Times New Roman" w:hAnsi="Times New Roman" w:cs="Times New Roman"/>
                <w:color w:val="auto"/>
                <w:highlight w:val="none"/>
              </w:rPr>
            </w:pPr>
            <w:r>
              <w:rPr>
                <w:rStyle w:val="24"/>
                <w:rFonts w:hint="default" w:ascii="Times New Roman" w:hAnsi="Times New Roman" w:cs="Times New Roman"/>
                <w:color w:val="auto"/>
                <w:highlight w:val="none"/>
              </w:rPr>
              <w:t>氨氮下降（%）</w:t>
            </w:r>
          </w:p>
        </w:tc>
        <w:tc>
          <w:tcPr>
            <w:tcW w:w="981" w:type="pct"/>
          </w:tcPr>
          <w:p w14:paraId="3484F918">
            <w:pPr>
              <w:pStyle w:val="9"/>
              <w:spacing w:line="240" w:lineRule="auto"/>
              <w:ind w:firstLine="0" w:firstLineChars="0"/>
              <w:jc w:val="left"/>
              <w:rPr>
                <w:rStyle w:val="24"/>
                <w:rFonts w:hint="default" w:ascii="Times New Roman" w:hAnsi="Times New Roman" w:cs="Times New Roman"/>
                <w:color w:val="auto"/>
                <w:highlight w:val="none"/>
                <w:lang w:val="en-US"/>
              </w:rPr>
            </w:pPr>
            <w:r>
              <w:rPr>
                <w:rStyle w:val="24"/>
                <w:rFonts w:hint="eastAsia" w:ascii="Times New Roman" w:hAnsi="Times New Roman" w:cs="Times New Roman"/>
                <w:color w:val="auto"/>
                <w:highlight w:val="none"/>
                <w:lang w:val="en-US" w:eastAsia="zh-CN"/>
              </w:rPr>
              <w:t>7</w:t>
            </w:r>
            <w:r>
              <w:rPr>
                <w:rStyle w:val="24"/>
                <w:rFonts w:hint="default" w:ascii="Times New Roman" w:hAnsi="Times New Roman" w:cs="Times New Roman"/>
                <w:color w:val="auto"/>
                <w:highlight w:val="none"/>
                <w:lang w:val="en-US"/>
              </w:rPr>
              <w:t>%</w:t>
            </w:r>
          </w:p>
        </w:tc>
        <w:tc>
          <w:tcPr>
            <w:tcW w:w="829" w:type="pct"/>
          </w:tcPr>
          <w:p w14:paraId="6E664175">
            <w:pPr>
              <w:pStyle w:val="9"/>
              <w:spacing w:line="240" w:lineRule="auto"/>
              <w:ind w:firstLine="0" w:firstLineChars="0"/>
              <w:jc w:val="left"/>
              <w:rPr>
                <w:rStyle w:val="24"/>
                <w:rFonts w:hint="default" w:ascii="Times New Roman" w:hAnsi="Times New Roman" w:cs="Times New Roman"/>
                <w:color w:val="auto"/>
                <w:highlight w:val="yellow"/>
              </w:rPr>
            </w:pPr>
          </w:p>
        </w:tc>
      </w:tr>
    </w:tbl>
    <w:p w14:paraId="4BA57502">
      <w:pPr>
        <w:pStyle w:val="2"/>
        <w:ind w:firstLine="0" w:firstLineChars="0"/>
      </w:pPr>
    </w:p>
    <w:p w14:paraId="39BC32CC">
      <w:pPr>
        <w:pStyle w:val="9"/>
        <w:spacing w:line="240" w:lineRule="auto"/>
        <w:ind w:firstLine="0" w:firstLineChars="0"/>
        <w:jc w:val="center"/>
        <w:rPr>
          <w:rFonts w:ascii="Times New Roman" w:hAnsi="Times New Roman" w:cs="Times New Roman"/>
          <w:b/>
          <w:bCs/>
          <w:sz w:val="24"/>
          <w:szCs w:val="24"/>
        </w:rPr>
      </w:pPr>
      <w:r>
        <w:rPr>
          <w:rFonts w:ascii="Times New Roman" w:hAnsi="Times New Roman" w:cs="Times New Roman"/>
          <w:b/>
          <w:bCs/>
          <w:sz w:val="24"/>
          <w:szCs w:val="24"/>
        </w:rPr>
        <w:t>表</w:t>
      </w:r>
      <w:r>
        <w:rPr>
          <w:rFonts w:hint="eastAsia" w:ascii="Times New Roman" w:hAnsi="Times New Roman" w:cs="Times New Roman"/>
          <w:b/>
          <w:bCs/>
          <w:sz w:val="24"/>
          <w:szCs w:val="24"/>
          <w:lang w:val="en-US" w:eastAsia="zh-CN"/>
        </w:rPr>
        <w:t>3</w:t>
      </w:r>
      <w:r>
        <w:rPr>
          <w:rFonts w:hint="eastAsia" w:ascii="Times New Roman" w:hAnsi="Times New Roman" w:cs="Times New Roman"/>
          <w:b/>
          <w:bCs/>
          <w:sz w:val="24"/>
          <w:szCs w:val="24"/>
          <w:lang w:val="en-US"/>
        </w:rPr>
        <w:t>-2</w:t>
      </w:r>
      <w:r>
        <w:rPr>
          <w:rFonts w:ascii="Times New Roman" w:hAnsi="Times New Roman" w:cs="Times New Roman"/>
          <w:b/>
          <w:bCs/>
          <w:sz w:val="24"/>
          <w:szCs w:val="24"/>
        </w:rPr>
        <w:t xml:space="preserve"> 亲民指标</w:t>
      </w: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9"/>
        <w:gridCol w:w="743"/>
        <w:gridCol w:w="3010"/>
        <w:gridCol w:w="2042"/>
        <w:gridCol w:w="1735"/>
      </w:tblGrid>
      <w:tr w14:paraId="25AA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blHeader/>
        </w:trPr>
        <w:tc>
          <w:tcPr>
            <w:tcW w:w="580" w:type="pct"/>
            <w:vAlign w:val="center"/>
          </w:tcPr>
          <w:p w14:paraId="10219D2B">
            <w:pPr>
              <w:pStyle w:val="9"/>
              <w:spacing w:line="240" w:lineRule="auto"/>
              <w:ind w:firstLine="0" w:firstLineChars="0"/>
              <w:jc w:val="center"/>
              <w:rPr>
                <w:rFonts w:ascii="Times New Roman" w:hAnsi="Times New Roman" w:cs="Times New Roman"/>
                <w:b/>
                <w:bCs/>
                <w:sz w:val="24"/>
                <w:szCs w:val="24"/>
              </w:rPr>
            </w:pPr>
            <w:r>
              <w:rPr>
                <w:rFonts w:ascii="Times New Roman" w:hAnsi="Times New Roman" w:cs="Times New Roman"/>
                <w:b/>
                <w:bCs/>
                <w:sz w:val="24"/>
                <w:szCs w:val="24"/>
              </w:rPr>
              <w:t>类别</w:t>
            </w:r>
          </w:p>
        </w:tc>
        <w:tc>
          <w:tcPr>
            <w:tcW w:w="436" w:type="pct"/>
            <w:vAlign w:val="center"/>
          </w:tcPr>
          <w:p w14:paraId="4FFAE606">
            <w:pPr>
              <w:pStyle w:val="9"/>
              <w:spacing w:line="240" w:lineRule="auto"/>
              <w:ind w:firstLine="0" w:firstLineChars="0"/>
              <w:jc w:val="center"/>
              <w:rPr>
                <w:rFonts w:ascii="Times New Roman" w:hAnsi="Times New Roman" w:cs="Times New Roman"/>
                <w:b/>
                <w:bCs/>
                <w:sz w:val="24"/>
                <w:szCs w:val="24"/>
              </w:rPr>
            </w:pPr>
            <w:r>
              <w:rPr>
                <w:rFonts w:ascii="Times New Roman" w:hAnsi="Times New Roman" w:cs="Times New Roman"/>
                <w:b/>
                <w:bCs/>
                <w:sz w:val="24"/>
                <w:szCs w:val="24"/>
              </w:rPr>
              <w:t>序号</w:t>
            </w:r>
          </w:p>
        </w:tc>
        <w:tc>
          <w:tcPr>
            <w:tcW w:w="1766" w:type="pct"/>
            <w:vAlign w:val="center"/>
          </w:tcPr>
          <w:p w14:paraId="79296334">
            <w:pPr>
              <w:pStyle w:val="9"/>
              <w:spacing w:line="240" w:lineRule="auto"/>
              <w:ind w:firstLine="0" w:firstLineChars="0"/>
              <w:jc w:val="center"/>
              <w:rPr>
                <w:rFonts w:ascii="Times New Roman" w:hAnsi="Times New Roman" w:cs="Times New Roman"/>
                <w:b/>
                <w:bCs/>
                <w:sz w:val="24"/>
                <w:szCs w:val="24"/>
              </w:rPr>
            </w:pPr>
            <w:r>
              <w:rPr>
                <w:rFonts w:ascii="Times New Roman" w:hAnsi="Times New Roman" w:cs="Times New Roman"/>
                <w:b/>
                <w:bCs/>
                <w:sz w:val="24"/>
                <w:szCs w:val="24"/>
              </w:rPr>
              <w:t>指标</w:t>
            </w:r>
          </w:p>
        </w:tc>
        <w:tc>
          <w:tcPr>
            <w:tcW w:w="1198" w:type="pct"/>
            <w:vAlign w:val="center"/>
          </w:tcPr>
          <w:p w14:paraId="3FAC6F64">
            <w:pPr>
              <w:pStyle w:val="9"/>
              <w:spacing w:line="240" w:lineRule="auto"/>
              <w:ind w:firstLine="0" w:firstLineChars="0"/>
              <w:jc w:val="center"/>
              <w:rPr>
                <w:rFonts w:ascii="Times New Roman" w:hAnsi="Times New Roman" w:cs="Times New Roman"/>
                <w:b/>
                <w:bCs/>
                <w:sz w:val="24"/>
                <w:szCs w:val="24"/>
              </w:rPr>
            </w:pPr>
            <w:r>
              <w:rPr>
                <w:rFonts w:ascii="Times New Roman" w:hAnsi="Times New Roman" w:cs="Times New Roman"/>
                <w:b/>
                <w:bCs/>
                <w:sz w:val="24"/>
                <w:szCs w:val="24"/>
              </w:rPr>
              <w:t>2025年目标</w:t>
            </w:r>
          </w:p>
        </w:tc>
        <w:tc>
          <w:tcPr>
            <w:tcW w:w="1018" w:type="pct"/>
            <w:vAlign w:val="center"/>
          </w:tcPr>
          <w:p w14:paraId="42C580CF">
            <w:pPr>
              <w:pStyle w:val="9"/>
              <w:spacing w:line="240" w:lineRule="auto"/>
              <w:ind w:firstLine="0" w:firstLineChars="0"/>
              <w:jc w:val="center"/>
              <w:rPr>
                <w:rFonts w:ascii="Times New Roman" w:hAnsi="Times New Roman" w:cs="Times New Roman"/>
                <w:b/>
                <w:bCs/>
                <w:sz w:val="24"/>
                <w:szCs w:val="24"/>
              </w:rPr>
            </w:pPr>
            <w:r>
              <w:rPr>
                <w:rFonts w:ascii="Times New Roman" w:hAnsi="Times New Roman" w:cs="Times New Roman"/>
                <w:b/>
                <w:bCs/>
                <w:sz w:val="24"/>
                <w:szCs w:val="24"/>
              </w:rPr>
              <w:t>责任部门</w:t>
            </w:r>
          </w:p>
        </w:tc>
      </w:tr>
      <w:tr w14:paraId="1199A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0" w:type="pct"/>
            <w:vAlign w:val="center"/>
          </w:tcPr>
          <w:p w14:paraId="41F21AFA">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水环境</w:t>
            </w:r>
          </w:p>
        </w:tc>
        <w:tc>
          <w:tcPr>
            <w:tcW w:w="436" w:type="pct"/>
            <w:vAlign w:val="center"/>
          </w:tcPr>
          <w:p w14:paraId="28B8B03C">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1</w:t>
            </w:r>
          </w:p>
        </w:tc>
        <w:tc>
          <w:tcPr>
            <w:tcW w:w="1766" w:type="pct"/>
            <w:vAlign w:val="center"/>
          </w:tcPr>
          <w:p w14:paraId="38611712">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城市建成区黑臭水体控制比例</w:t>
            </w:r>
          </w:p>
        </w:tc>
        <w:tc>
          <w:tcPr>
            <w:tcW w:w="1198" w:type="pct"/>
            <w:vAlign w:val="center"/>
          </w:tcPr>
          <w:p w14:paraId="047DAA14">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0</w:t>
            </w:r>
          </w:p>
        </w:tc>
        <w:tc>
          <w:tcPr>
            <w:tcW w:w="1018" w:type="pct"/>
            <w:vAlign w:val="center"/>
          </w:tcPr>
          <w:p w14:paraId="2C00EE38">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住建局</w:t>
            </w:r>
          </w:p>
        </w:tc>
      </w:tr>
      <w:tr w14:paraId="249AB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0" w:type="pct"/>
            <w:vAlign w:val="center"/>
          </w:tcPr>
          <w:p w14:paraId="45882981">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水资源</w:t>
            </w:r>
          </w:p>
        </w:tc>
        <w:tc>
          <w:tcPr>
            <w:tcW w:w="436" w:type="pct"/>
            <w:vAlign w:val="center"/>
          </w:tcPr>
          <w:p w14:paraId="04BB8F4C">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2</w:t>
            </w:r>
          </w:p>
        </w:tc>
        <w:tc>
          <w:tcPr>
            <w:tcW w:w="1766" w:type="pct"/>
            <w:vAlign w:val="center"/>
          </w:tcPr>
          <w:p w14:paraId="22F19F0D">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恢复有水的河流个数（个）</w:t>
            </w:r>
          </w:p>
        </w:tc>
        <w:tc>
          <w:tcPr>
            <w:tcW w:w="1198" w:type="pct"/>
            <w:vAlign w:val="center"/>
          </w:tcPr>
          <w:p w14:paraId="5AF8D224">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0</w:t>
            </w:r>
          </w:p>
        </w:tc>
        <w:tc>
          <w:tcPr>
            <w:tcW w:w="1018" w:type="pct"/>
            <w:vAlign w:val="center"/>
          </w:tcPr>
          <w:p w14:paraId="248CF9DB">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水务局</w:t>
            </w:r>
          </w:p>
        </w:tc>
      </w:tr>
      <w:tr w14:paraId="55A48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0" w:type="pct"/>
            <w:vAlign w:val="center"/>
          </w:tcPr>
          <w:p w14:paraId="50A394D9">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水生态</w:t>
            </w:r>
          </w:p>
        </w:tc>
        <w:tc>
          <w:tcPr>
            <w:tcW w:w="436" w:type="pct"/>
            <w:vAlign w:val="center"/>
          </w:tcPr>
          <w:p w14:paraId="1B696E57">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3</w:t>
            </w:r>
          </w:p>
        </w:tc>
        <w:tc>
          <w:tcPr>
            <w:tcW w:w="1766" w:type="pct"/>
            <w:vAlign w:val="center"/>
          </w:tcPr>
          <w:p w14:paraId="454033E3">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重现土著鱼类或水生植物的水体数量（个）</w:t>
            </w:r>
          </w:p>
        </w:tc>
        <w:tc>
          <w:tcPr>
            <w:tcW w:w="1198" w:type="pct"/>
            <w:vAlign w:val="center"/>
          </w:tcPr>
          <w:p w14:paraId="67F2E8B1">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保持</w:t>
            </w:r>
          </w:p>
        </w:tc>
        <w:tc>
          <w:tcPr>
            <w:tcW w:w="1018" w:type="pct"/>
            <w:vAlign w:val="center"/>
          </w:tcPr>
          <w:p w14:paraId="680670B6">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水务局</w:t>
            </w:r>
          </w:p>
        </w:tc>
      </w:tr>
      <w:tr w14:paraId="7688C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80" w:type="pct"/>
            <w:vAlign w:val="center"/>
          </w:tcPr>
          <w:p w14:paraId="26D12896">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其他</w:t>
            </w:r>
          </w:p>
        </w:tc>
        <w:tc>
          <w:tcPr>
            <w:tcW w:w="436" w:type="pct"/>
            <w:vAlign w:val="center"/>
          </w:tcPr>
          <w:p w14:paraId="6FF93FE8">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4</w:t>
            </w:r>
          </w:p>
        </w:tc>
        <w:tc>
          <w:tcPr>
            <w:tcW w:w="1766" w:type="pct"/>
            <w:vAlign w:val="center"/>
          </w:tcPr>
          <w:p w14:paraId="702BD5EB">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美丽河湖建设（个）</w:t>
            </w:r>
          </w:p>
        </w:tc>
        <w:tc>
          <w:tcPr>
            <w:tcW w:w="1198" w:type="pct"/>
            <w:vAlign w:val="center"/>
          </w:tcPr>
          <w:p w14:paraId="21FD4BED">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lang w:val="en-US"/>
              </w:rPr>
              <w:t>3</w:t>
            </w:r>
            <w:r>
              <w:rPr>
                <w:rFonts w:ascii="Times New Roman" w:hAnsi="Times New Roman" w:cs="Times New Roman"/>
                <w:sz w:val="24"/>
                <w:szCs w:val="24"/>
              </w:rPr>
              <w:t>（北沙河本溪新城段、细河思山岭段、太子河明山区段）</w:t>
            </w:r>
          </w:p>
        </w:tc>
        <w:tc>
          <w:tcPr>
            <w:tcW w:w="1018" w:type="pct"/>
            <w:vAlign w:val="center"/>
          </w:tcPr>
          <w:p w14:paraId="6C01E7CD">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县区政府、水务局、生态环境局、住建局</w:t>
            </w:r>
          </w:p>
        </w:tc>
      </w:tr>
    </w:tbl>
    <w:p w14:paraId="46487286">
      <w:pPr>
        <w:pStyle w:val="9"/>
        <w:ind w:firstLine="560"/>
        <w:rPr>
          <w:rFonts w:ascii="Times New Roman" w:hAnsi="Times New Roman" w:cs="Times New Roman"/>
        </w:rPr>
      </w:pPr>
      <w:r>
        <w:rPr>
          <w:rFonts w:ascii="Times New Roman" w:hAnsi="Times New Roman" w:cs="Times New Roman"/>
        </w:rPr>
        <w:br w:type="page"/>
      </w:r>
    </w:p>
    <w:p w14:paraId="19339D87">
      <w:pPr>
        <w:pStyle w:val="3"/>
        <w:bidi w:val="0"/>
      </w:pPr>
      <w:bookmarkStart w:id="63" w:name="第三章__规划任务要求"/>
      <w:bookmarkEnd w:id="63"/>
      <w:bookmarkStart w:id="64" w:name="_bookmark33"/>
      <w:bookmarkEnd w:id="64"/>
      <w:bookmarkStart w:id="65" w:name="_Toc9100"/>
      <w:r>
        <w:t>第四章</w:t>
      </w:r>
      <w:r>
        <w:rPr>
          <w:rFonts w:hint="eastAsia"/>
          <w:lang w:val="en-US" w:eastAsia="zh-CN"/>
        </w:rPr>
        <w:t xml:space="preserve"> </w:t>
      </w:r>
      <w:r>
        <w:t xml:space="preserve"> 规划任务</w:t>
      </w:r>
      <w:bookmarkEnd w:id="65"/>
    </w:p>
    <w:p w14:paraId="5D73FBE1">
      <w:pPr>
        <w:pStyle w:val="4"/>
        <w:bidi w:val="0"/>
      </w:pPr>
      <w:bookmarkStart w:id="66" w:name="_Toc2082"/>
      <w:r>
        <w:rPr>
          <w:rFonts w:hint="eastAsia"/>
        </w:rPr>
        <w:t>第一节  加强水资源、水生态、水环境系统治理</w:t>
      </w:r>
      <w:bookmarkEnd w:id="66"/>
    </w:p>
    <w:p w14:paraId="22137CB3">
      <w:pPr>
        <w:ind w:firstLine="562"/>
        <w:rPr>
          <w:rFonts w:hint="eastAsia"/>
        </w:rPr>
      </w:pPr>
      <w:r>
        <w:rPr>
          <w:rFonts w:hint="eastAsia"/>
          <w:b/>
        </w:rPr>
        <w:t>强化“三水”统筹。</w:t>
      </w:r>
      <w:r>
        <w:rPr>
          <w:rFonts w:hint="eastAsia"/>
        </w:rPr>
        <w:t>推动建立和实施水资源刚性约束制度，提高用水效率，推动节水工程建设，推动中水回用。开展水生态调查与评价，分析水生态环境形势，识别水生态环境突出问题及重大风险。持续削减化学需氧量和氨氮等主要水污染物排放总量，加强总磷、总氮排放控制，保持和改善河流水质。2025年化学需氧量和氨氮较2020年分别下降8%和</w:t>
      </w:r>
      <w:r>
        <w:rPr>
          <w:rFonts w:hint="eastAsia"/>
          <w:lang w:val="en-US" w:eastAsia="zh-CN"/>
        </w:rPr>
        <w:t>7</w:t>
      </w:r>
      <w:r>
        <w:rPr>
          <w:rFonts w:hint="eastAsia"/>
        </w:rPr>
        <w:t>%</w:t>
      </w:r>
      <w:r>
        <w:rPr>
          <w:rFonts w:hint="eastAsia"/>
          <w:lang w:eastAsia="zh-CN"/>
        </w:rPr>
        <w:t>；</w:t>
      </w:r>
      <w:r>
        <w:rPr>
          <w:rFonts w:hint="eastAsia"/>
        </w:rPr>
        <w:t>2025年地区生产总值用水量较2020年下降12</w:t>
      </w:r>
      <w:r>
        <w:rPr>
          <w:rFonts w:hint="eastAsia"/>
          <w:lang w:val="en-US" w:eastAsia="zh-CN"/>
        </w:rPr>
        <w:t>%</w:t>
      </w:r>
      <w:r>
        <w:rPr>
          <w:rFonts w:hint="eastAsia"/>
          <w:lang w:eastAsia="zh-CN"/>
        </w:rPr>
        <w:t>；</w:t>
      </w:r>
      <w:r>
        <w:rPr>
          <w:rFonts w:hint="eastAsia"/>
        </w:rPr>
        <w:t>农田灌溉水有效利用系数达到0.593。</w:t>
      </w:r>
    </w:p>
    <w:p w14:paraId="528895C0">
      <w:pPr>
        <w:pStyle w:val="2"/>
        <w:ind w:firstLine="562"/>
      </w:pPr>
      <w:r>
        <w:rPr>
          <w:rFonts w:hint="eastAsia"/>
          <w:b/>
        </w:rPr>
        <w:t>优化实施地表水生态环境质量目标管理。</w:t>
      </w:r>
      <w:r>
        <w:rPr>
          <w:rFonts w:hint="eastAsia"/>
        </w:rPr>
        <w:t>深化流域分区管理体系，明确各级断面水质保护目标，逐一排查，按照断面所在行政区、断面汇水</w:t>
      </w:r>
      <w:r>
        <w:rPr>
          <w:rFonts w:hint="eastAsia"/>
          <w:lang w:eastAsia="zh-CN"/>
        </w:rPr>
        <w:t>范围</w:t>
      </w:r>
      <w:r>
        <w:rPr>
          <w:rFonts w:hint="eastAsia"/>
        </w:rPr>
        <w:t>将断面环境质量目标责任落实到各县区政府和河长，动态识别不达标和不稳定达标断面，制定和实施整治方案。依托排污许可证管理平台，建立“水体</w:t>
      </w:r>
      <w:r>
        <w:rPr>
          <w:rFonts w:hint="eastAsia"/>
          <w:lang w:val="en-US" w:eastAsia="zh-CN"/>
        </w:rPr>
        <w:t>-</w:t>
      </w:r>
      <w:r>
        <w:rPr>
          <w:rFonts w:hint="eastAsia"/>
        </w:rPr>
        <w:t>排污口-排污管线（渠、支流河）-污染源”全链条管理的水污染物排放治理体系。深入推进流域污染综合治理，流域上下游各级政府、各部门之间加强协调配合、定期会商，实施联合执法、应急联动、信息共享，深入推行河长制，对全市251条流域面积10平方千米以上的河流进行全方位全覆盖巡查。</w:t>
      </w:r>
    </w:p>
    <w:p w14:paraId="4D56390E">
      <w:pPr>
        <w:pStyle w:val="2"/>
        <w:ind w:firstLine="562"/>
      </w:pPr>
      <w:r>
        <w:rPr>
          <w:b/>
        </w:rPr>
        <w:t>梯次深化黑臭水体整治</w:t>
      </w:r>
      <w:r>
        <w:rPr>
          <w:rFonts w:hint="eastAsia"/>
          <w:b/>
        </w:rPr>
        <w:t>。</w:t>
      </w:r>
      <w:r>
        <w:t>持续开展城市建成区内黑臭水体整治专项检查</w:t>
      </w:r>
      <w:r>
        <w:rPr>
          <w:rFonts w:hint="eastAsia"/>
        </w:rPr>
        <w:t>，巩固城市黑臭水体治理成果，实现长治久清。全面排查两县（桓仁县、本溪县）黑臭水体，积极推进两县黑臭水体整治。有序开展农村黑臭水体排查识别，建立清单档案，落实治理任务。</w:t>
      </w:r>
    </w:p>
    <w:p w14:paraId="62AA9E5A">
      <w:pPr>
        <w:pStyle w:val="4"/>
        <w:bidi w:val="0"/>
      </w:pPr>
      <w:bookmarkStart w:id="67" w:name="_bookmark34"/>
      <w:bookmarkEnd w:id="67"/>
      <w:bookmarkStart w:id="68" w:name="（一）加强饮用水水源保护"/>
      <w:bookmarkEnd w:id="68"/>
      <w:bookmarkStart w:id="69" w:name="_Toc31279"/>
      <w:r>
        <w:rPr>
          <w:rFonts w:hint="eastAsia"/>
        </w:rPr>
        <w:t xml:space="preserve">第二节  </w:t>
      </w:r>
      <w:r>
        <w:t>加强饮用水水源保护</w:t>
      </w:r>
      <w:bookmarkEnd w:id="69"/>
    </w:p>
    <w:p w14:paraId="1442E639">
      <w:pPr>
        <w:ind w:firstLine="562"/>
        <w:rPr>
          <w:rFonts w:cs="Times New Roman"/>
        </w:rPr>
      </w:pPr>
      <w:r>
        <w:rPr>
          <w:rFonts w:cs="Times New Roman"/>
          <w:b/>
        </w:rPr>
        <w:t>保护好</w:t>
      </w:r>
      <w:r>
        <w:rPr>
          <w:rFonts w:hint="eastAsia" w:cs="Times New Roman"/>
          <w:b/>
        </w:rPr>
        <w:t>“辽宁水塔”。</w:t>
      </w:r>
      <w:r>
        <w:rPr>
          <w:rFonts w:hint="eastAsia" w:cs="Times New Roman"/>
        </w:rPr>
        <w:t>完善本溪县、桓仁县生态屏障区建设，加强上游区域水源涵养、中游区域水土保持以及下游区域生态湿地建设，</w:t>
      </w:r>
      <w:r>
        <w:rPr>
          <w:rFonts w:cs="Times New Roman"/>
        </w:rPr>
        <w:t>加大退耕还林、还湿、还草、还河力度。</w:t>
      </w:r>
      <w:r>
        <w:rPr>
          <w:rFonts w:hint="eastAsia" w:cs="Times New Roman"/>
        </w:rPr>
        <w:t>加强桓仁水库、观音阁水库饮用水水源地规范化建设，加强保护区内环境基础设施建设，完善乡镇污水处理设施，因地制宜推进农村污水治理，健全垃圾收集转运处置体系。加强风险防范，在省生态环境厅指导下，2021年底完成桓仁水库“一河一策一图”风险防控方案编制。推进观音阁水库饮用水源、南芬细河饮用水源等其他县级以上城市饮用水水源地“一河一策一图”风险防控方案编制，提升饮用水水源地安全保障能力。</w:t>
      </w:r>
    </w:p>
    <w:p w14:paraId="153BC79E">
      <w:pPr>
        <w:ind w:firstLine="562"/>
        <w:rPr>
          <w:rFonts w:hint="eastAsia"/>
        </w:rPr>
      </w:pPr>
      <w:r>
        <w:rPr>
          <w:rFonts w:hint="eastAsia" w:cs="Times New Roman"/>
          <w:b/>
        </w:rPr>
        <w:t>全面开展乡镇级及以下集中式饮用水源地保护。</w:t>
      </w:r>
      <w:r>
        <w:rPr>
          <w:rFonts w:hint="eastAsia" w:cs="Times New Roman"/>
        </w:rPr>
        <w:t>加强对田师付镇盘龙寺水库</w:t>
      </w:r>
      <w:r>
        <w:rPr>
          <w:rFonts w:hint="eastAsia" w:cs="Times New Roman"/>
          <w:lang w:eastAsia="zh-CN"/>
        </w:rPr>
        <w:t>“</w:t>
      </w:r>
      <w:r>
        <w:rPr>
          <w:rFonts w:hint="eastAsia" w:cs="Times New Roman"/>
        </w:rPr>
        <w:t>千吨万人</w:t>
      </w:r>
      <w:r>
        <w:rPr>
          <w:rFonts w:hint="eastAsia" w:cs="Times New Roman"/>
          <w:lang w:eastAsia="zh-CN"/>
        </w:rPr>
        <w:t>”</w:t>
      </w:r>
      <w:r>
        <w:rPr>
          <w:rFonts w:hint="eastAsia" w:cs="Times New Roman"/>
        </w:rPr>
        <w:t>饮用</w:t>
      </w:r>
      <w:r>
        <w:rPr>
          <w:rFonts w:hint="eastAsia" w:cs="Times New Roman"/>
          <w:lang w:eastAsia="zh-CN"/>
        </w:rPr>
        <w:t>水</w:t>
      </w:r>
      <w:r>
        <w:rPr>
          <w:rFonts w:hint="eastAsia" w:cs="Times New Roman"/>
        </w:rPr>
        <w:t>水源地监管，加强水源监测，推进水源地规范化建设和生态保护。</w:t>
      </w:r>
      <w:r>
        <w:rPr>
          <w:rFonts w:hint="eastAsia"/>
        </w:rPr>
        <w:t>梯次推进农村集中式饮用水水源保护</w:t>
      </w:r>
      <w:r>
        <w:rPr>
          <w:rFonts w:hint="eastAsia"/>
          <w:lang w:eastAsia="zh-CN"/>
        </w:rPr>
        <w:t>区</w:t>
      </w:r>
      <w:r>
        <w:rPr>
          <w:rFonts w:hint="eastAsia"/>
        </w:rPr>
        <w:t>划定，构建全市饮用水水源保护区“一张图”。开展农村集中式饮用水水源地规范化建设，设立标志标识、宣传牌及隔离防护设施。依法开展乡镇级集中式饮用水水源地保护区问题整治，对水源地上游及补给区开展环境安全隐患排查整治，确保</w:t>
      </w:r>
      <w:r>
        <w:rPr>
          <w:rFonts w:hint="eastAsia"/>
          <w:lang w:eastAsia="zh-CN"/>
        </w:rPr>
        <w:t>饮</w:t>
      </w:r>
      <w:r>
        <w:rPr>
          <w:rFonts w:hint="eastAsia"/>
        </w:rPr>
        <w:t>水安全。2021年底，按照省生态环境厅要求，完成全市</w:t>
      </w:r>
      <w:r>
        <w:rPr>
          <w:rFonts w:hint="eastAsia"/>
          <w:lang w:val="en-US" w:eastAsia="zh-CN"/>
        </w:rPr>
        <w:t>16</w:t>
      </w:r>
      <w:r>
        <w:rPr>
          <w:rFonts w:hint="eastAsia"/>
        </w:rPr>
        <w:t>处乡镇级集中式饮用水源地保护区划定、立标。</w:t>
      </w:r>
    </w:p>
    <w:p w14:paraId="4A2C11FC">
      <w:pPr>
        <w:ind w:firstLine="562"/>
      </w:pPr>
      <w:r>
        <w:rPr>
          <w:rFonts w:hint="eastAsia"/>
          <w:b/>
        </w:rPr>
        <w:t>加强饮用水源地监管</w:t>
      </w:r>
      <w:r>
        <w:rPr>
          <w:rFonts w:hint="eastAsia"/>
        </w:rPr>
        <w:t>。加强水源水、出厂水、管网水、末梢水的全过程管理。建立健全水源环境档案制度，定期开展饮用水水源环境状况调查评估。加大饮用水安全状况信息公开力度，引导公众监督。以桓仁水库、观音阁水库为重点，加强地表水型饮用水水源地预警监控能力建设，建立和完善风险源名录，修订应急预案，定期开展应急演练。加强农村水源水质监测，定期开展乡镇级及“千吨万人”水源常规监测，建立健全部门间监测数据共享机制。探索开展水源地新污染物调查研究和生物毒性监测。建立健全饮用水水源地日常监管制度，强化生态环境、水利、住房城乡建设等部门合作，完善饮用水水源地环境保护协调联动机制，切实提高水源地环境安全保障水平。</w:t>
      </w:r>
    </w:p>
    <w:p w14:paraId="641FA77B">
      <w:pPr>
        <w:ind w:firstLine="562"/>
        <w:rPr>
          <w:rFonts w:cs="Times New Roman"/>
        </w:rPr>
      </w:pPr>
      <w:r>
        <w:rPr>
          <w:rFonts w:cs="Times New Roman"/>
          <w:b/>
        </w:rPr>
        <w:t>推动建立跨行政区联防联控机制。</w:t>
      </w:r>
      <w:r>
        <w:rPr>
          <w:rFonts w:cs="Times New Roman"/>
        </w:rPr>
        <w:t>跨行政区饮用水水源地要建立联络机制，做到上下游</w:t>
      </w:r>
      <w:r>
        <w:rPr>
          <w:rFonts w:hint="eastAsia" w:cs="Times New Roman"/>
          <w:lang w:eastAsia="zh-CN"/>
        </w:rPr>
        <w:t>、</w:t>
      </w:r>
      <w:r>
        <w:rPr>
          <w:rFonts w:cs="Times New Roman"/>
        </w:rPr>
        <w:t>左右岸</w:t>
      </w:r>
      <w:r>
        <w:rPr>
          <w:rFonts w:hint="eastAsia" w:cs="Times New Roman"/>
          <w:lang w:eastAsia="zh-CN"/>
        </w:rPr>
        <w:t>、</w:t>
      </w:r>
      <w:r>
        <w:rPr>
          <w:rFonts w:cs="Times New Roman"/>
        </w:rPr>
        <w:t>供水及用水城镇、各部门水环境质量、风险、污染等信息对称。</w:t>
      </w:r>
    </w:p>
    <w:p w14:paraId="5E9C2229">
      <w:pPr>
        <w:pStyle w:val="4"/>
        <w:bidi w:val="0"/>
      </w:pPr>
      <w:bookmarkStart w:id="70" w:name="（二）持续推进污染减排"/>
      <w:bookmarkEnd w:id="70"/>
      <w:bookmarkStart w:id="71" w:name="_bookmark35"/>
      <w:bookmarkEnd w:id="71"/>
      <w:bookmarkStart w:id="72" w:name="_Toc32587"/>
      <w:r>
        <w:t>第三节</w:t>
      </w:r>
      <w:r>
        <w:rPr>
          <w:rFonts w:hint="eastAsia"/>
        </w:rPr>
        <w:t xml:space="preserve">  </w:t>
      </w:r>
      <w:r>
        <w:t>持续深化水污染治理</w:t>
      </w:r>
      <w:bookmarkEnd w:id="72"/>
    </w:p>
    <w:p w14:paraId="082438B2">
      <w:pPr>
        <w:ind w:firstLine="562"/>
      </w:pPr>
      <w:r>
        <w:rPr>
          <w:rFonts w:hint="eastAsia"/>
          <w:b/>
        </w:rPr>
        <w:t>实施排污口溯源和规范化整治。</w:t>
      </w:r>
      <w:r>
        <w:rPr>
          <w:rFonts w:hint="eastAsia"/>
        </w:rPr>
        <w:t>建立排污口“一口一档”管理台账，逐一明确排污口责任主体。按照“取缔一批、合并一批、规范一批”要求，实施排污口分类整治。实施排污口整治销号制度</w:t>
      </w:r>
      <w:r>
        <w:rPr>
          <w:rFonts w:hint="eastAsia"/>
          <w:lang w:eastAsia="zh-CN"/>
        </w:rPr>
        <w:t>，</w:t>
      </w:r>
      <w:r>
        <w:rPr>
          <w:rFonts w:hint="eastAsia"/>
        </w:rPr>
        <w:t>对确需保留的排污口，建立排污口清单，开展日常监督管理。2021年底前，完成太子河干流、浑江入河排污口溯源，完成太子河干流重点排污口规范化整治。2022年底前，基本完成全市流域汇水面积50平方公里以上太子河、浑江一级支流以及草河干流排污口整治。2025年底前，基本完成全市主要河流、湖库入河排污口整治</w:t>
      </w:r>
      <w:r>
        <w:rPr>
          <w:rFonts w:hint="eastAsia"/>
          <w:lang w:eastAsia="zh-CN"/>
        </w:rPr>
        <w:t>；</w:t>
      </w:r>
      <w:r>
        <w:rPr>
          <w:rFonts w:hint="eastAsia"/>
        </w:rPr>
        <w:t>加强入河排污口数字化管理平台建设，全市入河排污口基本实现数字化管理。</w:t>
      </w:r>
    </w:p>
    <w:p w14:paraId="06213EB0">
      <w:pPr>
        <w:ind w:firstLine="562"/>
      </w:pPr>
      <w:bookmarkStart w:id="73" w:name="_bookmark37"/>
      <w:bookmarkEnd w:id="73"/>
      <w:bookmarkStart w:id="74" w:name="_bookmark36"/>
      <w:bookmarkEnd w:id="74"/>
      <w:bookmarkStart w:id="75" w:name="2、持续推进工业污染防治"/>
      <w:bookmarkEnd w:id="75"/>
      <w:bookmarkStart w:id="76" w:name="1、实施入河排污口排查整治"/>
      <w:bookmarkEnd w:id="76"/>
      <w:r>
        <w:rPr>
          <w:rFonts w:hint="eastAsia"/>
          <w:b/>
        </w:rPr>
        <w:t>加强工业源整治。</w:t>
      </w:r>
      <w:r>
        <w:t>加强工业污染源排放监管</w:t>
      </w:r>
      <w:r>
        <w:rPr>
          <w:rFonts w:hint="eastAsia"/>
        </w:rPr>
        <w:t>，</w:t>
      </w:r>
      <w:r>
        <w:t>按照国家及省要求</w:t>
      </w:r>
      <w:r>
        <w:rPr>
          <w:rFonts w:hint="eastAsia"/>
        </w:rPr>
        <w:t>，</w:t>
      </w:r>
      <w:r>
        <w:t>将工业污染源纳入在线监控范围</w:t>
      </w:r>
      <w:r>
        <w:rPr>
          <w:rFonts w:hint="eastAsia"/>
        </w:rPr>
        <w:t>，</w:t>
      </w:r>
      <w:r>
        <w:t>实施企业超标排放</w:t>
      </w:r>
      <w:r>
        <w:rPr>
          <w:rFonts w:hint="eastAsia"/>
        </w:rPr>
        <w:t>“黄牌”“红牌”处罚制度。2022年底前完成石化、原料药制造、印染、农副食品加工等行业企业废水直排管网整治。加大现有工业园区污水处理设施建设和管网排查整治。对依托城镇污水处理设施的省级以上工业集聚区进行出水水质评估，评估结果为不适宜的退出接入城镇污水处理设施并另行单独处理。</w:t>
      </w:r>
    </w:p>
    <w:p w14:paraId="72745DC8">
      <w:pPr>
        <w:pStyle w:val="2"/>
        <w:ind w:firstLine="560"/>
      </w:pPr>
      <w:r>
        <w:rPr>
          <w:rFonts w:hint="eastAsia"/>
          <w:b/>
          <w:bCs/>
        </w:rPr>
        <w:t>推动工业废水资源化利用。</w:t>
      </w:r>
      <w:r>
        <w:rPr>
          <w:rFonts w:hint="eastAsia"/>
        </w:rPr>
        <w:t>推进企业内部工业用水循环利用、园区内企业间、大型钢铁集团厂区内用水系统集成优化，节约用水，减少废水排放。</w:t>
      </w:r>
    </w:p>
    <w:p w14:paraId="5C286EAE">
      <w:pPr>
        <w:ind w:firstLine="562"/>
        <w:rPr>
          <w:rFonts w:cs="Times New Roman"/>
        </w:rPr>
      </w:pPr>
      <w:bookmarkStart w:id="77" w:name="3、全面提升城镇污染治理"/>
      <w:bookmarkEnd w:id="77"/>
      <w:bookmarkStart w:id="78" w:name="_bookmark38"/>
      <w:bookmarkEnd w:id="78"/>
      <w:r>
        <w:rPr>
          <w:rFonts w:cs="Times New Roman"/>
          <w:b/>
        </w:rPr>
        <w:t>全面提升城镇污染治理</w:t>
      </w:r>
      <w:r>
        <w:rPr>
          <w:rFonts w:hint="eastAsia" w:cs="Times New Roman"/>
          <w:b/>
        </w:rPr>
        <w:t>。</w:t>
      </w:r>
      <w:r>
        <w:rPr>
          <w:rFonts w:hint="eastAsia" w:cs="Times New Roman"/>
        </w:rPr>
        <w:t>大力实施污水管网补短板工程，加快推进</w:t>
      </w:r>
      <w:r>
        <w:rPr>
          <w:rFonts w:cs="Times New Roman"/>
        </w:rPr>
        <w:t>城市建成区、本溪县县城、桓仁县县城</w:t>
      </w:r>
      <w:r>
        <w:rPr>
          <w:rFonts w:hint="eastAsia" w:cs="Times New Roman"/>
        </w:rPr>
        <w:t>现有管网破损修复及雨污分流改造。全面推进城中村、老旧城区和城乡结合部污水收集与处理。加快现有合流制排水系统雨污分流改造，城区、城镇、开发区新建排水管网实行雨污分流。到2025年新增及改造雨污管网</w:t>
      </w:r>
      <w:r>
        <w:rPr>
          <w:rFonts w:hint="eastAsia" w:cs="Times New Roman"/>
          <w:lang w:val="en-US"/>
        </w:rPr>
        <w:t>150</w:t>
      </w:r>
      <w:r>
        <w:rPr>
          <w:rFonts w:hint="eastAsia" w:cs="Times New Roman"/>
        </w:rPr>
        <w:t>公里；全力推进城镇污水处理厂建设和改造，提升污水处理设施</w:t>
      </w:r>
      <w:r>
        <w:rPr>
          <w:rFonts w:hint="eastAsia" w:cs="Times New Roman"/>
          <w:lang w:eastAsia="zh-CN"/>
        </w:rPr>
        <w:t>处理能力与</w:t>
      </w:r>
      <w:r>
        <w:rPr>
          <w:rFonts w:hint="eastAsia" w:cs="Times New Roman"/>
        </w:rPr>
        <w:t>运行效率。到2025年，新、改、扩建城镇污水处理厂及处理设施</w:t>
      </w:r>
      <w:r>
        <w:rPr>
          <w:rFonts w:hint="eastAsia" w:cs="Times New Roman"/>
          <w:lang w:val="en-US"/>
        </w:rPr>
        <w:t>4</w:t>
      </w:r>
      <w:r>
        <w:rPr>
          <w:rFonts w:hint="eastAsia" w:cs="Times New Roman"/>
        </w:rPr>
        <w:t>座，新增城镇生活日处理能力</w:t>
      </w:r>
      <w:r>
        <w:rPr>
          <w:rFonts w:hint="eastAsia" w:cs="Times New Roman"/>
          <w:lang w:val="en-US"/>
        </w:rPr>
        <w:t>2.3</w:t>
      </w:r>
      <w:r>
        <w:rPr>
          <w:rFonts w:hint="eastAsia" w:cs="Times New Roman"/>
        </w:rPr>
        <w:t>万吨。加快城市污泥无害化集中处理设施建设。污水处理设施产生的污泥应进行稳定化、无害化和资源化</w:t>
      </w:r>
      <w:r>
        <w:rPr>
          <w:rFonts w:cs="Times New Roman"/>
        </w:rPr>
        <w:t>处理设置，分区域建设污泥集中处理设施。到2025年，全市污泥无害化处置率达到95%以上，本溪县</w:t>
      </w:r>
      <w:r>
        <w:rPr>
          <w:rFonts w:hint="eastAsia" w:cs="Times New Roman"/>
        </w:rPr>
        <w:t>、</w:t>
      </w:r>
      <w:r>
        <w:rPr>
          <w:rFonts w:cs="Times New Roman"/>
        </w:rPr>
        <w:t>桓仁县力争达到70%。</w:t>
      </w:r>
    </w:p>
    <w:p w14:paraId="086A5FDE">
      <w:pPr>
        <w:ind w:firstLine="562"/>
        <w:rPr>
          <w:rFonts w:cs="Times New Roman"/>
        </w:rPr>
      </w:pPr>
      <w:bookmarkStart w:id="79" w:name="4、强化农业农村污染防治"/>
      <w:bookmarkEnd w:id="79"/>
      <w:bookmarkStart w:id="80" w:name="_bookmark39"/>
      <w:bookmarkEnd w:id="80"/>
      <w:r>
        <w:rPr>
          <w:rFonts w:cs="Times New Roman"/>
          <w:b/>
        </w:rPr>
        <w:t>统筹推进农村生活污水治理</w:t>
      </w:r>
      <w:r>
        <w:rPr>
          <w:rFonts w:hint="eastAsia" w:cs="Times New Roman"/>
          <w:b/>
        </w:rPr>
        <w:t>。</w:t>
      </w:r>
      <w:r>
        <w:rPr>
          <w:rFonts w:hint="eastAsia" w:cs="Times New Roman"/>
        </w:rPr>
        <w:t>因地制宜，</w:t>
      </w:r>
      <w:r>
        <w:rPr>
          <w:rFonts w:cs="Times New Roman"/>
        </w:rPr>
        <w:t>统筹推进县域农村生活污水治理。对距离现状污水处理厂较近，有纳管条件的鼓励并网。开展污水处理设施运行情况排查评估，针对问题分类制定提升改造方案。推动制定出台农村生活污水处理设施运行管护办法，建立财政补助、村集体自筹、村民适当缴费的运维资金分担机制，完善依效付费制度。强化设施建设和运行一体化推进，推广第三方专业运维+村民参与、BOT、EPC、设施租赁等模式。建立设施运行情况监管台账，对日处理20吨及以上农村生活污水处理设施出水开展常规水质监测。到2025年，农村生活污水治理率达到</w:t>
      </w:r>
      <w:r>
        <w:rPr>
          <w:rFonts w:hint="eastAsia" w:cs="Times New Roman"/>
          <w:lang w:val="en-US"/>
        </w:rPr>
        <w:t>4</w:t>
      </w:r>
      <w:r>
        <w:rPr>
          <w:rFonts w:cs="Times New Roman"/>
        </w:rPr>
        <w:t>0%。</w:t>
      </w:r>
    </w:p>
    <w:p w14:paraId="74A65A53">
      <w:pPr>
        <w:pStyle w:val="2"/>
        <w:ind w:firstLine="562"/>
        <w:rPr>
          <w:rFonts w:cs="Times New Roman"/>
        </w:rPr>
      </w:pPr>
      <w:r>
        <w:rPr>
          <w:rFonts w:cs="Times New Roman"/>
          <w:b/>
        </w:rPr>
        <w:t>加大农村生活垃圾治理力度</w:t>
      </w:r>
      <w:r>
        <w:rPr>
          <w:rFonts w:hint="eastAsia" w:cs="Times New Roman"/>
          <w:b/>
        </w:rPr>
        <w:t>。</w:t>
      </w:r>
      <w:r>
        <w:rPr>
          <w:rFonts w:cs="Times New Roman"/>
        </w:rPr>
        <w:t>集中收集并无害化处置农村生活垃圾，禁止</w:t>
      </w:r>
      <w:r>
        <w:rPr>
          <w:rFonts w:hint="eastAsia" w:cs="Times New Roman"/>
          <w:lang w:eastAsia="zh-CN"/>
        </w:rPr>
        <w:t>垃圾</w:t>
      </w:r>
      <w:r>
        <w:rPr>
          <w:rFonts w:cs="Times New Roman"/>
        </w:rPr>
        <w:t>进入河道。统筹考虑生活垃圾和农业废弃物利用、处理，建立健全符合农村实际、方式多样的生活垃圾收运处置体系。开展农村生活垃圾分类减量化试点，推行垃圾就地分类和资源化利用。全面完成县级及以上集中式饮用水水源保护区及群众反映强烈的非正规垃圾堆放点整治。到2025年底，农村生活垃圾处置体系基本实现全覆盖，非正规垃圾堆放点集中整治基本完成，力争实现90%左右的村庄生活垃圾得到治理。</w:t>
      </w:r>
    </w:p>
    <w:p w14:paraId="4D94A73B">
      <w:pPr>
        <w:ind w:firstLine="562"/>
        <w:rPr>
          <w:rFonts w:cs="Times New Roman"/>
        </w:rPr>
      </w:pPr>
      <w:r>
        <w:rPr>
          <w:rFonts w:cs="Times New Roman"/>
          <w:b/>
        </w:rPr>
        <w:t>加强畜禽养殖污染防治</w:t>
      </w:r>
      <w:r>
        <w:rPr>
          <w:rFonts w:hint="eastAsia" w:cs="Times New Roman"/>
          <w:b/>
        </w:rPr>
        <w:t>。</w:t>
      </w:r>
      <w:r>
        <w:rPr>
          <w:rFonts w:cs="Times New Roman"/>
        </w:rPr>
        <w:t>推进养殖生产清洁化和产业模式生态化。优化调整畜禽养殖布局，推进畜禽养殖标准化示范创建升级，带动畜牧业绿色可持续发展。推广节水、节料等清洁养殖工艺和干清粪、微生物发酵等实用技术，实现源头减量。加强畜禽粪污资源化利用</w:t>
      </w:r>
      <w:r>
        <w:rPr>
          <w:rFonts w:hint="eastAsia" w:cs="Times New Roman"/>
          <w:lang w:eastAsia="zh-CN"/>
        </w:rPr>
        <w:t>，</w:t>
      </w:r>
      <w:r>
        <w:rPr>
          <w:rFonts w:cs="Times New Roman"/>
        </w:rPr>
        <w:t>畜禽养殖场、养殖小区应当保证其畜禽粪便、废水得到综合利用或者无害化处理，向环境排放经过处理的畜禽养殖废弃物，应当符合国家和本省规定的污染物排放标准和总量控制指标。规模化畜禽养殖场、养殖小区应当配套建设粪便污水贮存、处理、利用设施，推进粪便污水资源化利用</w:t>
      </w:r>
      <w:r>
        <w:rPr>
          <w:rFonts w:hint="eastAsia" w:cs="Times New Roman"/>
        </w:rPr>
        <w:t>，</w:t>
      </w:r>
      <w:r>
        <w:rPr>
          <w:rFonts w:cs="Times New Roman"/>
        </w:rPr>
        <w:t>减少粪污产生总量，降低粪污处理和利用难度。养殖专业户应当建设防雨、防渗、防漏、防外溢的粪便污水收集储存措施，采用堆肥处理等措施实现综合利用。畜禽散养密集区所在地县人民政府、乡（镇）人民政府、街道办事处应当组织对畜禽粪便污水进行分户收集、集中处理。到2025年，全市畜禽粪污综合利用率达到</w:t>
      </w:r>
      <w:r>
        <w:rPr>
          <w:rFonts w:hint="eastAsia" w:cs="Times New Roman"/>
          <w:lang w:val="en-US"/>
        </w:rPr>
        <w:t>8</w:t>
      </w:r>
      <w:r>
        <w:rPr>
          <w:rFonts w:cs="Times New Roman"/>
          <w:lang w:val="en-US"/>
        </w:rPr>
        <w:t>0</w:t>
      </w:r>
      <w:r>
        <w:rPr>
          <w:rFonts w:cs="Times New Roman"/>
        </w:rPr>
        <w:t>%以上。将规模以上畜禽养殖场纳入重点污染源管理，对新建、改建、扩建规模化养殖场（小区）实行环境影响评价制度，对设有排污口的畜禽规模养殖场实施排污许可制度</w:t>
      </w:r>
      <w:r>
        <w:rPr>
          <w:rFonts w:hint="eastAsia" w:cs="Times New Roman"/>
        </w:rPr>
        <w:t>。</w:t>
      </w:r>
    </w:p>
    <w:p w14:paraId="3A2CE9B2">
      <w:pPr>
        <w:ind w:firstLine="562"/>
        <w:rPr>
          <w:rFonts w:cs="Times New Roman"/>
        </w:rPr>
      </w:pPr>
      <w:r>
        <w:rPr>
          <w:rFonts w:cs="Times New Roman"/>
          <w:b/>
        </w:rPr>
        <w:t>加强农业面源污染治理</w:t>
      </w:r>
      <w:r>
        <w:rPr>
          <w:rFonts w:hint="eastAsia" w:cs="Times New Roman"/>
          <w:b/>
        </w:rPr>
        <w:t>。</w:t>
      </w:r>
      <w:r>
        <w:rPr>
          <w:rFonts w:cs="Times New Roman"/>
        </w:rPr>
        <w:t>实施科学施肥和安全用药。加快调整施肥结构，转变施肥方式，鼓励引导农民增施有机肥，推广应用高效缓控释类新型肥料和生物肥料，集成推广测土配方施肥等技术措施。推动农作物病虫害专业化统防统治和绿色防控融合发展，推广应用生物防治、物理防治等非化学绿色防控措施和高效低毒低残留环境友好型农药、高效植保机械。到2025年，全市主要农作物化肥农药施用量实现负增长。强化农业面源污染监管。结合生态环境、农业生产、农资销售等调查统计工作，组织开展化肥农药施用量调查统计核算。开展重点流域区域农业面源污染负荷评估，编制农业面源污染控制单元清单，推动优先控制单元农业面源污染治理。</w:t>
      </w:r>
    </w:p>
    <w:p w14:paraId="6797955E">
      <w:pPr>
        <w:pStyle w:val="4"/>
        <w:bidi w:val="0"/>
      </w:pPr>
      <w:bookmarkStart w:id="81" w:name="2、调控调度闸坝、水库"/>
      <w:bookmarkEnd w:id="81"/>
      <w:bookmarkStart w:id="82" w:name="（四）水生态保护与修复"/>
      <w:bookmarkEnd w:id="82"/>
      <w:bookmarkStart w:id="83" w:name="_bookmark44"/>
      <w:bookmarkEnd w:id="83"/>
      <w:bookmarkStart w:id="84" w:name="_bookmark42"/>
      <w:bookmarkEnd w:id="84"/>
      <w:bookmarkStart w:id="85" w:name="（三）水资源保障"/>
      <w:bookmarkEnd w:id="85"/>
      <w:bookmarkStart w:id="86" w:name="_bookmark40"/>
      <w:bookmarkEnd w:id="86"/>
      <w:bookmarkStart w:id="87" w:name="_Toc28190"/>
      <w:r>
        <w:t>第四节</w:t>
      </w:r>
      <w:r>
        <w:rPr>
          <w:rFonts w:hint="eastAsia"/>
        </w:rPr>
        <w:t xml:space="preserve">  </w:t>
      </w:r>
      <w:r>
        <w:t>积极推动水生态保护与修复</w:t>
      </w:r>
      <w:bookmarkEnd w:id="87"/>
    </w:p>
    <w:p w14:paraId="4B30ABB1">
      <w:pPr>
        <w:ind w:firstLine="562"/>
        <w:rPr>
          <w:rFonts w:cs="Times New Roman"/>
        </w:rPr>
      </w:pPr>
      <w:r>
        <w:rPr>
          <w:rFonts w:hint="eastAsia" w:cs="Times New Roman"/>
          <w:b/>
        </w:rPr>
        <w:t>推进美丽河湖建设。</w:t>
      </w:r>
      <w:r>
        <w:rPr>
          <w:rFonts w:cs="Times New Roman"/>
        </w:rPr>
        <w:t>立足国家生态功能区、辽东生态屏障</w:t>
      </w:r>
      <w:r>
        <w:rPr>
          <w:rFonts w:hint="eastAsia" w:cs="Times New Roman"/>
        </w:rPr>
        <w:t>、</w:t>
      </w:r>
      <w:r>
        <w:rPr>
          <w:rFonts w:cs="Times New Roman"/>
        </w:rPr>
        <w:t>辽宁水塔的定位，坚定不移地推进</w:t>
      </w:r>
      <w:r>
        <w:rPr>
          <w:rFonts w:hint="eastAsia" w:cs="Times New Roman"/>
        </w:rPr>
        <w:t>“</w:t>
      </w:r>
      <w:r>
        <w:rPr>
          <w:rFonts w:cs="Times New Roman"/>
        </w:rPr>
        <w:t>生态立市</w:t>
      </w:r>
      <w:r>
        <w:rPr>
          <w:rFonts w:hint="eastAsia" w:cs="Times New Roman"/>
        </w:rPr>
        <w:t>”</w:t>
      </w:r>
      <w:r>
        <w:rPr>
          <w:rFonts w:cs="Times New Roman"/>
        </w:rPr>
        <w:t>战略</w:t>
      </w:r>
      <w:r>
        <w:rPr>
          <w:rFonts w:hint="eastAsia" w:cs="Times New Roman"/>
        </w:rPr>
        <w:t>。</w:t>
      </w:r>
      <w:r>
        <w:rPr>
          <w:rFonts w:cs="Times New Roman"/>
        </w:rPr>
        <w:t>建成重点围绕北沙河本溪新城段</w:t>
      </w:r>
      <w:r>
        <w:rPr>
          <w:rFonts w:hint="eastAsia" w:cs="Times New Roman"/>
        </w:rPr>
        <w:t>、</w:t>
      </w:r>
      <w:r>
        <w:rPr>
          <w:rFonts w:cs="Times New Roman"/>
        </w:rPr>
        <w:t>太子河明山区段</w:t>
      </w:r>
      <w:r>
        <w:rPr>
          <w:rFonts w:hint="eastAsia" w:cs="Times New Roman"/>
          <w:lang w:val="en-US"/>
        </w:rPr>
        <w:t>2个</w:t>
      </w:r>
      <w:r>
        <w:rPr>
          <w:rFonts w:cs="Times New Roman"/>
        </w:rPr>
        <w:t>城区型美丽河湖</w:t>
      </w:r>
      <w:r>
        <w:rPr>
          <w:rFonts w:hint="eastAsia" w:cs="Times New Roman"/>
        </w:rPr>
        <w:t>，细河</w:t>
      </w:r>
      <w:r>
        <w:rPr>
          <w:rFonts w:cs="Times New Roman"/>
          <w:bCs/>
          <w:szCs w:val="28"/>
        </w:rPr>
        <w:t>思山岭</w:t>
      </w:r>
      <w:r>
        <w:rPr>
          <w:rFonts w:hint="eastAsia" w:cs="Times New Roman"/>
        </w:rPr>
        <w:t>段</w:t>
      </w:r>
      <w:r>
        <w:rPr>
          <w:rFonts w:hint="eastAsia" w:cs="Times New Roman"/>
          <w:lang w:val="en-US"/>
        </w:rPr>
        <w:t>1个</w:t>
      </w:r>
      <w:r>
        <w:rPr>
          <w:rFonts w:hint="eastAsia" w:cs="Times New Roman"/>
        </w:rPr>
        <w:t>郊野型美丽河湖，</w:t>
      </w:r>
      <w:r>
        <w:rPr>
          <w:rFonts w:cs="Times New Roman"/>
        </w:rPr>
        <w:t>将本溪打造成</w:t>
      </w:r>
      <w:r>
        <w:rPr>
          <w:rFonts w:hint="eastAsia" w:cs="Times New Roman"/>
        </w:rPr>
        <w:t>“</w:t>
      </w:r>
      <w:r>
        <w:rPr>
          <w:rFonts w:cs="Times New Roman"/>
        </w:rPr>
        <w:t>美丽河湖</w:t>
      </w:r>
      <w:r>
        <w:rPr>
          <w:rFonts w:hint="eastAsia" w:cs="Times New Roman"/>
        </w:rPr>
        <w:t>”</w:t>
      </w:r>
      <w:r>
        <w:rPr>
          <w:rFonts w:cs="Times New Roman"/>
        </w:rPr>
        <w:t xml:space="preserve">样板区。 </w:t>
      </w:r>
    </w:p>
    <w:p w14:paraId="4788598E">
      <w:pPr>
        <w:ind w:firstLine="562"/>
      </w:pPr>
      <w:r>
        <w:rPr>
          <w:rFonts w:hint="eastAsia"/>
          <w:b/>
        </w:rPr>
        <w:t>提升水源涵养能力。</w:t>
      </w:r>
      <w:r>
        <w:rPr>
          <w:rFonts w:hint="eastAsia"/>
        </w:rPr>
        <w:t>严格重要水源涵养区用途管制。生态保护红线内水源涵养区严格按照生态保护红线进行管理。生态保护红线外重要水源涵养区严格保护具有重要涵养水源功能的自然植被，限制和禁止各种损害生态系统水源涵养功能的经济社会活动和生产方式，确保重要水源涵养区面积不减少、性质不改变、功能不降低。有序推进封山育林、退耕还林还草还湿、地质低效林改造、湿地生态修复、废弃矿山修复，全面提升生态系统涵水功能。加强重要水源涵养区监督管理。开展重要水源涵养区基本状况、生态状况、人类活动本底情况和其他相关基础信息调查，建立重要水源涵养功能区基础信息台账。探索建立健全生态补偿长效机制和多渠道增加生态建设投入机制，积极向省、国家争取水源涵养区保护补偿资金。</w:t>
      </w:r>
    </w:p>
    <w:p w14:paraId="1EF7D551">
      <w:pPr>
        <w:ind w:firstLine="562"/>
        <w:rPr>
          <w:rFonts w:cs="Times New Roman"/>
        </w:rPr>
      </w:pPr>
      <w:bookmarkStart w:id="88" w:name="1、湿地恢复与建设"/>
      <w:bookmarkEnd w:id="88"/>
      <w:bookmarkStart w:id="89" w:name="_bookmark45"/>
      <w:bookmarkEnd w:id="89"/>
      <w:r>
        <w:rPr>
          <w:rFonts w:cs="Times New Roman"/>
          <w:b/>
        </w:rPr>
        <w:t>加强湿地建设与保护。</w:t>
      </w:r>
      <w:r>
        <w:rPr>
          <w:rFonts w:cs="Times New Roman"/>
        </w:rPr>
        <w:t>加强湿地保护与管理，全面保护湿地资源。开展重要湿地生态系统保护与修复，改善生态状况和区域生态环境，提高重要湿地生态功能。推进实施湿地重大生态修复工程和湿地生态效益补偿。逐步完善全市湿地监测体系和宣传网络，提高湿地监测、宣传教育、科学研究能力和水平。实现湿地生态功能增强、生物多样性增加，湿地资源全面保护，进一步丰富湿地生物多样性。实施小微湿地保护修复工程，加强小微湿地保护宣传教育，分类型、分区域开展坑塘、湖泊及景观水体等小微湿地保护与修复示范，适时开展小微湿地试点建设，积极探索小微湿地保护恢复、管理与合理利用的新形式。因地制宜</w:t>
      </w:r>
      <w:r>
        <w:rPr>
          <w:rFonts w:hint="eastAsia" w:cs="Times New Roman"/>
          <w:lang w:val="en-US" w:eastAsia="zh-CN"/>
        </w:rPr>
        <w:t>在污水处理厂</w:t>
      </w:r>
      <w:r>
        <w:rPr>
          <w:rFonts w:hint="eastAsia" w:cs="Times New Roman"/>
        </w:rPr>
        <w:t>排污口</w:t>
      </w:r>
      <w:r>
        <w:rPr>
          <w:rFonts w:hint="eastAsia" w:cs="Times New Roman"/>
          <w:lang w:val="en-US" w:eastAsia="zh-CN"/>
        </w:rPr>
        <w:t>串联</w:t>
      </w:r>
      <w:r>
        <w:rPr>
          <w:rFonts w:cs="Times New Roman"/>
        </w:rPr>
        <w:t>建设人工湿地净化工程</w:t>
      </w:r>
      <w:r>
        <w:rPr>
          <w:rFonts w:hint="eastAsia" w:cs="Times New Roman"/>
        </w:rPr>
        <w:t>。在排污口下游、支流河入干口、支流河入库口采用微生物协调净化功能实现拦截面源和污染减排</w:t>
      </w:r>
      <w:r>
        <w:rPr>
          <w:rFonts w:cs="Times New Roman"/>
        </w:rPr>
        <w:t>。</w:t>
      </w:r>
    </w:p>
    <w:p w14:paraId="1827728B">
      <w:pPr>
        <w:ind w:firstLine="562"/>
        <w:rPr>
          <w:rFonts w:cs="Times New Roman"/>
        </w:rPr>
      </w:pPr>
      <w:bookmarkStart w:id="90" w:name="_bookmark46"/>
      <w:bookmarkEnd w:id="90"/>
      <w:bookmarkStart w:id="91" w:name="2、河湖生态恢复"/>
      <w:bookmarkEnd w:id="91"/>
      <w:r>
        <w:rPr>
          <w:rFonts w:cs="Times New Roman"/>
          <w:b/>
        </w:rPr>
        <w:t>加强滨河（湖）带生态建设与监管。</w:t>
      </w:r>
      <w:r>
        <w:rPr>
          <w:rFonts w:cs="Times New Roman"/>
        </w:rPr>
        <w:t>在河湖陆向的水陆交错带，继续向陆域拓展一定宽度的区域建设河湖缓冲带，通过因地制宜划定生态缓冲带空间，加强监管，严格准入条件，确保不增污；太子河干支流适宜河段沿岸设置生态阻隔带，因地制宜种植一定宽度适宜当地生长的荆棘类灌木，形成生态阻隔带，防止降雨时水土流失、污染物冲刷入河，防范近河放牧、乱倒垃圾等人类活动带来的污染隐患，在划定的缓冲带内尽可能退出生产生活等活动，河湖生态缓冲带修复长度</w:t>
      </w:r>
      <w:r>
        <w:rPr>
          <w:rFonts w:hint="eastAsia" w:cs="Times New Roman"/>
          <w:lang w:val="en-US"/>
        </w:rPr>
        <w:t>38.7</w:t>
      </w:r>
      <w:r>
        <w:rPr>
          <w:rFonts w:hint="eastAsia" w:cs="Times New Roman"/>
        </w:rPr>
        <w:t>公里</w:t>
      </w:r>
      <w:r>
        <w:rPr>
          <w:rFonts w:cs="Times New Roman"/>
        </w:rPr>
        <w:t>。</w:t>
      </w:r>
      <w:r>
        <w:rPr>
          <w:rFonts w:hint="eastAsia" w:cs="Times New Roman"/>
        </w:rPr>
        <w:t>通过构建基地、水生植被修复、土著鱼类等水生生物恢复，</w:t>
      </w:r>
      <w:r>
        <w:rPr>
          <w:rFonts w:cs="Times New Roman"/>
        </w:rPr>
        <w:t>修复河</w:t>
      </w:r>
      <w:r>
        <w:rPr>
          <w:rFonts w:hint="eastAsia" w:cs="Times New Roman"/>
        </w:rPr>
        <w:t>（</w:t>
      </w:r>
      <w:r>
        <w:rPr>
          <w:rFonts w:cs="Times New Roman"/>
        </w:rPr>
        <w:t>湖</w:t>
      </w:r>
      <w:r>
        <w:rPr>
          <w:rFonts w:hint="eastAsia" w:cs="Times New Roman"/>
        </w:rPr>
        <w:t>）</w:t>
      </w:r>
      <w:r>
        <w:rPr>
          <w:rFonts w:cs="Times New Roman"/>
        </w:rPr>
        <w:t>生态系统结构和功能</w:t>
      </w:r>
      <w:r>
        <w:rPr>
          <w:rFonts w:hint="eastAsia" w:cs="Times New Roman"/>
        </w:rPr>
        <w:t>，实现净化水质，增加生态系统稳定性，保障水质安全。</w:t>
      </w:r>
    </w:p>
    <w:p w14:paraId="729F4258">
      <w:pPr>
        <w:ind w:firstLine="562"/>
        <w:rPr>
          <w:rFonts w:cs="Times New Roman"/>
        </w:rPr>
      </w:pPr>
      <w:r>
        <w:rPr>
          <w:rFonts w:cs="Times New Roman"/>
          <w:b/>
        </w:rPr>
        <w:t>保护生物多样性</w:t>
      </w:r>
      <w:r>
        <w:rPr>
          <w:rFonts w:hint="eastAsia" w:cs="Times New Roman"/>
          <w:b/>
        </w:rPr>
        <w:t>。</w:t>
      </w:r>
      <w:r>
        <w:rPr>
          <w:rFonts w:cs="Times New Roman"/>
        </w:rPr>
        <w:t>统筹考虑河湖水体等水域空间、水源涵养区陆域空间以及行洪、蓄滞洪区等水陆两栖空间等不同类型水生态空间的交错关系及特点，加强陆域水源涵养区、调蓄洪水区、水土保持区及水域重要鱼类栖息地等的生态保护，开展水陆交错带河湖岸带区的植被建设、湿地生态修复及亲水景观构建。重点针对生态敏感区、生态脆弱区、重要生境和生态功能受损的河湖，开展生态系统保护与修复；通过对江河湖库保护区、保留区等源头区实施以水源涵养为主的水量保护，对开发利用程度较大的受损河流实施以自然形态及功能恢复为主的生态修复，对珍稀、特有鱼类栖息地实施以生境保护与营造为主的生态建设</w:t>
      </w:r>
      <w:r>
        <w:rPr>
          <w:rFonts w:hint="eastAsia" w:cs="Times New Roman"/>
        </w:rPr>
        <w:t>，</w:t>
      </w:r>
      <w:r>
        <w:rPr>
          <w:rFonts w:cs="Times New Roman"/>
        </w:rPr>
        <w:t>推进水生生物生境恢复。对水生生物完整性指数偏低的，选择洄游通道保护、天然生境恢复、生境替代保护、</w:t>
      </w:r>
      <w:r>
        <w:rPr>
          <w:rFonts w:hint="eastAsia" w:cs="Times New Roman"/>
        </w:rPr>
        <w:t>“</w:t>
      </w:r>
      <w:r>
        <w:rPr>
          <w:rFonts w:cs="Times New Roman"/>
        </w:rPr>
        <w:t>三场</w:t>
      </w:r>
      <w:r>
        <w:rPr>
          <w:rFonts w:hint="eastAsia" w:cs="Times New Roman"/>
        </w:rPr>
        <w:t>”</w:t>
      </w:r>
      <w:r>
        <w:rPr>
          <w:rFonts w:cs="Times New Roman"/>
        </w:rPr>
        <w:t>保护与修复及增殖放流等措施，提高水生生物多样性。</w:t>
      </w:r>
    </w:p>
    <w:p w14:paraId="00E5B885">
      <w:pPr>
        <w:pStyle w:val="4"/>
        <w:bidi w:val="0"/>
      </w:pPr>
      <w:bookmarkStart w:id="92" w:name="_Toc14179"/>
      <w:r>
        <w:rPr>
          <w:rFonts w:hint="eastAsia"/>
        </w:rPr>
        <w:t>第五节  着力保障河湖生态用水</w:t>
      </w:r>
      <w:bookmarkEnd w:id="92"/>
    </w:p>
    <w:p w14:paraId="480791AC">
      <w:pPr>
        <w:pStyle w:val="2"/>
        <w:ind w:firstLine="562"/>
      </w:pPr>
      <w:r>
        <w:rPr>
          <w:rFonts w:hint="eastAsia"/>
          <w:b/>
        </w:rPr>
        <w:t>加强河湖生态流量监测。</w:t>
      </w:r>
      <w:r>
        <w:rPr>
          <w:rFonts w:hint="eastAsia"/>
        </w:rPr>
        <w:t>按照国家、省要求，推进生态流量控制断面监测设施建设，提高重要水文断面生态流量在线监测设施覆盖率以及河流小流量时监测精度。强化观音阁水库等主要水利水电工程生态流量泄放的监测。</w:t>
      </w:r>
    </w:p>
    <w:p w14:paraId="7DCDC102">
      <w:pPr>
        <w:pStyle w:val="2"/>
        <w:ind w:firstLine="562"/>
        <w:rPr>
          <w:rFonts w:cs="Times New Roman"/>
        </w:rPr>
      </w:pPr>
      <w:r>
        <w:rPr>
          <w:rFonts w:cs="Times New Roman"/>
          <w:b/>
        </w:rPr>
        <w:t>加强河湖水量配置与调度管理</w:t>
      </w:r>
      <w:r>
        <w:rPr>
          <w:rFonts w:hint="eastAsia" w:cs="Times New Roman"/>
          <w:b/>
        </w:rPr>
        <w:t>。</w:t>
      </w:r>
      <w:r>
        <w:rPr>
          <w:rFonts w:hint="eastAsia" w:cs="Times New Roman"/>
        </w:rPr>
        <w:t>优化水资源配置，将保障生态流量目标作为硬约束，突出生态用水重要性，提升生态用水占比。积极推动太子河流域水量调度，</w:t>
      </w:r>
      <w:r>
        <w:rPr>
          <w:rFonts w:cs="Times New Roman"/>
        </w:rPr>
        <w:t>优化水资源配置，切实保障基本生态用水需求。推动观音阁水库水量调度方案落实，合理安排闸坝下泄水量和泄流时段</w:t>
      </w:r>
      <w:r>
        <w:rPr>
          <w:rFonts w:hint="eastAsia" w:cs="Times New Roman"/>
        </w:rPr>
        <w:t>，</w:t>
      </w:r>
      <w:r>
        <w:rPr>
          <w:rFonts w:cs="Times New Roman"/>
        </w:rPr>
        <w:t>保障太子河生态需水</w:t>
      </w:r>
      <w:r>
        <w:rPr>
          <w:rFonts w:hint="eastAsia" w:cs="Times New Roman"/>
        </w:rPr>
        <w:t>，</w:t>
      </w:r>
      <w:r>
        <w:rPr>
          <w:rFonts w:cs="Times New Roman"/>
        </w:rPr>
        <w:t>保障太子河老官砬子国控断面稳定达标</w:t>
      </w:r>
      <w:r>
        <w:rPr>
          <w:rFonts w:hint="eastAsia" w:cs="Times New Roman"/>
        </w:rPr>
        <w:t>。</w:t>
      </w:r>
    </w:p>
    <w:p w14:paraId="1D7250C6">
      <w:pPr>
        <w:pStyle w:val="4"/>
        <w:bidi w:val="0"/>
      </w:pPr>
      <w:bookmarkStart w:id="93" w:name="_Toc10700"/>
      <w:r>
        <w:rPr>
          <w:rFonts w:hint="eastAsia"/>
        </w:rPr>
        <w:t>第六节  有效防范水环境风险</w:t>
      </w:r>
      <w:bookmarkEnd w:id="93"/>
    </w:p>
    <w:p w14:paraId="524EE314">
      <w:pPr>
        <w:pStyle w:val="2"/>
        <w:ind w:firstLine="562"/>
      </w:pPr>
      <w:r>
        <w:rPr>
          <w:rFonts w:hint="eastAsia"/>
          <w:b/>
        </w:rPr>
        <w:t>加强环境监管。</w:t>
      </w:r>
      <w:r>
        <w:rPr>
          <w:rFonts w:hint="eastAsia"/>
        </w:rPr>
        <w:t>强化优先控制化学品、新化学物质以及持久性有机物等高风险化学物质的环境监管，落实优先控制化学物质管控措施，严格控制新化学的环境风险。加强对流域内垃圾填埋场、尾矿库等重点风险源监管。提升危险废物环境管理，建立健全“源头防控、过程严管、后果严惩”的危险废物环境管理体系。深化医疗废物环境管理，强化医疗废物申报登记，采取区域集中、定时收取等方式，将收集范围逐步向偏远村医疗机构延伸，实现医疗废物应收尽收、应处尽处。</w:t>
      </w:r>
    </w:p>
    <w:p w14:paraId="7A7401DD">
      <w:pPr>
        <w:pStyle w:val="2"/>
        <w:ind w:firstLine="562"/>
      </w:pPr>
      <w:r>
        <w:rPr>
          <w:rFonts w:hint="eastAsia"/>
          <w:b/>
        </w:rPr>
        <w:t>强化应急管理。</w:t>
      </w:r>
      <w:r>
        <w:rPr>
          <w:rFonts w:hint="eastAsia"/>
        </w:rPr>
        <w:t>加强环境突发事件预防预警和应急处置，逐步建立全网络、全覆盖的预防预警、信息报送、风险管理、应急处置和应急联动体系。实施企业环境应急预案电子化备案，涉危重企业电子化备案全覆盖。编制和修订县级以上人民政府环境应急预案。逐步建立全市环境应急物资管理系统，逐步完善平战结合、区域联动的环境应急体系。做好突发环境事件应急处置工作，组织开展“以案促建，提升环境应急能力活动”</w:t>
      </w:r>
    </w:p>
    <w:p w14:paraId="770F6B69">
      <w:pPr>
        <w:pStyle w:val="2"/>
        <w:ind w:firstLine="562"/>
      </w:pPr>
      <w:r>
        <w:rPr>
          <w:rFonts w:hint="eastAsia"/>
          <w:b/>
        </w:rPr>
        <w:t>强化应急队伍建设和物资储备。</w:t>
      </w:r>
      <w:r>
        <w:rPr>
          <w:rFonts w:hint="eastAsia"/>
        </w:rPr>
        <w:t>探索政府、企业、社会多元化环境应急保障力量共建模式，推进环境应急队伍标准化、社会化建设。加强环境应急物资储备，推进建设区域性环境应急物资储备库，加强企业、园区应急物资储备。</w:t>
      </w:r>
    </w:p>
    <w:p w14:paraId="06E49ACA">
      <w:pPr>
        <w:ind w:firstLine="560"/>
      </w:pPr>
    </w:p>
    <w:p w14:paraId="69482DD9">
      <w:pPr>
        <w:ind w:firstLine="560"/>
        <w:rPr>
          <w:rFonts w:cs="Times New Roman"/>
        </w:rPr>
      </w:pPr>
      <w:r>
        <w:rPr>
          <w:rFonts w:cs="Times New Roman"/>
        </w:rPr>
        <w:br w:type="page"/>
      </w:r>
    </w:p>
    <w:p w14:paraId="0E2AC974">
      <w:pPr>
        <w:pStyle w:val="3"/>
        <w:bidi w:val="0"/>
      </w:pPr>
      <w:bookmarkStart w:id="94" w:name="（五）风险防范"/>
      <w:bookmarkEnd w:id="94"/>
      <w:bookmarkStart w:id="95" w:name="_bookmark51"/>
      <w:bookmarkEnd w:id="95"/>
      <w:bookmarkStart w:id="96" w:name="第四章__主要河湖保护方案"/>
      <w:bookmarkEnd w:id="96"/>
      <w:bookmarkStart w:id="97" w:name="_bookmark48"/>
      <w:bookmarkEnd w:id="97"/>
      <w:bookmarkStart w:id="98" w:name="_Toc31125"/>
      <w:r>
        <w:t xml:space="preserve">第五章 </w:t>
      </w:r>
      <w:r>
        <w:rPr>
          <w:rFonts w:hint="eastAsia"/>
          <w:lang w:val="en-US" w:eastAsia="zh-CN"/>
        </w:rPr>
        <w:t xml:space="preserve"> </w:t>
      </w:r>
      <w:r>
        <w:t>主要河湖保护方案</w:t>
      </w:r>
      <w:bookmarkEnd w:id="98"/>
    </w:p>
    <w:p w14:paraId="272E3427">
      <w:pPr>
        <w:pStyle w:val="4"/>
        <w:bidi w:val="0"/>
      </w:pPr>
      <w:bookmarkStart w:id="99" w:name="_bookmark52"/>
      <w:bookmarkEnd w:id="99"/>
      <w:bookmarkStart w:id="100" w:name="（一）主要河湖筛选"/>
      <w:bookmarkEnd w:id="100"/>
      <w:bookmarkStart w:id="101" w:name="_Toc8217"/>
      <w:bookmarkStart w:id="102" w:name="_Toc7316"/>
      <w:bookmarkStart w:id="103" w:name="_Toc27271"/>
      <w:bookmarkStart w:id="104" w:name="_Toc30075"/>
      <w:r>
        <w:rPr>
          <w:rFonts w:hint="eastAsia"/>
        </w:rPr>
        <w:t>第一节  太子河干流</w:t>
      </w:r>
      <w:bookmarkEnd w:id="101"/>
    </w:p>
    <w:p w14:paraId="7643CC7E">
      <w:pPr>
        <w:ind w:firstLine="562"/>
        <w:rPr>
          <w:rFonts w:hint="eastAsia" w:cs="Times New Roman"/>
          <w:b/>
          <w:szCs w:val="28"/>
        </w:rPr>
      </w:pPr>
      <w:r>
        <w:rPr>
          <w:rFonts w:hint="eastAsia" w:cs="Times New Roman"/>
          <w:b/>
          <w:szCs w:val="28"/>
        </w:rPr>
        <w:t>（一）</w:t>
      </w:r>
      <w:r>
        <w:rPr>
          <w:rFonts w:cs="Times New Roman"/>
          <w:b/>
          <w:szCs w:val="28"/>
        </w:rPr>
        <w:t>观音阁水库大坝以上</w:t>
      </w:r>
      <w:bookmarkEnd w:id="102"/>
      <w:bookmarkEnd w:id="103"/>
      <w:bookmarkEnd w:id="104"/>
    </w:p>
    <w:p w14:paraId="2CEF314E">
      <w:pPr>
        <w:ind w:firstLine="560"/>
        <w:rPr>
          <w:rFonts w:cs="Times New Roman"/>
          <w:szCs w:val="28"/>
        </w:rPr>
      </w:pPr>
      <w:r>
        <w:rPr>
          <w:rFonts w:cs="Times New Roman"/>
          <w:szCs w:val="28"/>
        </w:rPr>
        <w:t>太子河观音阁水库大坝以上包括</w:t>
      </w:r>
      <w:r>
        <w:rPr>
          <w:rFonts w:cs="Times New Roman"/>
          <w:bCs/>
          <w:szCs w:val="28"/>
        </w:rPr>
        <w:t>南太子河入库口</w:t>
      </w:r>
      <w:r>
        <w:rPr>
          <w:rFonts w:cs="Times New Roman"/>
          <w:szCs w:val="28"/>
        </w:rPr>
        <w:t>及赛梨寨</w:t>
      </w:r>
      <w:r>
        <w:rPr>
          <w:rFonts w:hint="eastAsia" w:cs="Times New Roman"/>
          <w:szCs w:val="28"/>
          <w:lang w:val="en-US" w:eastAsia="zh-CN"/>
        </w:rPr>
        <w:t>2</w:t>
      </w:r>
      <w:r>
        <w:rPr>
          <w:rFonts w:cs="Times New Roman"/>
          <w:szCs w:val="28"/>
        </w:rPr>
        <w:t>个断面。</w:t>
      </w:r>
      <w:r>
        <w:rPr>
          <w:rFonts w:cs="Times New Roman"/>
          <w:bCs/>
          <w:szCs w:val="28"/>
        </w:rPr>
        <w:t>南太子河入库口</w:t>
      </w:r>
      <w:r>
        <w:rPr>
          <w:rFonts w:hint="eastAsia" w:cs="Times New Roman"/>
          <w:szCs w:val="28"/>
        </w:rPr>
        <w:t>、</w:t>
      </w:r>
      <w:r>
        <w:rPr>
          <w:rFonts w:cs="Times New Roman"/>
          <w:szCs w:val="28"/>
        </w:rPr>
        <w:t>赛梨寨</w:t>
      </w:r>
      <w:r>
        <w:rPr>
          <w:rFonts w:hint="eastAsia" w:cs="Times New Roman"/>
          <w:szCs w:val="28"/>
          <w:lang w:eastAsia="zh-CN"/>
        </w:rPr>
        <w:t>断面</w:t>
      </w:r>
      <w:r>
        <w:rPr>
          <w:rFonts w:cs="Times New Roman"/>
          <w:szCs w:val="28"/>
        </w:rPr>
        <w:t>水质稳定达到</w:t>
      </w:r>
      <w:r>
        <w:rPr>
          <w:rFonts w:hint="eastAsia" w:cs="Times New Roman"/>
          <w:szCs w:val="28"/>
          <w:lang w:eastAsia="zh-CN"/>
        </w:rPr>
        <w:t>地表水</w:t>
      </w:r>
      <w:r>
        <w:rPr>
          <w:rFonts w:eastAsia="宋体" w:cs="Times New Roman"/>
          <w:szCs w:val="28"/>
        </w:rPr>
        <w:t>Ⅱ</w:t>
      </w:r>
      <w:r>
        <w:rPr>
          <w:rFonts w:cs="Times New Roman"/>
          <w:szCs w:val="28"/>
        </w:rPr>
        <w:t>类标准</w:t>
      </w:r>
      <w:r>
        <w:rPr>
          <w:rFonts w:hint="eastAsia" w:cs="Times New Roman"/>
          <w:szCs w:val="28"/>
        </w:rPr>
        <w:t>，</w:t>
      </w:r>
      <w:r>
        <w:rPr>
          <w:rFonts w:cs="Times New Roman"/>
          <w:szCs w:val="28"/>
        </w:rPr>
        <w:t>水源地标准化建设得到完善。</w:t>
      </w:r>
    </w:p>
    <w:p w14:paraId="36066914">
      <w:pPr>
        <w:ind w:firstLine="562"/>
        <w:rPr>
          <w:rFonts w:cs="Times New Roman"/>
          <w:b/>
          <w:bCs/>
          <w:szCs w:val="28"/>
        </w:rPr>
      </w:pPr>
      <w:r>
        <w:rPr>
          <w:rFonts w:hint="eastAsia" w:cs="Times New Roman"/>
          <w:b/>
          <w:szCs w:val="28"/>
        </w:rPr>
        <w:t>（1）</w:t>
      </w:r>
      <w:r>
        <w:rPr>
          <w:rFonts w:hint="eastAsia" w:cs="Times New Roman"/>
          <w:b/>
          <w:bCs/>
          <w:szCs w:val="28"/>
        </w:rPr>
        <w:t>污染减排</w:t>
      </w:r>
    </w:p>
    <w:p w14:paraId="2F377E03">
      <w:pPr>
        <w:ind w:firstLine="560"/>
        <w:rPr>
          <w:rFonts w:hint="eastAsia" w:cs="Times New Roman"/>
          <w:szCs w:val="28"/>
          <w:lang w:val="en-US" w:eastAsia="zh-CN"/>
        </w:rPr>
      </w:pPr>
      <w:r>
        <w:rPr>
          <w:rFonts w:cs="Times New Roman"/>
          <w:b/>
          <w:szCs w:val="28"/>
        </w:rPr>
        <w:t>推进城镇基础设施建设</w:t>
      </w:r>
      <w:r>
        <w:rPr>
          <w:rFonts w:hint="eastAsia" w:cs="Times New Roman"/>
          <w:b/>
          <w:szCs w:val="28"/>
          <w:lang w:eastAsia="zh-CN"/>
        </w:rPr>
        <w:t>。</w:t>
      </w:r>
      <w:r>
        <w:rPr>
          <w:rFonts w:hint="eastAsia" w:cs="Times New Roman"/>
          <w:szCs w:val="28"/>
          <w:lang w:val="en-US" w:eastAsia="zh-CN"/>
        </w:rPr>
        <w:t>加快建设碱厂镇污水处理厂，新增污水处理设施2000吨/天，处理厂排放标准全部达到一级A标准。</w:t>
      </w:r>
    </w:p>
    <w:p w14:paraId="4E605D10">
      <w:pPr>
        <w:ind w:firstLine="560"/>
        <w:rPr>
          <w:rFonts w:hint="eastAsia" w:cs="Times New Roman"/>
          <w:szCs w:val="28"/>
          <w:lang w:val="en-US" w:eastAsia="zh-CN"/>
        </w:rPr>
      </w:pPr>
      <w:r>
        <w:rPr>
          <w:rFonts w:hint="eastAsia" w:cs="Times New Roman"/>
          <w:szCs w:val="28"/>
          <w:lang w:val="en-US" w:eastAsia="zh-CN"/>
        </w:rPr>
        <w:t>推进农村生活污水收集。在本溪县兰河峪等村实施污水治理项目，观音阁水库区农村生活污水分散治理项目，实现农村污水集中收集处理，大幅度消减居民生活污水散排，消减污染物入河。</w:t>
      </w:r>
    </w:p>
    <w:p w14:paraId="73E4FA4C">
      <w:pPr>
        <w:widowControl/>
        <w:ind w:firstLine="562"/>
        <w:jc w:val="left"/>
        <w:rPr>
          <w:rFonts w:cs="Times New Roman"/>
          <w:szCs w:val="28"/>
        </w:rPr>
      </w:pPr>
      <w:r>
        <w:rPr>
          <w:rFonts w:cs="Times New Roman"/>
          <w:b/>
          <w:szCs w:val="28"/>
        </w:rPr>
        <w:t>加强种植业管控。</w:t>
      </w:r>
      <w:r>
        <w:rPr>
          <w:rFonts w:cs="Times New Roman"/>
          <w:szCs w:val="28"/>
        </w:rPr>
        <w:t>对河道沿岸乡镇推广农业种植绿色防控，鼓励农户使用农家肥、商品有机肥，逐步增加农田有机肥施用量，推广低毒、低残留农药使用范围和精准施药，加强对农药包装瓶等废弃物管理。</w:t>
      </w:r>
    </w:p>
    <w:p w14:paraId="75A5C97F">
      <w:pPr>
        <w:widowControl/>
        <w:ind w:firstLine="562"/>
        <w:jc w:val="left"/>
        <w:rPr>
          <w:rFonts w:cs="Times New Roman"/>
          <w:szCs w:val="28"/>
        </w:rPr>
      </w:pPr>
      <w:r>
        <w:rPr>
          <w:rFonts w:cs="Times New Roman"/>
          <w:b/>
          <w:szCs w:val="28"/>
        </w:rPr>
        <w:t>加强畜禽养殖污染防治。</w:t>
      </w:r>
      <w:r>
        <w:rPr>
          <w:rFonts w:cs="Times New Roman"/>
          <w:szCs w:val="28"/>
        </w:rPr>
        <w:t>对规模化养殖污染加大监督执法力度，对分散养殖加强管理与引导，推进粪污治理与资源化利用。</w:t>
      </w:r>
    </w:p>
    <w:p w14:paraId="1469C513">
      <w:pPr>
        <w:ind w:firstLine="562"/>
      </w:pPr>
      <w:r>
        <w:rPr>
          <w:rFonts w:hint="eastAsia" w:cs="Times New Roman"/>
          <w:b/>
          <w:szCs w:val="28"/>
        </w:rPr>
        <w:t>（2）水生态保护修复</w:t>
      </w:r>
    </w:p>
    <w:p w14:paraId="7158463F">
      <w:pPr>
        <w:ind w:firstLine="562"/>
        <w:rPr>
          <w:highlight w:val="red"/>
          <w:lang w:val="en-US"/>
        </w:rPr>
      </w:pPr>
      <w:r>
        <w:rPr>
          <w:b/>
          <w:lang w:val="en-US"/>
        </w:rPr>
        <w:t>加强河道管理，压实落地河长制。</w:t>
      </w:r>
      <w:r>
        <w:rPr>
          <w:lang w:val="en-US"/>
        </w:rPr>
        <w:t>减少和避免人类对河道干扰，逐步恢复河滨生态缓冲带，提高河岸带阻污控污能力。</w:t>
      </w:r>
    </w:p>
    <w:p w14:paraId="4DF750D0">
      <w:pPr>
        <w:ind w:firstLine="562"/>
        <w:rPr>
          <w:rFonts w:cs="Times New Roman"/>
        </w:rPr>
      </w:pPr>
      <w:r>
        <w:rPr>
          <w:rFonts w:hint="eastAsia" w:cs="Times New Roman"/>
          <w:b/>
          <w:szCs w:val="28"/>
        </w:rPr>
        <w:t>（3）饮用水水源地标准化建设</w:t>
      </w:r>
    </w:p>
    <w:p w14:paraId="7D2B2968">
      <w:pPr>
        <w:widowControl/>
        <w:ind w:firstLine="562"/>
        <w:jc w:val="left"/>
        <w:rPr>
          <w:rFonts w:cs="Times New Roman"/>
          <w:bCs/>
          <w:szCs w:val="28"/>
        </w:rPr>
      </w:pPr>
      <w:r>
        <w:rPr>
          <w:rFonts w:cs="Times New Roman"/>
          <w:b/>
        </w:rPr>
        <w:t>加强观音阁水库水源</w:t>
      </w:r>
      <w:r>
        <w:rPr>
          <w:rFonts w:cs="Times New Roman"/>
          <w:b/>
          <w:szCs w:val="28"/>
        </w:rPr>
        <w:t>地规范化建设。</w:t>
      </w:r>
      <w:r>
        <w:rPr>
          <w:rFonts w:cs="Times New Roman"/>
          <w:szCs w:val="28"/>
        </w:rPr>
        <w:t>按照《集中式饮用水水源地规范化建设环境保护技术要求》（HJ 773-2015）要求，根据县级及以上城市饮用水水源地规范化建设的要求，完善隔离设施、</w:t>
      </w:r>
      <w:r>
        <w:rPr>
          <w:rFonts w:cs="Times New Roman"/>
          <w:bCs/>
          <w:szCs w:val="28"/>
        </w:rPr>
        <w:t>保护区监控能力建设、风险防控与应急能力建设。</w:t>
      </w:r>
    </w:p>
    <w:p w14:paraId="7A3F4D36">
      <w:pPr>
        <w:ind w:firstLine="562"/>
        <w:rPr>
          <w:rFonts w:cs="Times New Roman"/>
        </w:rPr>
      </w:pPr>
      <w:bookmarkStart w:id="105" w:name="_Toc14256"/>
      <w:bookmarkStart w:id="106" w:name="_Toc28643"/>
      <w:bookmarkStart w:id="107" w:name="_Toc30127"/>
      <w:r>
        <w:rPr>
          <w:rFonts w:hint="eastAsia" w:cs="Times New Roman"/>
          <w:b/>
          <w:szCs w:val="28"/>
        </w:rPr>
        <w:t>（二）</w:t>
      </w:r>
      <w:r>
        <w:rPr>
          <w:rFonts w:cs="Times New Roman"/>
          <w:b/>
          <w:szCs w:val="28"/>
        </w:rPr>
        <w:t>观音阁坝下至老官砬子</w:t>
      </w:r>
      <w:bookmarkEnd w:id="105"/>
      <w:bookmarkEnd w:id="106"/>
      <w:bookmarkEnd w:id="107"/>
    </w:p>
    <w:p w14:paraId="1C9C08B9">
      <w:pPr>
        <w:ind w:firstLine="560"/>
        <w:rPr>
          <w:rFonts w:cs="Times New Roman"/>
          <w:bCs/>
          <w:szCs w:val="28"/>
        </w:rPr>
      </w:pPr>
      <w:bookmarkStart w:id="108" w:name="_Toc447573117"/>
      <w:bookmarkStart w:id="109" w:name="_Toc446920847"/>
      <w:r>
        <w:rPr>
          <w:rFonts w:hint="eastAsia" w:cs="Times New Roman"/>
        </w:rPr>
        <w:t>“十四五”太子河</w:t>
      </w:r>
      <w:r>
        <w:rPr>
          <w:rFonts w:cs="Times New Roman"/>
        </w:rPr>
        <w:t>老官砬子段生态流量得到基本保障</w:t>
      </w:r>
      <w:r>
        <w:rPr>
          <w:rFonts w:hint="eastAsia" w:cs="Times New Roman"/>
        </w:rPr>
        <w:t>，</w:t>
      </w:r>
      <w:r>
        <w:rPr>
          <w:rFonts w:cs="Times New Roman"/>
        </w:rPr>
        <w:t>水质稳定达到地表水</w:t>
      </w:r>
      <w:r>
        <w:rPr>
          <w:rFonts w:hint="eastAsia"/>
        </w:rPr>
        <w:t>Ⅱ</w:t>
      </w:r>
      <w:r>
        <w:rPr>
          <w:rFonts w:cs="Times New Roman"/>
        </w:rPr>
        <w:t>类</w:t>
      </w:r>
      <w:bookmarkEnd w:id="108"/>
      <w:bookmarkEnd w:id="109"/>
      <w:r>
        <w:rPr>
          <w:rFonts w:hint="eastAsia" w:cs="Times New Roman"/>
          <w:bCs/>
          <w:szCs w:val="28"/>
        </w:rPr>
        <w:t>。</w:t>
      </w:r>
    </w:p>
    <w:p w14:paraId="5DF87F3A">
      <w:pPr>
        <w:ind w:firstLine="562"/>
      </w:pPr>
      <w:r>
        <w:rPr>
          <w:rFonts w:hint="eastAsia" w:cs="Times New Roman"/>
          <w:b/>
          <w:szCs w:val="28"/>
        </w:rPr>
        <w:t>（1）污染减排</w:t>
      </w:r>
    </w:p>
    <w:p w14:paraId="7C1498B9">
      <w:pPr>
        <w:ind w:firstLine="562"/>
        <w:rPr>
          <w:rFonts w:cs="Times New Roman"/>
          <w:bCs/>
          <w:szCs w:val="28"/>
        </w:rPr>
      </w:pPr>
      <w:r>
        <w:rPr>
          <w:b/>
        </w:rPr>
        <w:t>完善本</w:t>
      </w:r>
      <w:r>
        <w:rPr>
          <w:rFonts w:cs="Times New Roman"/>
          <w:b/>
          <w:szCs w:val="28"/>
        </w:rPr>
        <w:t>溪县城镇基础设施。</w:t>
      </w:r>
      <w:r>
        <w:rPr>
          <w:rFonts w:cs="Times New Roman"/>
          <w:szCs w:val="28"/>
        </w:rPr>
        <w:t>努力</w:t>
      </w:r>
      <w:r>
        <w:rPr>
          <w:rFonts w:cs="Times New Roman"/>
          <w:bCs/>
          <w:szCs w:val="28"/>
        </w:rPr>
        <w:t>推进本溪县城区滨河西路排水建设</w:t>
      </w:r>
      <w:r>
        <w:rPr>
          <w:rFonts w:hint="eastAsia" w:cs="Times New Roman"/>
          <w:bCs/>
          <w:szCs w:val="28"/>
          <w:lang w:eastAsia="zh-CN"/>
        </w:rPr>
        <w:t>、</w:t>
      </w:r>
      <w:r>
        <w:rPr>
          <w:rFonts w:cs="Times New Roman"/>
          <w:bCs/>
          <w:szCs w:val="28"/>
        </w:rPr>
        <w:t>春光路南段新民街东段排水系统建设</w:t>
      </w:r>
      <w:r>
        <w:rPr>
          <w:rFonts w:hint="eastAsia" w:cs="Times New Roman"/>
          <w:bCs/>
          <w:szCs w:val="28"/>
          <w:lang w:eastAsia="zh-CN"/>
        </w:rPr>
        <w:t>、</w:t>
      </w:r>
      <w:r>
        <w:rPr>
          <w:rFonts w:cs="Times New Roman"/>
          <w:bCs/>
          <w:szCs w:val="28"/>
        </w:rPr>
        <w:t>高官镇污水主管网</w:t>
      </w:r>
      <w:r>
        <w:rPr>
          <w:rFonts w:hint="eastAsia" w:cs="Times New Roman"/>
          <w:bCs/>
          <w:szCs w:val="28"/>
          <w:lang w:eastAsia="zh-CN"/>
        </w:rPr>
        <w:t>建设</w:t>
      </w:r>
      <w:r>
        <w:rPr>
          <w:rFonts w:cs="Times New Roman"/>
          <w:bCs/>
          <w:szCs w:val="28"/>
        </w:rPr>
        <w:t>，加快实施城区管网新建与改造，确保污水全收集、全处理，减少汛期时雨污混排及溢流现象。</w:t>
      </w:r>
    </w:p>
    <w:p w14:paraId="09129EC1">
      <w:pPr>
        <w:ind w:firstLine="562"/>
        <w:rPr>
          <w:rFonts w:cs="Times New Roman"/>
          <w:bCs/>
          <w:szCs w:val="28"/>
        </w:rPr>
      </w:pPr>
      <w:r>
        <w:rPr>
          <w:rFonts w:cs="Times New Roman"/>
          <w:b/>
          <w:bCs/>
          <w:szCs w:val="28"/>
        </w:rPr>
        <w:t>推进农村生活污水收集与处理。</w:t>
      </w:r>
      <w:r>
        <w:rPr>
          <w:rFonts w:cs="Times New Roman"/>
          <w:bCs/>
          <w:szCs w:val="28"/>
        </w:rPr>
        <w:t>对</w:t>
      </w:r>
      <w:r>
        <w:rPr>
          <w:rFonts w:hint="eastAsia" w:cs="Times New Roman"/>
          <w:bCs/>
          <w:szCs w:val="28"/>
        </w:rPr>
        <w:t>汇水范围</w:t>
      </w:r>
      <w:r>
        <w:rPr>
          <w:rFonts w:cs="Times New Roman"/>
          <w:bCs/>
          <w:szCs w:val="28"/>
        </w:rPr>
        <w:t>内的同江峪村实施污水管网收集，实现集中收集处置，大幅减少居民生活污水散排，削减污染物入河量。</w:t>
      </w:r>
    </w:p>
    <w:p w14:paraId="12A99CDB">
      <w:pPr>
        <w:ind w:firstLine="562"/>
        <w:rPr>
          <w:rFonts w:cs="Times New Roman"/>
          <w:bCs/>
          <w:szCs w:val="28"/>
        </w:rPr>
      </w:pPr>
      <w:r>
        <w:rPr>
          <w:rFonts w:cs="Times New Roman"/>
          <w:b/>
          <w:bCs/>
          <w:szCs w:val="28"/>
        </w:rPr>
        <w:t>加强种植业污染防治。</w:t>
      </w:r>
      <w:r>
        <w:rPr>
          <w:rFonts w:cs="Times New Roman"/>
          <w:bCs/>
          <w:szCs w:val="28"/>
        </w:rPr>
        <w:t>对河道沿岸乡镇推广农业种植绿色防控，鼓励农户使用农家肥、商品有机肥，逐步增加农田有机肥施用量，推广低毒、低残留农药使用范围和精准施药，降低区域农药施用量和减少农药包装瓶等废弃物随雨水流入河道。</w:t>
      </w:r>
    </w:p>
    <w:p w14:paraId="3938F14A">
      <w:pPr>
        <w:ind w:firstLine="562"/>
        <w:rPr>
          <w:rFonts w:cs="Times New Roman"/>
          <w:bCs/>
          <w:szCs w:val="28"/>
        </w:rPr>
      </w:pPr>
      <w:r>
        <w:rPr>
          <w:rFonts w:hint="eastAsia" w:cs="Times New Roman"/>
          <w:b/>
          <w:szCs w:val="28"/>
        </w:rPr>
        <w:t>（2）</w:t>
      </w:r>
      <w:r>
        <w:rPr>
          <w:rFonts w:cs="Times New Roman"/>
          <w:b/>
          <w:szCs w:val="28"/>
        </w:rPr>
        <w:t>生态流量保障</w:t>
      </w:r>
    </w:p>
    <w:p w14:paraId="43BB3910">
      <w:pPr>
        <w:widowControl/>
        <w:ind w:firstLine="560"/>
        <w:jc w:val="left"/>
        <w:textAlignment w:val="center"/>
        <w:rPr>
          <w:rFonts w:cs="Times New Roman"/>
          <w:bCs/>
          <w:szCs w:val="28"/>
        </w:rPr>
      </w:pPr>
      <w:r>
        <w:rPr>
          <w:rFonts w:cs="Times New Roman"/>
          <w:bCs/>
          <w:szCs w:val="28"/>
        </w:rPr>
        <w:t>根据本溪市的不同时段的实际情况，对观音阁水库、三道河水库进行下泄流量调控，以保障老官砬子的基本流量。在十四五期间，推动和建立观音阁水库生态放水协调机制，保障</w:t>
      </w:r>
      <w:r>
        <w:rPr>
          <w:rFonts w:hint="eastAsia" w:cs="Times New Roman"/>
          <w:szCs w:val="28"/>
          <w:lang w:val="en-US"/>
        </w:rPr>
        <w:t>4~9月下泄流量6.66</w:t>
      </w:r>
      <w:r>
        <w:rPr>
          <w:rFonts w:cs="Times New Roman"/>
          <w:szCs w:val="28"/>
        </w:rPr>
        <w:t>m</w:t>
      </w:r>
      <w:r>
        <w:rPr>
          <w:rFonts w:cs="Times New Roman"/>
          <w:szCs w:val="28"/>
          <w:vertAlign w:val="superscript"/>
        </w:rPr>
        <w:t>3</w:t>
      </w:r>
      <w:r>
        <w:rPr>
          <w:rFonts w:cs="Times New Roman"/>
          <w:szCs w:val="28"/>
        </w:rPr>
        <w:t>/s</w:t>
      </w:r>
      <w:r>
        <w:rPr>
          <w:rFonts w:hint="eastAsia" w:cs="Times New Roman"/>
          <w:szCs w:val="28"/>
        </w:rPr>
        <w:t>，其余月份</w:t>
      </w:r>
      <w:r>
        <w:rPr>
          <w:rFonts w:hint="eastAsia" w:cs="Times New Roman"/>
          <w:szCs w:val="28"/>
          <w:lang w:val="en-US"/>
        </w:rPr>
        <w:t>3.33</w:t>
      </w:r>
      <w:r>
        <w:rPr>
          <w:rFonts w:cs="Times New Roman"/>
          <w:szCs w:val="28"/>
        </w:rPr>
        <w:t>m</w:t>
      </w:r>
      <w:r>
        <w:rPr>
          <w:rFonts w:cs="Times New Roman"/>
          <w:szCs w:val="28"/>
          <w:vertAlign w:val="superscript"/>
        </w:rPr>
        <w:t>3</w:t>
      </w:r>
      <w:r>
        <w:rPr>
          <w:rFonts w:cs="Times New Roman"/>
          <w:szCs w:val="28"/>
        </w:rPr>
        <w:t>/s</w:t>
      </w:r>
      <w:r>
        <w:rPr>
          <w:rFonts w:cs="Times New Roman"/>
          <w:bCs/>
          <w:szCs w:val="28"/>
        </w:rPr>
        <w:t>（具体按省</w:t>
      </w:r>
      <w:r>
        <w:rPr>
          <w:rFonts w:hint="eastAsia" w:cs="Times New Roman"/>
          <w:bCs/>
          <w:szCs w:val="28"/>
        </w:rPr>
        <w:t>相关部门调度方案</w:t>
      </w:r>
      <w:r>
        <w:rPr>
          <w:rFonts w:cs="Times New Roman"/>
          <w:bCs/>
          <w:szCs w:val="28"/>
        </w:rPr>
        <w:t>确定）。</w:t>
      </w:r>
    </w:p>
    <w:p w14:paraId="2E53DE6B">
      <w:pPr>
        <w:ind w:firstLine="562"/>
        <w:rPr>
          <w:rFonts w:cs="Times New Roman"/>
        </w:rPr>
      </w:pPr>
      <w:bookmarkStart w:id="110" w:name="_Toc29239"/>
      <w:bookmarkStart w:id="111" w:name="_Toc10330"/>
      <w:bookmarkStart w:id="112" w:name="_Toc7789"/>
      <w:r>
        <w:rPr>
          <w:rFonts w:hint="eastAsia" w:cs="Times New Roman"/>
          <w:b/>
          <w:szCs w:val="28"/>
        </w:rPr>
        <w:t>（三）</w:t>
      </w:r>
      <w:r>
        <w:rPr>
          <w:rFonts w:cs="Times New Roman"/>
          <w:b/>
          <w:szCs w:val="28"/>
        </w:rPr>
        <w:t>老官砬子至</w:t>
      </w:r>
      <w:bookmarkEnd w:id="110"/>
      <w:bookmarkEnd w:id="111"/>
      <w:bookmarkEnd w:id="112"/>
      <w:r>
        <w:rPr>
          <w:rFonts w:cs="Times New Roman"/>
          <w:b/>
          <w:szCs w:val="28"/>
        </w:rPr>
        <w:t>葠窝坝下</w:t>
      </w:r>
    </w:p>
    <w:p w14:paraId="31D59DFB">
      <w:pPr>
        <w:widowControl/>
        <w:ind w:firstLine="560"/>
        <w:textAlignment w:val="center"/>
        <w:rPr>
          <w:rFonts w:cs="Times New Roman"/>
          <w:bCs/>
          <w:szCs w:val="28"/>
        </w:rPr>
      </w:pPr>
      <w:r>
        <w:rPr>
          <w:rFonts w:cs="Times New Roman"/>
          <w:bCs/>
          <w:szCs w:val="28"/>
        </w:rPr>
        <w:t>在实施污染减排基础上，开展生态工程建设，修复支流河，打造美丽河湖，造福城区百姓</w:t>
      </w:r>
      <w:r>
        <w:rPr>
          <w:rFonts w:hint="eastAsia" w:cs="Times New Roman"/>
          <w:bCs/>
          <w:szCs w:val="28"/>
        </w:rPr>
        <w:t>，兴安、</w:t>
      </w:r>
      <w:r>
        <w:rPr>
          <w:rFonts w:cs="Times New Roman"/>
          <w:bCs/>
          <w:szCs w:val="28"/>
        </w:rPr>
        <w:t>葠窝坝下断面稳定达到地表水</w:t>
      </w:r>
      <w:r>
        <w:rPr>
          <w:rFonts w:hint="eastAsia" w:ascii="宋体" w:hAnsi="宋体" w:eastAsia="宋体" w:cs="宋体"/>
          <w:bCs/>
          <w:szCs w:val="28"/>
        </w:rPr>
        <w:t>Ⅲ</w:t>
      </w:r>
      <w:r>
        <w:rPr>
          <w:rFonts w:cs="Times New Roman"/>
          <w:bCs/>
          <w:szCs w:val="28"/>
        </w:rPr>
        <w:t>类</w:t>
      </w:r>
      <w:r>
        <w:rPr>
          <w:rFonts w:hint="eastAsia" w:cs="Times New Roman"/>
          <w:bCs/>
          <w:szCs w:val="28"/>
        </w:rPr>
        <w:t>。</w:t>
      </w:r>
    </w:p>
    <w:p w14:paraId="778DEF67">
      <w:pPr>
        <w:ind w:firstLine="562"/>
        <w:rPr>
          <w:rFonts w:cs="Times New Roman"/>
          <w:b/>
          <w:szCs w:val="28"/>
        </w:rPr>
      </w:pPr>
      <w:r>
        <w:rPr>
          <w:rFonts w:hint="eastAsia" w:cs="Times New Roman"/>
          <w:b/>
          <w:szCs w:val="28"/>
        </w:rPr>
        <w:t>（1）污染减排</w:t>
      </w:r>
    </w:p>
    <w:p w14:paraId="2A8D630D">
      <w:pPr>
        <w:ind w:firstLine="562"/>
        <w:rPr>
          <w:rFonts w:cs="Times New Roman"/>
          <w:szCs w:val="28"/>
        </w:rPr>
      </w:pPr>
      <w:r>
        <w:rPr>
          <w:rFonts w:cs="Times New Roman"/>
          <w:b/>
          <w:szCs w:val="28"/>
        </w:rPr>
        <w:t>完善城镇基础设施。</w:t>
      </w:r>
      <w:r>
        <w:rPr>
          <w:rFonts w:cs="Times New Roman"/>
          <w:szCs w:val="28"/>
        </w:rPr>
        <w:t>在</w:t>
      </w:r>
      <w:r>
        <w:rPr>
          <w:rFonts w:hint="eastAsia" w:cs="Times New Roman"/>
          <w:szCs w:val="28"/>
        </w:rPr>
        <w:t>汇水范围</w:t>
      </w:r>
      <w:r>
        <w:rPr>
          <w:rFonts w:cs="Times New Roman"/>
          <w:szCs w:val="28"/>
        </w:rPr>
        <w:t>的高峪、卧龙、牛心台等地区建设城镇生活污水处理设施工程以及雨污分流改造工程。结合城区改造计划全面开展雨污分流，大峪城中村污水管网工程新建污水管网10.2公里，实施卧龙镇、牛心台镇城镇生活污水处理工程，进一步完善城镇居民的生活污水收集与处理。福金沟污水干管工程新建污水管网10公里；千金沟暗渠整体改造1公里，渠内雨污分流10公里；对华阳暗渠进行拆除新建，暗渠长度1.22公里。通过完善基础设施建设，大幅减少溢流现象，减少污染物入河。</w:t>
      </w:r>
    </w:p>
    <w:p w14:paraId="0966F3D9">
      <w:pPr>
        <w:ind w:firstLine="562"/>
        <w:rPr>
          <w:lang w:val="en-US"/>
        </w:rPr>
      </w:pPr>
      <w:r>
        <w:rPr>
          <w:b/>
          <w:lang w:val="en-US"/>
        </w:rPr>
        <w:t>加强对本钢监督管理。</w:t>
      </w:r>
      <w:r>
        <w:rPr>
          <w:lang w:val="en-US"/>
        </w:rPr>
        <w:t>减少和避免污水治理设施事故排放，建设必要的应急设施，避免事故时对断面影响。</w:t>
      </w:r>
    </w:p>
    <w:p w14:paraId="3E7257A3">
      <w:pPr>
        <w:autoSpaceDE/>
        <w:autoSpaceDN/>
        <w:ind w:firstLine="562"/>
        <w:rPr>
          <w:rFonts w:cs="Times New Roman"/>
          <w:b/>
          <w:bCs/>
          <w:kern w:val="2"/>
          <w:szCs w:val="28"/>
          <w:lang w:val="en-US" w:bidi="ar-SA"/>
        </w:rPr>
      </w:pPr>
      <w:r>
        <w:rPr>
          <w:rFonts w:hint="eastAsia"/>
          <w:b/>
          <w:lang w:val="en-US"/>
        </w:rPr>
        <w:t>（2）</w:t>
      </w:r>
      <w:r>
        <w:rPr>
          <w:rFonts w:cs="Times New Roman"/>
          <w:b/>
          <w:bCs/>
          <w:kern w:val="2"/>
          <w:szCs w:val="28"/>
          <w:lang w:val="en-US" w:bidi="ar-SA"/>
        </w:rPr>
        <w:t>生态流量保障</w:t>
      </w:r>
    </w:p>
    <w:p w14:paraId="64450A19">
      <w:pPr>
        <w:autoSpaceDE/>
        <w:autoSpaceDN/>
        <w:ind w:firstLine="560"/>
        <w:rPr>
          <w:rFonts w:cs="Times New Roman"/>
          <w:bCs/>
          <w:szCs w:val="28"/>
        </w:rPr>
      </w:pPr>
      <w:r>
        <w:rPr>
          <w:rFonts w:cs="Times New Roman"/>
          <w:bCs/>
          <w:szCs w:val="28"/>
        </w:rPr>
        <w:t>根据本溪市的不同时段的实际情况，在保障老官砬子断面基本流量的同时，推动和建立观音阁水库生态放水协调机制，满足兴安</w:t>
      </w:r>
      <w:r>
        <w:rPr>
          <w:rFonts w:hint="eastAsia" w:cs="Times New Roman"/>
          <w:bCs/>
          <w:szCs w:val="28"/>
          <w:lang w:eastAsia="zh-CN"/>
        </w:rPr>
        <w:t>断面</w:t>
      </w:r>
      <w:r>
        <w:rPr>
          <w:rFonts w:cs="Times New Roman"/>
          <w:bCs/>
          <w:szCs w:val="28"/>
        </w:rPr>
        <w:t>生态流量（具体按省</w:t>
      </w:r>
      <w:r>
        <w:rPr>
          <w:rFonts w:hint="eastAsia" w:cs="Times New Roman"/>
          <w:bCs/>
          <w:szCs w:val="28"/>
        </w:rPr>
        <w:t>相关部门调度方案</w:t>
      </w:r>
      <w:r>
        <w:rPr>
          <w:rFonts w:cs="Times New Roman"/>
          <w:bCs/>
          <w:szCs w:val="28"/>
        </w:rPr>
        <w:t>确定）。</w:t>
      </w:r>
    </w:p>
    <w:p w14:paraId="47CB33BA">
      <w:pPr>
        <w:ind w:firstLine="562"/>
        <w:rPr>
          <w:rFonts w:cs="Times New Roman"/>
          <w:b/>
        </w:rPr>
      </w:pPr>
      <w:r>
        <w:rPr>
          <w:rFonts w:hint="eastAsia"/>
          <w:b/>
          <w:lang w:val="en-US"/>
        </w:rPr>
        <w:t>（3）</w:t>
      </w:r>
      <w:r>
        <w:rPr>
          <w:rFonts w:cs="Times New Roman"/>
          <w:b/>
        </w:rPr>
        <w:t>水生态</w:t>
      </w:r>
      <w:r>
        <w:rPr>
          <w:rFonts w:hint="eastAsia" w:cs="Times New Roman"/>
          <w:b/>
        </w:rPr>
        <w:t>保护修复</w:t>
      </w:r>
    </w:p>
    <w:p w14:paraId="3F577718">
      <w:pPr>
        <w:ind w:firstLine="562"/>
        <w:rPr>
          <w:rFonts w:cs="Times New Roman"/>
        </w:rPr>
      </w:pPr>
      <w:r>
        <w:rPr>
          <w:rFonts w:cs="Times New Roman"/>
          <w:b/>
          <w:bCs/>
          <w:szCs w:val="28"/>
        </w:rPr>
        <w:t>实</w:t>
      </w:r>
      <w:r>
        <w:rPr>
          <w:rFonts w:cs="Times New Roman"/>
          <w:b/>
          <w:szCs w:val="28"/>
        </w:rPr>
        <w:t>施支流河整治。</w:t>
      </w:r>
      <w:r>
        <w:rPr>
          <w:rFonts w:cs="Times New Roman"/>
          <w:szCs w:val="28"/>
        </w:rPr>
        <w:t>对</w:t>
      </w:r>
      <w:r>
        <w:rPr>
          <w:rFonts w:hint="eastAsia" w:cs="Times New Roman"/>
          <w:szCs w:val="28"/>
        </w:rPr>
        <w:t>彩屯河</w:t>
      </w:r>
      <w:r>
        <w:rPr>
          <w:rFonts w:cs="Times New Roman"/>
          <w:szCs w:val="28"/>
        </w:rPr>
        <w:t>、</w:t>
      </w:r>
      <w:r>
        <w:rPr>
          <w:rFonts w:hint="eastAsia" w:cs="Times New Roman"/>
          <w:szCs w:val="28"/>
        </w:rPr>
        <w:t>郑家</w:t>
      </w:r>
      <w:r>
        <w:rPr>
          <w:rFonts w:cs="Times New Roman"/>
          <w:szCs w:val="28"/>
        </w:rPr>
        <w:t>河</w:t>
      </w:r>
      <w:r>
        <w:rPr>
          <w:rFonts w:hint="eastAsia" w:cs="Times New Roman"/>
          <w:szCs w:val="28"/>
        </w:rPr>
        <w:t>、溪湖河</w:t>
      </w:r>
      <w:r>
        <w:rPr>
          <w:rFonts w:hint="eastAsia" w:cs="Times New Roman"/>
          <w:szCs w:val="28"/>
          <w:lang w:eastAsia="zh-CN"/>
        </w:rPr>
        <w:t>、彩屯河</w:t>
      </w:r>
      <w:r>
        <w:rPr>
          <w:rFonts w:cs="Times New Roman"/>
          <w:szCs w:val="28"/>
        </w:rPr>
        <w:t>等重要支流河进行河道综合治理，对部分河段实施清淤，护堤修缮、拦水坝及绿化景观建设，推进河流沿岸垃圾清理</w:t>
      </w:r>
      <w:r>
        <w:rPr>
          <w:rFonts w:hint="eastAsia" w:cs="Times New Roman"/>
          <w:szCs w:val="28"/>
        </w:rPr>
        <w:t>，</w:t>
      </w:r>
      <w:r>
        <w:rPr>
          <w:rFonts w:cs="Times New Roman"/>
          <w:szCs w:val="28"/>
        </w:rPr>
        <w:t>建设人工湿地</w:t>
      </w:r>
      <w:r>
        <w:rPr>
          <w:rFonts w:hint="eastAsia" w:cs="Times New Roman"/>
          <w:szCs w:val="28"/>
        </w:rPr>
        <w:t>。</w:t>
      </w:r>
    </w:p>
    <w:p w14:paraId="6A7E37B5">
      <w:pPr>
        <w:ind w:firstLine="562"/>
        <w:rPr>
          <w:rFonts w:cs="Times New Roman"/>
          <w:b/>
        </w:rPr>
      </w:pPr>
      <w:r>
        <w:rPr>
          <w:rFonts w:hint="eastAsia" w:cs="Times New Roman"/>
          <w:b/>
        </w:rPr>
        <w:t>（4）</w:t>
      </w:r>
      <w:r>
        <w:rPr>
          <w:rFonts w:cs="Times New Roman"/>
          <w:b/>
        </w:rPr>
        <w:t>美丽河湖建设</w:t>
      </w:r>
    </w:p>
    <w:p w14:paraId="3E3F2D80">
      <w:pPr>
        <w:ind w:firstLine="560"/>
        <w:rPr>
          <w:rFonts w:cs="Times New Roman"/>
        </w:rPr>
      </w:pPr>
      <w:r>
        <w:rPr>
          <w:rFonts w:cs="Times New Roman"/>
        </w:rPr>
        <w:t>太子河明山区段</w:t>
      </w:r>
      <w:r>
        <w:rPr>
          <w:rFonts w:hint="eastAsia" w:cs="Times New Roman"/>
          <w:lang w:val="en-US" w:eastAsia="zh-CN"/>
        </w:rPr>
        <w:t>及支流</w:t>
      </w:r>
      <w:r>
        <w:rPr>
          <w:rFonts w:cs="Times New Roman"/>
        </w:rPr>
        <w:t>开展</w:t>
      </w:r>
      <w:r>
        <w:rPr>
          <w:rFonts w:hint="eastAsia" w:cs="Times New Roman"/>
        </w:rPr>
        <w:t>河道生态治理</w:t>
      </w:r>
      <w:r>
        <w:rPr>
          <w:rFonts w:hint="eastAsia" w:cs="Times New Roman"/>
          <w:lang w:val="en-US" w:eastAsia="zh-CN"/>
        </w:rPr>
        <w:t>及人工湿地建设</w:t>
      </w:r>
      <w:r>
        <w:rPr>
          <w:rFonts w:cs="Times New Roman"/>
        </w:rPr>
        <w:t>，提高生态功能，满足居民的亲自然要求。同时利用太子河河道周边现有湿地公园，统筹开展河道治理、缓冲带建设和湿地公园建设，在太子河明山区段打造美丽河湖，推进</w:t>
      </w:r>
      <w:r>
        <w:rPr>
          <w:rFonts w:hint="eastAsia" w:cs="Times New Roman"/>
        </w:rPr>
        <w:t>“</w:t>
      </w:r>
      <w:r>
        <w:rPr>
          <w:rFonts w:cs="Times New Roman"/>
        </w:rPr>
        <w:t>绿色钢都</w:t>
      </w:r>
      <w:r>
        <w:rPr>
          <w:rFonts w:hint="eastAsia" w:cs="Times New Roman"/>
        </w:rPr>
        <w:t>”</w:t>
      </w:r>
      <w:r>
        <w:rPr>
          <w:rFonts w:cs="Times New Roman"/>
        </w:rPr>
        <w:t>建设。</w:t>
      </w:r>
    </w:p>
    <w:p w14:paraId="4E2FE665">
      <w:pPr>
        <w:pStyle w:val="4"/>
        <w:bidi w:val="0"/>
      </w:pPr>
      <w:bookmarkStart w:id="113" w:name="_Toc2596"/>
      <w:bookmarkStart w:id="114" w:name="_Toc18194"/>
      <w:bookmarkStart w:id="115" w:name="_Toc32578"/>
      <w:bookmarkStart w:id="116" w:name="_Toc29185"/>
      <w:r>
        <w:t>第二节</w:t>
      </w:r>
      <w:r>
        <w:rPr>
          <w:rFonts w:hint="eastAsia"/>
        </w:rPr>
        <w:t xml:space="preserve">  </w:t>
      </w:r>
      <w:r>
        <w:t>细河</w:t>
      </w:r>
      <w:bookmarkEnd w:id="113"/>
      <w:bookmarkEnd w:id="114"/>
      <w:bookmarkEnd w:id="115"/>
      <w:bookmarkEnd w:id="116"/>
    </w:p>
    <w:p w14:paraId="3881107F">
      <w:pPr>
        <w:ind w:firstLine="560"/>
        <w:rPr>
          <w:rFonts w:cs="Times New Roman"/>
          <w:bCs/>
          <w:szCs w:val="28"/>
        </w:rPr>
      </w:pPr>
      <w:bookmarkStart w:id="117" w:name="_Toc23098"/>
      <w:bookmarkStart w:id="118" w:name="_Toc27774"/>
      <w:r>
        <w:rPr>
          <w:rFonts w:cs="Times New Roman"/>
          <w:szCs w:val="28"/>
        </w:rPr>
        <w:t>通过开展城镇雨污管网及配套设施建设、河道清淤、河岸生态保护带建设等工程措施，</w:t>
      </w:r>
      <w:r>
        <w:rPr>
          <w:rFonts w:cs="Times New Roman"/>
          <w:bCs/>
          <w:szCs w:val="28"/>
        </w:rPr>
        <w:t>实现</w:t>
      </w:r>
      <w:r>
        <w:rPr>
          <w:rFonts w:hint="eastAsia" w:cs="Times New Roman"/>
          <w:bCs/>
          <w:szCs w:val="28"/>
        </w:rPr>
        <w:t>“</w:t>
      </w:r>
      <w:r>
        <w:rPr>
          <w:rFonts w:cs="Times New Roman"/>
          <w:bCs/>
          <w:szCs w:val="28"/>
        </w:rPr>
        <w:t>人水和谐</w:t>
      </w:r>
      <w:r>
        <w:rPr>
          <w:rFonts w:hint="eastAsia" w:cs="Times New Roman"/>
          <w:bCs/>
          <w:szCs w:val="28"/>
        </w:rPr>
        <w:t>”，</w:t>
      </w:r>
      <w:r>
        <w:rPr>
          <w:rFonts w:cs="Times New Roman"/>
          <w:bCs/>
          <w:szCs w:val="28"/>
        </w:rPr>
        <w:t>摩天岭</w:t>
      </w:r>
      <w:r>
        <w:rPr>
          <w:rFonts w:hint="eastAsia" w:cs="Times New Roman"/>
          <w:bCs/>
          <w:szCs w:val="28"/>
        </w:rPr>
        <w:t>、</w:t>
      </w:r>
      <w:r>
        <w:rPr>
          <w:rFonts w:cs="Times New Roman"/>
          <w:bCs/>
          <w:szCs w:val="28"/>
        </w:rPr>
        <w:t>邱家断面</w:t>
      </w:r>
      <w:r>
        <w:rPr>
          <w:rFonts w:hint="eastAsia" w:cs="Times New Roman"/>
          <w:bCs/>
          <w:szCs w:val="28"/>
          <w:lang w:eastAsia="zh-CN"/>
        </w:rPr>
        <w:t>分别</w:t>
      </w:r>
      <w:r>
        <w:rPr>
          <w:rFonts w:cs="Times New Roman"/>
          <w:bCs/>
          <w:szCs w:val="28"/>
        </w:rPr>
        <w:t>稳定达到地表水</w:t>
      </w:r>
      <w:r>
        <w:rPr>
          <w:rFonts w:eastAsia="宋体" w:cs="Times New Roman"/>
          <w:bCs/>
          <w:szCs w:val="28"/>
        </w:rPr>
        <w:t>Ⅱ</w:t>
      </w:r>
      <w:r>
        <w:rPr>
          <w:rFonts w:cs="Times New Roman"/>
          <w:bCs/>
          <w:szCs w:val="28"/>
        </w:rPr>
        <w:t>类</w:t>
      </w:r>
      <w:r>
        <w:rPr>
          <w:rFonts w:hint="eastAsia" w:cs="Times New Roman"/>
          <w:bCs/>
          <w:szCs w:val="28"/>
          <w:lang w:eastAsia="zh-CN"/>
        </w:rPr>
        <w:t>、</w:t>
      </w:r>
      <w:r>
        <w:rPr>
          <w:rFonts w:cs="Times New Roman"/>
          <w:bCs/>
          <w:szCs w:val="28"/>
        </w:rPr>
        <w:fldChar w:fldCharType="begin"/>
      </w:r>
      <w:r>
        <w:rPr>
          <w:rFonts w:cs="Times New Roman"/>
          <w:bCs/>
          <w:szCs w:val="28"/>
        </w:rPr>
        <w:instrText xml:space="preserve"> = 5 \* ROMAN </w:instrText>
      </w:r>
      <w:r>
        <w:rPr>
          <w:rFonts w:cs="Times New Roman"/>
          <w:bCs/>
          <w:szCs w:val="28"/>
        </w:rPr>
        <w:fldChar w:fldCharType="separate"/>
      </w:r>
      <w:r>
        <w:rPr>
          <w:rFonts w:cs="Times New Roman"/>
          <w:bCs/>
          <w:szCs w:val="28"/>
        </w:rPr>
        <w:t>V</w:t>
      </w:r>
      <w:r>
        <w:rPr>
          <w:rFonts w:cs="Times New Roman"/>
          <w:bCs/>
          <w:szCs w:val="28"/>
        </w:rPr>
        <w:fldChar w:fldCharType="end"/>
      </w:r>
      <w:r>
        <w:rPr>
          <w:rFonts w:cs="Times New Roman"/>
          <w:bCs/>
          <w:szCs w:val="28"/>
        </w:rPr>
        <w:t>类</w:t>
      </w:r>
      <w:r>
        <w:rPr>
          <w:rFonts w:hint="eastAsia" w:cs="Times New Roman"/>
          <w:bCs/>
          <w:szCs w:val="28"/>
        </w:rPr>
        <w:t>。</w:t>
      </w:r>
    </w:p>
    <w:bookmarkEnd w:id="117"/>
    <w:bookmarkEnd w:id="118"/>
    <w:p w14:paraId="5701A6C1">
      <w:pPr>
        <w:ind w:firstLine="562"/>
        <w:rPr>
          <w:rFonts w:cs="Times New Roman"/>
          <w:b/>
          <w:bCs/>
          <w:szCs w:val="28"/>
        </w:rPr>
      </w:pPr>
      <w:r>
        <w:rPr>
          <w:rFonts w:hint="eastAsia" w:cs="Times New Roman"/>
          <w:b/>
          <w:bCs/>
          <w:szCs w:val="28"/>
        </w:rPr>
        <w:t>（1）污染减排</w:t>
      </w:r>
    </w:p>
    <w:p w14:paraId="6034C4D0">
      <w:pPr>
        <w:ind w:firstLine="562"/>
        <w:rPr>
          <w:rFonts w:hint="eastAsia" w:cs="Times New Roman"/>
          <w:bCs/>
          <w:szCs w:val="28"/>
          <w:lang w:val="en-US" w:eastAsia="zh-CN"/>
        </w:rPr>
      </w:pPr>
      <w:r>
        <w:rPr>
          <w:rFonts w:cs="Times New Roman"/>
          <w:b/>
          <w:bCs/>
          <w:szCs w:val="28"/>
        </w:rPr>
        <w:t>完善城镇基础设施。</w:t>
      </w:r>
      <w:r>
        <w:rPr>
          <w:rFonts w:hint="eastAsia" w:cs="Times New Roman"/>
          <w:bCs/>
          <w:szCs w:val="28"/>
          <w:lang w:val="en-US" w:eastAsia="zh-CN"/>
        </w:rPr>
        <w:t>新建</w:t>
      </w:r>
      <w:r>
        <w:rPr>
          <w:rFonts w:hint="eastAsia" w:cs="Times New Roman"/>
          <w:bCs/>
          <w:szCs w:val="28"/>
          <w:lang w:eastAsia="zh-CN"/>
        </w:rPr>
        <w:t>思山岭</w:t>
      </w:r>
      <w:r>
        <w:rPr>
          <w:rFonts w:hint="eastAsia" w:cs="Times New Roman"/>
          <w:bCs/>
          <w:szCs w:val="28"/>
          <w:lang w:val="en-US" w:eastAsia="zh-CN"/>
        </w:rPr>
        <w:t>污水处理厂及配套官网项目，日处理量500吨，配套</w:t>
      </w:r>
      <w:r>
        <w:rPr>
          <w:rFonts w:hint="eastAsia" w:cs="Times New Roman"/>
          <w:bCs/>
          <w:szCs w:val="28"/>
          <w:lang w:eastAsia="zh-CN"/>
        </w:rPr>
        <w:t>管网</w:t>
      </w:r>
      <w:r>
        <w:rPr>
          <w:rFonts w:hint="eastAsia" w:cs="Times New Roman"/>
          <w:bCs/>
          <w:szCs w:val="28"/>
          <w:lang w:val="en-US" w:eastAsia="zh-CN"/>
        </w:rPr>
        <w:t>5.5公里</w:t>
      </w:r>
      <w:r>
        <w:rPr>
          <w:rFonts w:cs="Times New Roman"/>
          <w:bCs/>
          <w:szCs w:val="28"/>
        </w:rPr>
        <w:t>。</w:t>
      </w:r>
      <w:r>
        <w:rPr>
          <w:rFonts w:hint="eastAsia" w:cs="Times New Roman"/>
          <w:bCs/>
          <w:szCs w:val="28"/>
          <w:lang w:val="en-US" w:eastAsia="zh-CN"/>
        </w:rPr>
        <w:t>实施连山关镇环境综合治理，实现生活垃圾集中收集、转运、处置。</w:t>
      </w:r>
    </w:p>
    <w:p w14:paraId="1F7CE906">
      <w:pPr>
        <w:ind w:firstLine="562"/>
        <w:rPr>
          <w:rFonts w:cs="Times New Roman"/>
          <w:bCs/>
          <w:szCs w:val="28"/>
        </w:rPr>
      </w:pPr>
      <w:r>
        <w:rPr>
          <w:rFonts w:cs="Times New Roman"/>
          <w:b/>
          <w:bCs/>
          <w:szCs w:val="28"/>
        </w:rPr>
        <w:t>加强对企业监管。</w:t>
      </w:r>
      <w:r>
        <w:rPr>
          <w:rFonts w:cs="Times New Roman"/>
          <w:bCs/>
          <w:kern w:val="2"/>
          <w:szCs w:val="28"/>
          <w:lang w:val="en-US" w:bidi="ar-SA"/>
        </w:rPr>
        <w:t>加强对北营钢铁污监督管理，减少和避免水治理设施事故排放，建设必要的应急设施，避免事故时对断面影响。</w:t>
      </w:r>
    </w:p>
    <w:p w14:paraId="4B9C891A">
      <w:pPr>
        <w:ind w:firstLine="562"/>
        <w:rPr>
          <w:rFonts w:cs="Times New Roman"/>
          <w:bCs/>
          <w:szCs w:val="28"/>
        </w:rPr>
      </w:pPr>
      <w:r>
        <w:rPr>
          <w:rFonts w:cs="Times New Roman"/>
          <w:b/>
          <w:szCs w:val="28"/>
        </w:rPr>
        <w:t>加强种植业管控。</w:t>
      </w:r>
      <w:r>
        <w:rPr>
          <w:rFonts w:cs="Times New Roman"/>
          <w:bCs/>
          <w:szCs w:val="28"/>
        </w:rPr>
        <w:t>对河道沿岸乡镇推广农业种植绿色防控，鼓励农户使用农家肥、商品有机肥，逐步增加农田有机肥施用量，推广低毒、低残留农药使用范围和精准施药，降低区域农药施用量和减少农药包装瓶等废弃物随雨水流入河道。</w:t>
      </w:r>
    </w:p>
    <w:p w14:paraId="49F4C681">
      <w:pPr>
        <w:ind w:firstLine="562"/>
        <w:rPr>
          <w:rFonts w:cs="Times New Roman"/>
          <w:b/>
          <w:bCs/>
          <w:szCs w:val="28"/>
        </w:rPr>
      </w:pPr>
      <w:r>
        <w:rPr>
          <w:rFonts w:hint="eastAsia" w:cs="Times New Roman"/>
          <w:b/>
          <w:bCs/>
          <w:szCs w:val="28"/>
        </w:rPr>
        <w:t>（2）</w:t>
      </w:r>
      <w:r>
        <w:rPr>
          <w:rFonts w:cs="Times New Roman"/>
          <w:b/>
          <w:bCs/>
          <w:szCs w:val="28"/>
        </w:rPr>
        <w:t>水生态</w:t>
      </w:r>
      <w:r>
        <w:rPr>
          <w:rFonts w:hint="eastAsia" w:cs="Times New Roman"/>
          <w:b/>
          <w:bCs/>
          <w:szCs w:val="28"/>
        </w:rPr>
        <w:t>保护修复</w:t>
      </w:r>
    </w:p>
    <w:p w14:paraId="36B71798">
      <w:pPr>
        <w:ind w:firstLine="562"/>
        <w:rPr>
          <w:rFonts w:cs="Times New Roman"/>
        </w:rPr>
      </w:pPr>
      <w:r>
        <w:rPr>
          <w:rFonts w:cs="Times New Roman"/>
          <w:b/>
          <w:bCs/>
          <w:szCs w:val="28"/>
        </w:rPr>
        <w:t>对南芬湿地进行保护与修复。</w:t>
      </w:r>
      <w:r>
        <w:rPr>
          <w:rFonts w:cs="Times New Roman"/>
          <w:bCs/>
          <w:szCs w:val="28"/>
        </w:rPr>
        <w:t>开展三道岭小流域综合整治，从思山岭乡财神庙村自上线而下划分为三个功能区</w:t>
      </w:r>
      <w:r>
        <w:rPr>
          <w:rFonts w:hint="eastAsia" w:cs="Times New Roman"/>
          <w:bCs/>
          <w:szCs w:val="28"/>
        </w:rPr>
        <w:t>，即</w:t>
      </w:r>
      <w:r>
        <w:rPr>
          <w:rFonts w:cs="Times New Roman"/>
          <w:bCs/>
          <w:szCs w:val="28"/>
        </w:rPr>
        <w:t>水源涵养区、污染控制及景观建设、生态修复。</w:t>
      </w:r>
      <w:bookmarkStart w:id="119" w:name="_Toc26726"/>
    </w:p>
    <w:p w14:paraId="3D40BBCC">
      <w:pPr>
        <w:pStyle w:val="4"/>
        <w:bidi w:val="0"/>
      </w:pPr>
      <w:bookmarkStart w:id="120" w:name="_Toc5551"/>
      <w:bookmarkStart w:id="121" w:name="_Toc6480"/>
      <w:r>
        <w:t>第三节</w:t>
      </w:r>
      <w:r>
        <w:rPr>
          <w:rFonts w:hint="eastAsia"/>
        </w:rPr>
        <w:t xml:space="preserve">  </w:t>
      </w:r>
      <w:r>
        <w:t>北沙河</w:t>
      </w:r>
      <w:bookmarkEnd w:id="119"/>
      <w:bookmarkEnd w:id="120"/>
      <w:bookmarkEnd w:id="121"/>
    </w:p>
    <w:p w14:paraId="31DA359F">
      <w:pPr>
        <w:widowControl/>
        <w:ind w:firstLine="560"/>
        <w:jc w:val="left"/>
        <w:textAlignment w:val="center"/>
        <w:rPr>
          <w:rFonts w:cs="Times New Roman"/>
          <w:bCs/>
          <w:szCs w:val="28"/>
        </w:rPr>
      </w:pPr>
      <w:r>
        <w:rPr>
          <w:rFonts w:cs="Times New Roman"/>
          <w:bCs/>
          <w:szCs w:val="28"/>
        </w:rPr>
        <w:t>在</w:t>
      </w:r>
      <w:r>
        <w:rPr>
          <w:rFonts w:hint="eastAsia" w:cs="Times New Roman"/>
          <w:bCs/>
          <w:szCs w:val="28"/>
        </w:rPr>
        <w:t>“</w:t>
      </w:r>
      <w:r>
        <w:rPr>
          <w:rFonts w:cs="Times New Roman"/>
          <w:bCs/>
          <w:szCs w:val="28"/>
        </w:rPr>
        <w:t>十三五</w:t>
      </w:r>
      <w:r>
        <w:rPr>
          <w:rFonts w:hint="eastAsia" w:cs="Times New Roman"/>
          <w:bCs/>
          <w:szCs w:val="28"/>
        </w:rPr>
        <w:t>”</w:t>
      </w:r>
      <w:r>
        <w:rPr>
          <w:rFonts w:cs="Times New Roman"/>
          <w:bCs/>
          <w:szCs w:val="28"/>
        </w:rPr>
        <w:t>减排成果基础上，围绕北沙河主河道，开展湿地公园、生态缓冲带建设，打造美丽河湖</w:t>
      </w:r>
      <w:r>
        <w:rPr>
          <w:rFonts w:hint="eastAsia" w:cs="Times New Roman"/>
          <w:bCs/>
          <w:szCs w:val="28"/>
        </w:rPr>
        <w:t>，</w:t>
      </w:r>
      <w:r>
        <w:rPr>
          <w:rFonts w:cs="Times New Roman"/>
          <w:bCs/>
          <w:szCs w:val="28"/>
        </w:rPr>
        <w:t>姚千户桥断面稳定达到地表水</w:t>
      </w:r>
      <w:r>
        <w:rPr>
          <w:rFonts w:hint="eastAsia" w:ascii="宋体" w:hAnsi="宋体" w:eastAsia="宋体" w:cs="宋体"/>
          <w:bCs/>
          <w:szCs w:val="28"/>
        </w:rPr>
        <w:t>Ⅲ</w:t>
      </w:r>
      <w:r>
        <w:rPr>
          <w:rFonts w:hint="eastAsia" w:cs="Times New Roman"/>
          <w:bCs/>
          <w:szCs w:val="28"/>
        </w:rPr>
        <w:t>类。</w:t>
      </w:r>
    </w:p>
    <w:p w14:paraId="5EB61A32">
      <w:pPr>
        <w:widowControl/>
        <w:ind w:firstLine="562"/>
        <w:jc w:val="left"/>
        <w:textAlignment w:val="center"/>
        <w:rPr>
          <w:b/>
        </w:rPr>
      </w:pPr>
      <w:r>
        <w:rPr>
          <w:rFonts w:cs="Times New Roman"/>
          <w:b/>
          <w:bCs/>
          <w:szCs w:val="28"/>
        </w:rPr>
        <w:t>（1）</w:t>
      </w:r>
      <w:r>
        <w:rPr>
          <w:rFonts w:hint="eastAsia" w:cs="Times New Roman"/>
          <w:b/>
          <w:bCs/>
          <w:szCs w:val="28"/>
        </w:rPr>
        <w:t>污染减排</w:t>
      </w:r>
    </w:p>
    <w:p w14:paraId="691C5A56">
      <w:pPr>
        <w:ind w:firstLine="562"/>
        <w:rPr>
          <w:rFonts w:hint="eastAsia" w:eastAsia="仿宋" w:cs="Times New Roman"/>
          <w:szCs w:val="28"/>
          <w:lang w:val="en-US" w:eastAsia="zh-CN"/>
        </w:rPr>
      </w:pPr>
      <w:r>
        <w:rPr>
          <w:rFonts w:cs="Times New Roman"/>
          <w:b/>
          <w:szCs w:val="28"/>
        </w:rPr>
        <w:t>完善高新区基础设施。</w:t>
      </w:r>
      <w:r>
        <w:rPr>
          <w:rFonts w:cs="Times New Roman"/>
          <w:szCs w:val="28"/>
        </w:rPr>
        <w:t>开展歪头山独立工矿区雨污分流工程，新建雨污</w:t>
      </w:r>
      <w:r>
        <w:rPr>
          <w:rFonts w:hint="eastAsia" w:cs="Times New Roman"/>
          <w:szCs w:val="28"/>
        </w:rPr>
        <w:t>分流</w:t>
      </w:r>
      <w:r>
        <w:rPr>
          <w:rFonts w:cs="Times New Roman"/>
          <w:szCs w:val="28"/>
        </w:rPr>
        <w:t>管网</w:t>
      </w:r>
      <w:r>
        <w:rPr>
          <w:rFonts w:hint="eastAsia" w:cs="Times New Roman"/>
          <w:szCs w:val="28"/>
          <w:lang w:val="en-US"/>
        </w:rPr>
        <w:t>5公里</w:t>
      </w:r>
      <w:r>
        <w:rPr>
          <w:rFonts w:cs="Times New Roman"/>
          <w:szCs w:val="28"/>
        </w:rPr>
        <w:t>，确保矿区的污水能够全部收集处理；完善沙河东路、西路</w:t>
      </w:r>
      <w:r>
        <w:rPr>
          <w:rFonts w:hint="eastAsia" w:cs="Times New Roman"/>
          <w:szCs w:val="28"/>
          <w:lang w:val="en-US" w:eastAsia="zh-CN"/>
        </w:rPr>
        <w:t>污水</w:t>
      </w:r>
      <w:r>
        <w:rPr>
          <w:rFonts w:cs="Times New Roman"/>
          <w:szCs w:val="28"/>
        </w:rPr>
        <w:t>管网。</w:t>
      </w:r>
      <w:r>
        <w:rPr>
          <w:rFonts w:hint="eastAsia" w:cs="Times New Roman"/>
          <w:szCs w:val="28"/>
          <w:lang w:val="en-US"/>
        </w:rPr>
        <w:t>松木堡、石桥子老街、滨河工业区污水收集至市政污水处理厂集中处置，取消临时污水处理站</w:t>
      </w:r>
      <w:r>
        <w:rPr>
          <w:rFonts w:hint="eastAsia" w:cs="Times New Roman"/>
          <w:szCs w:val="28"/>
          <w:lang w:val="en-US" w:eastAsia="zh-CN"/>
        </w:rPr>
        <w:t>。</w:t>
      </w:r>
    </w:p>
    <w:p w14:paraId="5562C190">
      <w:pPr>
        <w:ind w:firstLine="562"/>
        <w:rPr>
          <w:rFonts w:cs="Times New Roman"/>
          <w:szCs w:val="28"/>
        </w:rPr>
      </w:pPr>
      <w:r>
        <w:rPr>
          <w:rFonts w:cs="Times New Roman"/>
          <w:b/>
          <w:szCs w:val="28"/>
          <w:lang w:val="en-US"/>
        </w:rPr>
        <w:t>工业集聚区污水集中处理设施建设与改造。</w:t>
      </w:r>
      <w:r>
        <w:rPr>
          <w:rFonts w:cs="Times New Roman"/>
          <w:szCs w:val="28"/>
        </w:rPr>
        <w:t>建设国家辽宁（本溪）生物医药科技产业园工业污水处理厂，</w:t>
      </w:r>
      <w:r>
        <w:rPr>
          <w:rFonts w:hint="eastAsia" w:cs="Times New Roman"/>
          <w:szCs w:val="28"/>
          <w:lang w:val="en-US" w:eastAsia="zh-CN"/>
        </w:rPr>
        <w:t>规划</w:t>
      </w:r>
      <w:r>
        <w:rPr>
          <w:rFonts w:cs="Times New Roman"/>
          <w:szCs w:val="28"/>
        </w:rPr>
        <w:t>处理能力2万</w:t>
      </w:r>
      <w:r>
        <w:rPr>
          <w:rFonts w:hint="eastAsia" w:cs="Times New Roman"/>
          <w:szCs w:val="28"/>
        </w:rPr>
        <w:t>吨</w:t>
      </w:r>
      <w:r>
        <w:rPr>
          <w:rFonts w:hint="eastAsia" w:cs="Times New Roman"/>
          <w:szCs w:val="28"/>
          <w:lang w:val="en-US"/>
        </w:rPr>
        <w:t>/天</w:t>
      </w:r>
      <w:r>
        <w:rPr>
          <w:rFonts w:cs="Times New Roman"/>
          <w:szCs w:val="28"/>
        </w:rPr>
        <w:t>，合理选择处理工艺，有针对的性的处理工业园区企业污水，提升园区污水管理水平</w:t>
      </w:r>
      <w:r>
        <w:rPr>
          <w:rFonts w:hint="eastAsia" w:cs="Times New Roman"/>
          <w:szCs w:val="28"/>
        </w:rPr>
        <w:t>。</w:t>
      </w:r>
    </w:p>
    <w:p w14:paraId="0D853C87">
      <w:pPr>
        <w:widowControl/>
        <w:ind w:firstLine="562"/>
        <w:jc w:val="left"/>
        <w:textAlignment w:val="center"/>
      </w:pPr>
      <w:r>
        <w:rPr>
          <w:rFonts w:cs="Times New Roman"/>
          <w:b/>
          <w:bCs/>
          <w:szCs w:val="28"/>
        </w:rPr>
        <w:t>（2）水生态</w:t>
      </w:r>
      <w:r>
        <w:rPr>
          <w:rFonts w:hint="eastAsia" w:cs="Times New Roman"/>
          <w:b/>
          <w:bCs/>
          <w:szCs w:val="28"/>
        </w:rPr>
        <w:t>保护修复</w:t>
      </w:r>
    </w:p>
    <w:p w14:paraId="13C8850D">
      <w:pPr>
        <w:ind w:firstLine="562"/>
      </w:pPr>
      <w:r>
        <w:rPr>
          <w:b/>
        </w:rPr>
        <w:t>建设北沙河生态廊道。</w:t>
      </w:r>
      <w:r>
        <w:t>在北沙河南支3号闸至日月桥2.6公里范围以及北沙河黄木支流河入河上游100米至张边线桥2.9公里内建设河道湿地（29公顷）。本溪抚顺交界至沈本线公路桥9.2公里河段，建设自然生态型的渗透性护岸。</w:t>
      </w:r>
    </w:p>
    <w:p w14:paraId="7771144F">
      <w:pPr>
        <w:ind w:firstLine="560"/>
      </w:pPr>
      <w:r>
        <w:rPr>
          <w:b/>
          <w:bCs/>
        </w:rPr>
        <w:t>建设高新区湿地公园。</w:t>
      </w:r>
      <w:r>
        <w:t>在高新区北沙河4号闸至沈本交界6公里范围河道自然恢复生态湿地（13公顷）。本溪市岱金峪河至沈本市界，建设12公顷湿地，提升歪头山污水处理厂尾水水质，补充北沙河生态用水。</w:t>
      </w:r>
    </w:p>
    <w:p w14:paraId="1E5782E1">
      <w:pPr>
        <w:pStyle w:val="4"/>
        <w:bidi w:val="0"/>
      </w:pPr>
      <w:bookmarkStart w:id="122" w:name="_Toc24094"/>
      <w:bookmarkStart w:id="123" w:name="_Toc10285"/>
      <w:bookmarkStart w:id="124" w:name="_Toc9436"/>
      <w:bookmarkStart w:id="125" w:name="_Toc11956"/>
      <w:r>
        <w:t>第四节</w:t>
      </w:r>
      <w:r>
        <w:rPr>
          <w:rFonts w:hint="eastAsia"/>
        </w:rPr>
        <w:t xml:space="preserve">  </w:t>
      </w:r>
      <w:r>
        <w:t>浑江</w:t>
      </w:r>
      <w:bookmarkEnd w:id="122"/>
      <w:bookmarkEnd w:id="123"/>
      <w:bookmarkEnd w:id="124"/>
      <w:bookmarkEnd w:id="125"/>
    </w:p>
    <w:p w14:paraId="22CFC929">
      <w:pPr>
        <w:ind w:firstLine="560"/>
        <w:rPr>
          <w:rFonts w:cs="Times New Roman"/>
          <w:szCs w:val="28"/>
        </w:rPr>
      </w:pPr>
      <w:r>
        <w:rPr>
          <w:rFonts w:hint="eastAsia" w:cs="Times New Roman"/>
          <w:szCs w:val="28"/>
        </w:rPr>
        <w:t>“</w:t>
      </w:r>
      <w:r>
        <w:rPr>
          <w:rFonts w:cs="Times New Roman"/>
          <w:szCs w:val="28"/>
        </w:rPr>
        <w:t>十四五</w:t>
      </w:r>
      <w:r>
        <w:rPr>
          <w:rFonts w:hint="eastAsia" w:cs="Times New Roman"/>
          <w:szCs w:val="28"/>
        </w:rPr>
        <w:t>”</w:t>
      </w:r>
      <w:r>
        <w:rPr>
          <w:rFonts w:cs="Times New Roman"/>
          <w:szCs w:val="28"/>
        </w:rPr>
        <w:t>浑江流域以稳定水质为目标</w:t>
      </w:r>
      <w:r>
        <w:rPr>
          <w:rFonts w:hint="eastAsia" w:cs="Times New Roman"/>
          <w:szCs w:val="28"/>
        </w:rPr>
        <w:t>，</w:t>
      </w:r>
      <w:r>
        <w:rPr>
          <w:rFonts w:cs="Times New Roman"/>
          <w:szCs w:val="28"/>
        </w:rPr>
        <w:t>通过开展桓仁县污水处理设施建设及雨污管网、配套设施建设，生态湿地修复建设等工程，实现浑江本溪段污染物有效削减，金银库沟</w:t>
      </w:r>
      <w:r>
        <w:rPr>
          <w:rFonts w:hint="eastAsia" w:cs="Times New Roman"/>
          <w:szCs w:val="28"/>
        </w:rPr>
        <w:t>门、</w:t>
      </w:r>
      <w:r>
        <w:rPr>
          <w:rFonts w:cs="Times New Roman"/>
          <w:szCs w:val="28"/>
        </w:rPr>
        <w:t>凤鸣电站、大顶子沟</w:t>
      </w:r>
      <w:r>
        <w:rPr>
          <w:rFonts w:hint="eastAsia" w:cs="Times New Roman"/>
          <w:szCs w:val="28"/>
          <w:lang w:val="en-US"/>
        </w:rPr>
        <w:t>3</w:t>
      </w:r>
      <w:r>
        <w:rPr>
          <w:rFonts w:cs="Times New Roman"/>
          <w:szCs w:val="28"/>
        </w:rPr>
        <w:t>个国控断面水质稳定达到地表水</w:t>
      </w:r>
      <w:r>
        <w:rPr>
          <w:rFonts w:eastAsia="宋体" w:cs="Times New Roman"/>
          <w:szCs w:val="28"/>
        </w:rPr>
        <w:t>Ⅱ</w:t>
      </w:r>
      <w:r>
        <w:rPr>
          <w:rFonts w:cs="Times New Roman"/>
          <w:szCs w:val="28"/>
        </w:rPr>
        <w:t>类</w:t>
      </w:r>
      <w:r>
        <w:rPr>
          <w:rFonts w:hint="eastAsia" w:cs="Times New Roman"/>
          <w:szCs w:val="28"/>
        </w:rPr>
        <w:t>。</w:t>
      </w:r>
    </w:p>
    <w:p w14:paraId="63556612">
      <w:pPr>
        <w:ind w:firstLine="562"/>
        <w:rPr>
          <w:rFonts w:cs="Times New Roman"/>
          <w:b/>
        </w:rPr>
      </w:pPr>
      <w:bookmarkStart w:id="126" w:name="_Toc7023"/>
      <w:bookmarkStart w:id="127" w:name="_Toc10863"/>
      <w:r>
        <w:rPr>
          <w:rFonts w:hint="eastAsia" w:cs="Times New Roman"/>
          <w:b/>
        </w:rPr>
        <w:t>（一）</w:t>
      </w:r>
      <w:r>
        <w:rPr>
          <w:rFonts w:cs="Times New Roman"/>
          <w:b/>
        </w:rPr>
        <w:t>凤鸣电站以上</w:t>
      </w:r>
      <w:bookmarkEnd w:id="126"/>
      <w:bookmarkEnd w:id="127"/>
    </w:p>
    <w:p w14:paraId="54941288">
      <w:pPr>
        <w:ind w:firstLine="560"/>
        <w:rPr>
          <w:rFonts w:cs="Times New Roman"/>
        </w:rPr>
      </w:pPr>
      <w:r>
        <w:rPr>
          <w:rFonts w:cs="Times New Roman"/>
        </w:rPr>
        <w:t>浑江输水河道、桓仁水库库区两者同为大伙房水源地，为一个有机整体，因此，将金银库沟门和凤鸣电站</w:t>
      </w:r>
      <w:r>
        <w:rPr>
          <w:rFonts w:hint="eastAsia" w:cs="Times New Roman"/>
        </w:rPr>
        <w:t>汇水范围</w:t>
      </w:r>
      <w:r>
        <w:rPr>
          <w:rFonts w:cs="Times New Roman"/>
        </w:rPr>
        <w:t>作为一整体，进行保护。</w:t>
      </w:r>
    </w:p>
    <w:p w14:paraId="5B399B18">
      <w:pPr>
        <w:ind w:firstLine="562"/>
        <w:rPr>
          <w:rFonts w:cs="Times New Roman"/>
          <w:b/>
          <w:bCs/>
          <w:szCs w:val="28"/>
        </w:rPr>
      </w:pPr>
      <w:r>
        <w:rPr>
          <w:rFonts w:hint="eastAsia" w:cs="Times New Roman"/>
          <w:b/>
          <w:bCs/>
          <w:szCs w:val="28"/>
        </w:rPr>
        <w:t>（1）加强联动</w:t>
      </w:r>
    </w:p>
    <w:p w14:paraId="1FF3F5FA">
      <w:pPr>
        <w:ind w:firstLine="560"/>
        <w:rPr>
          <w:rFonts w:cs="Times New Roman"/>
          <w:bCs/>
          <w:szCs w:val="28"/>
        </w:rPr>
      </w:pPr>
      <w:r>
        <w:rPr>
          <w:rFonts w:cs="Times New Roman"/>
        </w:rPr>
        <w:t>通过省政府、省生态环境厅，与吉林省加强沟通，建立联防联控机制</w:t>
      </w:r>
      <w:r>
        <w:rPr>
          <w:rFonts w:cs="Times New Roman"/>
          <w:bCs/>
          <w:szCs w:val="28"/>
        </w:rPr>
        <w:t>。</w:t>
      </w:r>
    </w:p>
    <w:p w14:paraId="08903BFC">
      <w:pPr>
        <w:ind w:firstLine="562"/>
        <w:rPr>
          <w:rFonts w:cs="Times New Roman"/>
          <w:b/>
          <w:bCs/>
          <w:szCs w:val="28"/>
        </w:rPr>
      </w:pPr>
      <w:r>
        <w:rPr>
          <w:rFonts w:hint="eastAsia"/>
          <w:b/>
        </w:rPr>
        <w:t>（2）</w:t>
      </w:r>
      <w:r>
        <w:rPr>
          <w:rFonts w:hint="eastAsia" w:cs="Times New Roman"/>
          <w:b/>
          <w:bCs/>
          <w:szCs w:val="28"/>
        </w:rPr>
        <w:t>污染减排</w:t>
      </w:r>
    </w:p>
    <w:p w14:paraId="2D7507A1">
      <w:pPr>
        <w:ind w:firstLine="562"/>
        <w:rPr>
          <w:rFonts w:cs="Times New Roman"/>
          <w:bCs/>
          <w:kern w:val="2"/>
          <w:szCs w:val="28"/>
          <w:lang w:val="en-US" w:bidi="ar-SA"/>
        </w:rPr>
      </w:pPr>
      <w:r>
        <w:rPr>
          <w:rFonts w:hint="eastAsia" w:cs="Times New Roman"/>
          <w:b/>
          <w:bCs/>
          <w:szCs w:val="28"/>
        </w:rPr>
        <w:t>加强</w:t>
      </w:r>
      <w:r>
        <w:rPr>
          <w:rFonts w:cs="Times New Roman"/>
          <w:b/>
          <w:bCs/>
          <w:szCs w:val="28"/>
        </w:rPr>
        <w:t>桓仁县</w:t>
      </w:r>
      <w:r>
        <w:rPr>
          <w:rFonts w:hint="eastAsia" w:cs="Times New Roman"/>
          <w:b/>
          <w:bCs/>
          <w:szCs w:val="28"/>
        </w:rPr>
        <w:t>基础设施建设</w:t>
      </w:r>
      <w:r>
        <w:rPr>
          <w:rFonts w:cs="Times New Roman"/>
          <w:b/>
          <w:bCs/>
          <w:szCs w:val="28"/>
        </w:rPr>
        <w:t>。</w:t>
      </w:r>
      <w:r>
        <w:rPr>
          <w:rFonts w:cs="Times New Roman"/>
          <w:bCs/>
          <w:szCs w:val="28"/>
        </w:rPr>
        <w:t>对桓仁县的古城镇等乡镇进行污水处理设施改造及管网完善工程，</w:t>
      </w:r>
      <w:r>
        <w:rPr>
          <w:rFonts w:cs="Times New Roman"/>
          <w:bCs/>
          <w:kern w:val="2"/>
          <w:szCs w:val="28"/>
          <w:lang w:val="en-US" w:bidi="ar-SA"/>
        </w:rPr>
        <w:t>实施桓仁县</w:t>
      </w:r>
      <w:r>
        <w:rPr>
          <w:rFonts w:cs="Times New Roman"/>
          <w:bCs/>
          <w:kern w:val="2"/>
          <w:szCs w:val="28"/>
        </w:rPr>
        <w:t>污水处理厂扩容改造及配套管线改造、</w:t>
      </w:r>
      <w:r>
        <w:rPr>
          <w:rFonts w:cs="Times New Roman"/>
          <w:bCs/>
          <w:kern w:val="2"/>
          <w:szCs w:val="28"/>
          <w:lang w:val="en-US" w:bidi="ar-SA"/>
        </w:rPr>
        <w:t>县城污水管网维护</w:t>
      </w:r>
      <w:r>
        <w:rPr>
          <w:rFonts w:hint="eastAsia" w:cs="Times New Roman"/>
          <w:bCs/>
          <w:kern w:val="2"/>
          <w:szCs w:val="28"/>
          <w:lang w:val="en-US" w:eastAsia="zh-CN" w:bidi="ar-SA"/>
        </w:rPr>
        <w:t>及</w:t>
      </w:r>
      <w:r>
        <w:rPr>
          <w:rFonts w:cs="Times New Roman"/>
          <w:bCs/>
          <w:kern w:val="2"/>
          <w:szCs w:val="28"/>
          <w:lang w:val="en-US" w:bidi="ar-SA"/>
        </w:rPr>
        <w:t>改造工作，推进雨污分流，</w:t>
      </w:r>
      <w:r>
        <w:rPr>
          <w:rFonts w:cs="Times New Roman"/>
          <w:bCs/>
          <w:szCs w:val="28"/>
        </w:rPr>
        <w:t>大幅减少居民生活污水散排，削减污染物入河量。</w:t>
      </w:r>
    </w:p>
    <w:p w14:paraId="57BF17D0">
      <w:pPr>
        <w:ind w:firstLine="562"/>
        <w:rPr>
          <w:rFonts w:cs="Times New Roman"/>
          <w:bCs/>
          <w:szCs w:val="28"/>
        </w:rPr>
      </w:pPr>
      <w:r>
        <w:rPr>
          <w:rFonts w:cs="Times New Roman"/>
          <w:b/>
          <w:bCs/>
          <w:szCs w:val="28"/>
        </w:rPr>
        <w:t>加强种植污染管控。</w:t>
      </w:r>
      <w:r>
        <w:rPr>
          <w:rFonts w:cs="Times New Roman"/>
          <w:bCs/>
          <w:szCs w:val="28"/>
        </w:rPr>
        <w:t>在古城镇、北甸子乡</w:t>
      </w:r>
      <w:r>
        <w:rPr>
          <w:rFonts w:hint="eastAsia" w:cs="Times New Roman"/>
          <w:bCs/>
          <w:szCs w:val="28"/>
        </w:rPr>
        <w:t>、</w:t>
      </w:r>
      <w:r>
        <w:rPr>
          <w:rFonts w:cs="Times New Roman"/>
          <w:bCs/>
          <w:szCs w:val="28"/>
        </w:rPr>
        <w:t>二棚甸子镇推广农业种植绿色防控，鼓励农户使用农家肥、商品有机肥，逐步增加农田有机肥施用量，推广低毒、低残留农药使用范围和精准施药，加强对农药包装瓶等废弃物管理。</w:t>
      </w:r>
    </w:p>
    <w:p w14:paraId="59D3E2D2">
      <w:pPr>
        <w:ind w:firstLine="562"/>
        <w:rPr>
          <w:rFonts w:cs="Times New Roman"/>
          <w:b/>
          <w:bCs/>
          <w:szCs w:val="28"/>
        </w:rPr>
      </w:pPr>
      <w:r>
        <w:rPr>
          <w:rFonts w:hint="eastAsia"/>
          <w:b/>
          <w:lang w:val="en-US"/>
        </w:rPr>
        <w:t>（2）水生态保护修复</w:t>
      </w:r>
    </w:p>
    <w:p w14:paraId="3548510D">
      <w:pPr>
        <w:ind w:firstLine="562"/>
        <w:rPr>
          <w:rFonts w:cs="Times New Roman"/>
          <w:bCs/>
          <w:szCs w:val="28"/>
        </w:rPr>
      </w:pPr>
      <w:r>
        <w:rPr>
          <w:rFonts w:cs="Times New Roman"/>
          <w:b/>
          <w:bCs/>
          <w:szCs w:val="28"/>
        </w:rPr>
        <w:t>桓仁水库生态环境治理</w:t>
      </w:r>
      <w:r>
        <w:rPr>
          <w:rFonts w:hint="eastAsia" w:cs="Times New Roman"/>
          <w:b/>
          <w:bCs/>
          <w:szCs w:val="28"/>
        </w:rPr>
        <w:t>。</w:t>
      </w:r>
      <w:r>
        <w:rPr>
          <w:rFonts w:cs="Times New Roman"/>
          <w:bCs/>
          <w:szCs w:val="28"/>
        </w:rPr>
        <w:t>定期</w:t>
      </w:r>
      <w:r>
        <w:rPr>
          <w:rFonts w:hint="eastAsia" w:cs="Times New Roman"/>
          <w:bCs/>
          <w:szCs w:val="28"/>
          <w:lang w:eastAsia="zh-CN"/>
        </w:rPr>
        <w:t>清理</w:t>
      </w:r>
      <w:r>
        <w:rPr>
          <w:rFonts w:cs="Times New Roman"/>
          <w:bCs/>
          <w:szCs w:val="28"/>
        </w:rPr>
        <w:t>桓仁水库</w:t>
      </w:r>
      <w:r>
        <w:rPr>
          <w:rFonts w:hint="eastAsia" w:cs="Times New Roman"/>
          <w:bCs/>
          <w:szCs w:val="28"/>
          <w:lang w:eastAsia="zh-CN"/>
        </w:rPr>
        <w:t>库区垃圾，定期清除</w:t>
      </w:r>
      <w:r>
        <w:rPr>
          <w:rFonts w:cs="Times New Roman"/>
          <w:bCs/>
          <w:szCs w:val="28"/>
        </w:rPr>
        <w:t>输水河道水草，减少进入水库的污染物量，保障水库水质安全。</w:t>
      </w:r>
      <w:r>
        <w:rPr>
          <w:rFonts w:hint="eastAsia" w:cs="Times New Roman"/>
          <w:bCs/>
          <w:szCs w:val="28"/>
        </w:rPr>
        <w:t>开展水生态环境调查，了解相关情况，对进一步</w:t>
      </w:r>
      <w:r>
        <w:rPr>
          <w:rFonts w:cs="Times New Roman"/>
          <w:bCs/>
          <w:szCs w:val="28"/>
        </w:rPr>
        <w:t>提高桓仁水库周边生态环境</w:t>
      </w:r>
      <w:r>
        <w:rPr>
          <w:rFonts w:hint="eastAsia" w:cs="Times New Roman"/>
          <w:bCs/>
          <w:szCs w:val="28"/>
        </w:rPr>
        <w:t>提供基础</w:t>
      </w:r>
      <w:r>
        <w:rPr>
          <w:rFonts w:cs="Times New Roman"/>
          <w:bCs/>
          <w:szCs w:val="28"/>
        </w:rPr>
        <w:t>。</w:t>
      </w:r>
    </w:p>
    <w:p w14:paraId="232CCBB8">
      <w:pPr>
        <w:ind w:firstLine="562"/>
        <w:rPr>
          <w:rFonts w:cs="Times New Roman"/>
          <w:b/>
          <w:bCs/>
          <w:szCs w:val="28"/>
        </w:rPr>
      </w:pPr>
      <w:r>
        <w:rPr>
          <w:rFonts w:hint="eastAsia"/>
          <w:b/>
          <w:lang w:val="en-US"/>
        </w:rPr>
        <w:t>（3）加强饮用水水源地规范化建设</w:t>
      </w:r>
    </w:p>
    <w:p w14:paraId="3A77034B">
      <w:pPr>
        <w:ind w:firstLine="560"/>
        <w:rPr>
          <w:rFonts w:cs="Times New Roman"/>
          <w:bCs/>
          <w:szCs w:val="28"/>
        </w:rPr>
      </w:pPr>
      <w:r>
        <w:rPr>
          <w:rFonts w:cs="Times New Roman"/>
          <w:bCs/>
          <w:szCs w:val="28"/>
        </w:rPr>
        <w:t>在一级、二级保护区穿越道桥、人类活动扰动大的关键区域完善隔离封育工作、设置视频监控。</w:t>
      </w:r>
    </w:p>
    <w:p w14:paraId="08E92967">
      <w:pPr>
        <w:ind w:firstLine="562"/>
        <w:rPr>
          <w:rFonts w:cs="Times New Roman"/>
        </w:rPr>
      </w:pPr>
      <w:bookmarkStart w:id="128" w:name="_Toc4917"/>
      <w:bookmarkStart w:id="129" w:name="_Toc6037"/>
      <w:bookmarkStart w:id="130" w:name="_Toc25988"/>
      <w:r>
        <w:rPr>
          <w:rFonts w:hint="eastAsia" w:cs="Times New Roman"/>
          <w:b/>
        </w:rPr>
        <w:t>（二）</w:t>
      </w:r>
      <w:r>
        <w:rPr>
          <w:rFonts w:cs="Times New Roman"/>
          <w:b/>
        </w:rPr>
        <w:t>凤鸣电站至</w:t>
      </w:r>
      <w:r>
        <w:rPr>
          <w:rFonts w:hint="eastAsia" w:cs="Times New Roman"/>
          <w:b/>
        </w:rPr>
        <w:t>大顶子沟</w:t>
      </w:r>
      <w:r>
        <w:rPr>
          <w:rFonts w:cs="Times New Roman"/>
          <w:b/>
        </w:rPr>
        <w:t>段</w:t>
      </w:r>
      <w:bookmarkEnd w:id="128"/>
      <w:bookmarkEnd w:id="129"/>
      <w:bookmarkEnd w:id="130"/>
    </w:p>
    <w:p w14:paraId="4D11457D">
      <w:pPr>
        <w:ind w:firstLine="560"/>
        <w:rPr>
          <w:rFonts w:cs="Times New Roman"/>
          <w:bCs/>
          <w:szCs w:val="28"/>
        </w:rPr>
      </w:pPr>
      <w:r>
        <w:rPr>
          <w:rFonts w:hint="eastAsia" w:cs="Times New Roman"/>
          <w:bCs/>
          <w:szCs w:val="28"/>
        </w:rPr>
        <w:t>通过加强面源管控，保障</w:t>
      </w:r>
      <w:r>
        <w:rPr>
          <w:rFonts w:cs="Times New Roman"/>
          <w:bCs/>
          <w:szCs w:val="28"/>
        </w:rPr>
        <w:t>大顶子沟断面水质稳定达到地表水</w:t>
      </w:r>
      <w:r>
        <w:rPr>
          <w:rFonts w:hint="eastAsia" w:ascii="宋体" w:hAnsi="宋体" w:eastAsia="宋体" w:cs="宋体"/>
          <w:bCs/>
          <w:szCs w:val="28"/>
        </w:rPr>
        <w:t>Ⅱ</w:t>
      </w:r>
      <w:r>
        <w:rPr>
          <w:rFonts w:cs="Times New Roman"/>
          <w:bCs/>
          <w:szCs w:val="28"/>
        </w:rPr>
        <w:t>类。</w:t>
      </w:r>
    </w:p>
    <w:p w14:paraId="3505D01E">
      <w:pPr>
        <w:ind w:firstLine="562"/>
        <w:rPr>
          <w:rFonts w:cs="Times New Roman"/>
          <w:bCs/>
          <w:szCs w:val="28"/>
        </w:rPr>
      </w:pPr>
      <w:r>
        <w:rPr>
          <w:rFonts w:cs="Times New Roman"/>
          <w:b/>
          <w:bCs/>
          <w:szCs w:val="28"/>
        </w:rPr>
        <w:t>加强种植污染管控。</w:t>
      </w:r>
      <w:r>
        <w:rPr>
          <w:rFonts w:cs="Times New Roman"/>
          <w:bCs/>
          <w:szCs w:val="28"/>
        </w:rPr>
        <w:t>对河道沿岸雅河朝鲜族乡</w:t>
      </w:r>
      <w:r>
        <w:rPr>
          <w:rFonts w:hint="eastAsia" w:cs="Times New Roman"/>
          <w:bCs/>
          <w:szCs w:val="28"/>
        </w:rPr>
        <w:t>、</w:t>
      </w:r>
      <w:r>
        <w:rPr>
          <w:rFonts w:cs="Times New Roman"/>
          <w:bCs/>
          <w:szCs w:val="28"/>
        </w:rPr>
        <w:t>沙尖子镇、五里甸子镇推广农业种植绿色防控，鼓励农户使用农家肥、商品有机肥，逐步增加农田有机肥施用量，推广低毒、低残留农药使用范围和精准施药，加强对农药包装瓶等废弃物管理。</w:t>
      </w:r>
    </w:p>
    <w:p w14:paraId="4C8807E2">
      <w:pPr>
        <w:pStyle w:val="4"/>
        <w:bidi w:val="0"/>
      </w:pPr>
      <w:bookmarkStart w:id="131" w:name="_Toc23704"/>
      <w:bookmarkStart w:id="132" w:name="_Toc2875"/>
      <w:bookmarkStart w:id="133" w:name="_Toc9896"/>
      <w:bookmarkStart w:id="134" w:name="_Toc28822"/>
      <w:r>
        <w:t>第五节</w:t>
      </w:r>
      <w:r>
        <w:rPr>
          <w:rFonts w:hint="eastAsia"/>
        </w:rPr>
        <w:t xml:space="preserve">  </w:t>
      </w:r>
      <w:r>
        <w:t>草河</w:t>
      </w:r>
      <w:bookmarkEnd w:id="131"/>
      <w:bookmarkEnd w:id="132"/>
      <w:bookmarkEnd w:id="133"/>
      <w:bookmarkEnd w:id="134"/>
    </w:p>
    <w:p w14:paraId="149A3A62">
      <w:pPr>
        <w:widowControl/>
        <w:ind w:firstLine="560"/>
        <w:jc w:val="left"/>
        <w:textAlignment w:val="center"/>
        <w:rPr>
          <w:rFonts w:cs="Times New Roman"/>
          <w:bCs/>
          <w:szCs w:val="28"/>
        </w:rPr>
      </w:pPr>
      <w:bookmarkStart w:id="135" w:name="_Toc25790"/>
      <w:bookmarkStart w:id="136" w:name="_Toc20397"/>
      <w:bookmarkStart w:id="137" w:name="_Toc12305"/>
      <w:r>
        <w:rPr>
          <w:rFonts w:hint="eastAsia" w:cs="Times New Roman"/>
          <w:bCs/>
          <w:szCs w:val="28"/>
        </w:rPr>
        <w:t>实施农村环境综合整治及种植业管控，保障河南堡</w:t>
      </w:r>
      <w:r>
        <w:rPr>
          <w:rFonts w:cs="Times New Roman"/>
          <w:bCs/>
          <w:szCs w:val="28"/>
        </w:rPr>
        <w:t>断面水质稳定达到</w:t>
      </w:r>
      <w:r>
        <w:rPr>
          <w:rFonts w:cs="Times New Roman"/>
          <w:szCs w:val="28"/>
        </w:rPr>
        <w:t>地表水Ⅱ类</w:t>
      </w:r>
      <w:r>
        <w:rPr>
          <w:rFonts w:cs="Times New Roman"/>
          <w:bCs/>
          <w:szCs w:val="28"/>
        </w:rPr>
        <w:t>。</w:t>
      </w:r>
    </w:p>
    <w:bookmarkEnd w:id="135"/>
    <w:bookmarkEnd w:id="136"/>
    <w:bookmarkEnd w:id="137"/>
    <w:p w14:paraId="013F884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left"/>
        <w:textAlignment w:val="auto"/>
        <w:rPr>
          <w:rFonts w:hint="eastAsia" w:cs="Times New Roman"/>
          <w:bCs/>
          <w:szCs w:val="28"/>
          <w:lang w:val="en-US" w:eastAsia="zh-CN"/>
        </w:rPr>
      </w:pPr>
      <w:r>
        <w:rPr>
          <w:rFonts w:hint="eastAsia" w:cs="Times New Roman"/>
          <w:b/>
          <w:bCs/>
          <w:szCs w:val="28"/>
        </w:rPr>
        <w:t>农村环境综合整治。</w:t>
      </w:r>
      <w:r>
        <w:rPr>
          <w:rFonts w:hint="eastAsia" w:cs="Times New Roman"/>
          <w:bCs/>
          <w:szCs w:val="28"/>
          <w:lang w:val="en-US" w:eastAsia="zh-CN"/>
        </w:rPr>
        <w:t>草河口、草河城、草河掌镇开展环境综合治理；实施生活垃圾集中收集、转运、处置工作，大幅消减污染物入河量。</w:t>
      </w:r>
    </w:p>
    <w:p w14:paraId="57094C35">
      <w:pPr>
        <w:ind w:firstLine="562"/>
        <w:jc w:val="left"/>
        <w:rPr>
          <w:rFonts w:cs="Times New Roman"/>
          <w:bCs/>
          <w:szCs w:val="28"/>
        </w:rPr>
      </w:pPr>
      <w:r>
        <w:rPr>
          <w:rFonts w:cs="Times New Roman"/>
          <w:b/>
          <w:bCs/>
          <w:szCs w:val="28"/>
        </w:rPr>
        <w:t>种植业污染防治。</w:t>
      </w:r>
      <w:r>
        <w:rPr>
          <w:rFonts w:cs="Times New Roman"/>
          <w:bCs/>
          <w:szCs w:val="28"/>
        </w:rPr>
        <w:t>对河道沿岸乡镇推广农业种植绿色防控，鼓励农户使用农家肥、商品有机肥，逐步增加农田有机肥施用量，推广低毒、低残留农药使用范围和精准施药，降低区域农药施用量和减少农药包装瓶等废弃物随雨水流入河道。</w:t>
      </w:r>
    </w:p>
    <w:p w14:paraId="0FA42B42">
      <w:pPr>
        <w:ind w:firstLine="560"/>
        <w:rPr>
          <w:rFonts w:cs="Times New Roman"/>
        </w:rPr>
      </w:pPr>
      <w:r>
        <w:rPr>
          <w:rFonts w:cs="Times New Roman"/>
        </w:rPr>
        <w:br w:type="page"/>
      </w:r>
    </w:p>
    <w:p w14:paraId="22829303">
      <w:pPr>
        <w:pStyle w:val="3"/>
        <w:bidi w:val="0"/>
        <w:rPr>
          <w:lang w:val="en-US"/>
        </w:rPr>
      </w:pPr>
      <w:bookmarkStart w:id="138" w:name="25、柳壕河"/>
      <w:bookmarkEnd w:id="138"/>
      <w:bookmarkStart w:id="139" w:name="_bookmark77"/>
      <w:bookmarkEnd w:id="139"/>
      <w:bookmarkStart w:id="140" w:name="13、东沙河"/>
      <w:bookmarkEnd w:id="140"/>
      <w:bookmarkStart w:id="141" w:name="_bookmark82"/>
      <w:bookmarkEnd w:id="141"/>
      <w:bookmarkStart w:id="142" w:name="_bookmark54"/>
      <w:bookmarkEnd w:id="142"/>
      <w:bookmarkStart w:id="143" w:name="_bookmark67"/>
      <w:bookmarkEnd w:id="143"/>
      <w:bookmarkStart w:id="144" w:name="（三）浑河"/>
      <w:bookmarkEnd w:id="144"/>
      <w:bookmarkStart w:id="145" w:name="_bookmark65"/>
      <w:bookmarkEnd w:id="145"/>
      <w:bookmarkStart w:id="146" w:name="22、杨柳河"/>
      <w:bookmarkEnd w:id="146"/>
      <w:bookmarkStart w:id="147" w:name="_bookmark83"/>
      <w:bookmarkEnd w:id="147"/>
      <w:bookmarkStart w:id="148" w:name="17、苏子河"/>
      <w:bookmarkEnd w:id="148"/>
      <w:bookmarkStart w:id="149" w:name="_bookmark85"/>
      <w:bookmarkEnd w:id="149"/>
      <w:bookmarkStart w:id="150" w:name="18、大伙房水库"/>
      <w:bookmarkEnd w:id="150"/>
      <w:bookmarkStart w:id="151" w:name="1、招苏台河"/>
      <w:bookmarkEnd w:id="151"/>
      <w:bookmarkStart w:id="152" w:name="11、柳河"/>
      <w:bookmarkEnd w:id="152"/>
      <w:bookmarkStart w:id="153" w:name="29、女儿河"/>
      <w:bookmarkEnd w:id="153"/>
      <w:bookmarkStart w:id="154" w:name="_bookmark81"/>
      <w:bookmarkEnd w:id="154"/>
      <w:bookmarkStart w:id="155" w:name="_bookmark84"/>
      <w:bookmarkEnd w:id="155"/>
      <w:bookmarkStart w:id="156" w:name="_bookmark80"/>
      <w:bookmarkEnd w:id="156"/>
      <w:bookmarkStart w:id="157" w:name="_bookmark64"/>
      <w:bookmarkEnd w:id="157"/>
      <w:bookmarkStart w:id="158" w:name="_bookmark78"/>
      <w:bookmarkEnd w:id="158"/>
      <w:bookmarkStart w:id="159" w:name="14、庞家河"/>
      <w:bookmarkEnd w:id="159"/>
      <w:bookmarkStart w:id="160" w:name="_bookmark72"/>
      <w:bookmarkEnd w:id="160"/>
      <w:bookmarkStart w:id="161" w:name="27、葠窝水库"/>
      <w:bookmarkEnd w:id="161"/>
      <w:bookmarkStart w:id="162" w:name="16、社河"/>
      <w:bookmarkEnd w:id="162"/>
      <w:bookmarkStart w:id="163" w:name="15、小柳河"/>
      <w:bookmarkEnd w:id="163"/>
      <w:bookmarkStart w:id="164" w:name="_bookmark71"/>
      <w:bookmarkEnd w:id="164"/>
      <w:bookmarkStart w:id="165" w:name="19、蒲河"/>
      <w:bookmarkEnd w:id="165"/>
      <w:bookmarkStart w:id="166" w:name="_bookmark86"/>
      <w:bookmarkEnd w:id="166"/>
      <w:bookmarkStart w:id="167" w:name="（四）太子河"/>
      <w:bookmarkEnd w:id="167"/>
      <w:bookmarkStart w:id="168" w:name="_bookmark70"/>
      <w:bookmarkEnd w:id="168"/>
      <w:bookmarkStart w:id="169" w:name="_bookmark74"/>
      <w:bookmarkEnd w:id="169"/>
      <w:bookmarkStart w:id="170" w:name="_bookmark76"/>
      <w:bookmarkEnd w:id="170"/>
      <w:bookmarkStart w:id="171" w:name="26、汤河"/>
      <w:bookmarkEnd w:id="171"/>
      <w:bookmarkStart w:id="172" w:name="_bookmark79"/>
      <w:bookmarkEnd w:id="172"/>
      <w:bookmarkStart w:id="173" w:name="24、细河（本溪）"/>
      <w:bookmarkEnd w:id="173"/>
      <w:bookmarkStart w:id="174" w:name="_bookmark106"/>
      <w:bookmarkEnd w:id="174"/>
      <w:bookmarkStart w:id="175" w:name="_bookmark75"/>
      <w:bookmarkEnd w:id="175"/>
      <w:bookmarkStart w:id="176" w:name="第六章_保障措施"/>
      <w:bookmarkEnd w:id="176"/>
      <w:bookmarkStart w:id="177" w:name="20、细河（沈阳）"/>
      <w:bookmarkEnd w:id="177"/>
      <w:bookmarkStart w:id="178" w:name="30、白石水库"/>
      <w:bookmarkEnd w:id="178"/>
      <w:bookmarkStart w:id="179" w:name="_bookmark68"/>
      <w:bookmarkEnd w:id="179"/>
      <w:bookmarkStart w:id="180" w:name="_bookmark73"/>
      <w:bookmarkEnd w:id="180"/>
      <w:bookmarkStart w:id="181" w:name="21、北沙河"/>
      <w:bookmarkEnd w:id="181"/>
      <w:bookmarkStart w:id="182" w:name="_bookmark69"/>
      <w:bookmarkEnd w:id="182"/>
      <w:bookmarkStart w:id="183" w:name="28、细河（阜新）"/>
      <w:bookmarkEnd w:id="183"/>
      <w:bookmarkStart w:id="184" w:name="12、绕阳河"/>
      <w:bookmarkEnd w:id="184"/>
      <w:bookmarkStart w:id="185" w:name="_bookmark66"/>
      <w:bookmarkEnd w:id="185"/>
      <w:bookmarkStart w:id="186" w:name="23、南太子河"/>
      <w:bookmarkEnd w:id="186"/>
      <w:bookmarkStart w:id="187" w:name="（五）大小凌河"/>
      <w:bookmarkEnd w:id="187"/>
      <w:bookmarkStart w:id="188" w:name="_Toc21493"/>
      <w:r>
        <w:t>第六章 骨干工程项目及投资</w:t>
      </w:r>
      <w:bookmarkEnd w:id="188"/>
    </w:p>
    <w:p w14:paraId="3D103079">
      <w:pPr>
        <w:ind w:firstLine="560"/>
        <w:rPr>
          <w:rFonts w:cs="Times New Roman"/>
          <w:lang w:val="en-US"/>
        </w:rPr>
      </w:pPr>
      <w:r>
        <w:rPr>
          <w:rFonts w:cs="Times New Roman"/>
          <w:lang w:val="en-US"/>
        </w:rPr>
        <w:t>全市按照</w:t>
      </w:r>
      <w:r>
        <w:rPr>
          <w:rFonts w:hint="eastAsia" w:cs="Times New Roman"/>
          <w:lang w:val="en-US"/>
        </w:rPr>
        <w:t>3大水系</w:t>
      </w:r>
      <w:r>
        <w:rPr>
          <w:rFonts w:cs="Times New Roman"/>
          <w:lang w:val="en-US"/>
        </w:rPr>
        <w:t>、1</w:t>
      </w:r>
      <w:r>
        <w:rPr>
          <w:rFonts w:hint="eastAsia" w:cs="Times New Roman"/>
          <w:lang w:val="en-US"/>
        </w:rPr>
        <w:t>2</w:t>
      </w:r>
      <w:r>
        <w:rPr>
          <w:rFonts w:cs="Times New Roman"/>
          <w:lang w:val="en-US"/>
        </w:rPr>
        <w:t>个国控断面汇水</w:t>
      </w:r>
      <w:r>
        <w:rPr>
          <w:rFonts w:hint="eastAsia" w:cs="Times New Roman"/>
          <w:lang w:val="en-US"/>
        </w:rPr>
        <w:t>范围</w:t>
      </w:r>
      <w:r>
        <w:rPr>
          <w:rFonts w:cs="Times New Roman"/>
          <w:lang w:val="en-US"/>
        </w:rPr>
        <w:t>，规划饮用水源保护、污染减排、水生态保护修复、水环境风险防控等四大类别，饮用水水源地规范化建设、</w:t>
      </w:r>
      <w:r>
        <w:rPr>
          <w:rFonts w:cs="Times New Roman"/>
          <w:szCs w:val="28"/>
          <w:lang w:val="en-US"/>
        </w:rPr>
        <w:t>城镇污水处理及管网建设、工业污染防治、农业农村污染防治、水生态保</w:t>
      </w:r>
      <w:r>
        <w:rPr>
          <w:rFonts w:cs="Times New Roman"/>
          <w:lang w:val="en-US"/>
        </w:rPr>
        <w:t>护修复、风险预防等</w:t>
      </w:r>
      <w:r>
        <w:rPr>
          <w:rFonts w:hint="eastAsia" w:cs="Times New Roman"/>
          <w:lang w:val="en-US"/>
        </w:rPr>
        <w:t>六个</w:t>
      </w:r>
      <w:r>
        <w:rPr>
          <w:rFonts w:cs="Times New Roman"/>
          <w:lang w:val="en-US"/>
        </w:rPr>
        <w:t>项目大类</w:t>
      </w:r>
      <w:r>
        <w:rPr>
          <w:rFonts w:hint="eastAsia" w:cs="Times New Roman"/>
          <w:lang w:val="en-US"/>
        </w:rPr>
        <w:t>，</w:t>
      </w:r>
      <w:r>
        <w:rPr>
          <w:rFonts w:cs="Times New Roman"/>
          <w:lang w:val="en-US"/>
        </w:rPr>
        <w:t>4</w:t>
      </w:r>
      <w:r>
        <w:rPr>
          <w:rFonts w:hint="eastAsia" w:cs="Times New Roman"/>
          <w:lang w:val="en-US" w:eastAsia="zh-CN"/>
        </w:rPr>
        <w:t>0</w:t>
      </w:r>
      <w:r>
        <w:rPr>
          <w:rFonts w:cs="Times New Roman"/>
          <w:lang w:val="en-US"/>
        </w:rPr>
        <w:t>个工程项目，投资</w:t>
      </w:r>
      <w:r>
        <w:rPr>
          <w:rFonts w:hint="default" w:cs="Times New Roman"/>
          <w:lang w:val="en-US" w:eastAsia="zh-CN"/>
        </w:rPr>
        <w:t>23</w:t>
      </w:r>
      <w:r>
        <w:rPr>
          <w:rFonts w:hint="eastAsia" w:cs="Times New Roman"/>
          <w:lang w:val="en-US" w:eastAsia="zh-CN"/>
        </w:rPr>
        <w:t>.</w:t>
      </w:r>
      <w:r>
        <w:rPr>
          <w:rFonts w:hint="default" w:cs="Times New Roman"/>
          <w:lang w:val="en-US" w:eastAsia="zh-CN"/>
        </w:rPr>
        <w:t>72</w:t>
      </w:r>
      <w:r>
        <w:rPr>
          <w:rFonts w:cs="Times New Roman"/>
          <w:lang w:val="en-US"/>
        </w:rPr>
        <w:t>亿元。</w:t>
      </w:r>
    </w:p>
    <w:p w14:paraId="3C9EA690">
      <w:pPr>
        <w:pStyle w:val="9"/>
        <w:ind w:firstLine="482"/>
        <w:jc w:val="center"/>
        <w:rPr>
          <w:rFonts w:ascii="Times New Roman" w:hAnsi="Times New Roman" w:cs="Times New Roman"/>
          <w:b/>
          <w:bCs/>
          <w:sz w:val="24"/>
          <w:szCs w:val="24"/>
          <w:highlight w:val="yellow"/>
          <w:lang w:val="en-US"/>
        </w:rPr>
      </w:pPr>
      <w:r>
        <w:rPr>
          <w:rFonts w:ascii="Times New Roman" w:hAnsi="Times New Roman" w:cs="Times New Roman"/>
          <w:b/>
          <w:bCs/>
          <w:sz w:val="24"/>
          <w:szCs w:val="24"/>
          <w:highlight w:val="yellow"/>
          <w:lang w:val="en-US"/>
        </w:rPr>
        <w:t>表</w:t>
      </w:r>
      <w:r>
        <w:rPr>
          <w:rFonts w:hint="eastAsia" w:ascii="Times New Roman" w:hAnsi="Times New Roman" w:cs="Times New Roman"/>
          <w:b/>
          <w:bCs/>
          <w:sz w:val="24"/>
          <w:szCs w:val="24"/>
          <w:highlight w:val="yellow"/>
          <w:lang w:val="en-US" w:eastAsia="zh-CN"/>
        </w:rPr>
        <w:t>6</w:t>
      </w:r>
      <w:r>
        <w:rPr>
          <w:rFonts w:hint="eastAsia" w:ascii="Times New Roman" w:hAnsi="Times New Roman" w:cs="Times New Roman"/>
          <w:b/>
          <w:bCs/>
          <w:sz w:val="24"/>
          <w:szCs w:val="24"/>
          <w:highlight w:val="yellow"/>
          <w:lang w:val="en-US"/>
        </w:rPr>
        <w:t>-</w:t>
      </w:r>
      <w:r>
        <w:rPr>
          <w:rFonts w:ascii="Times New Roman" w:hAnsi="Times New Roman" w:cs="Times New Roman"/>
          <w:b/>
          <w:bCs/>
          <w:sz w:val="24"/>
          <w:szCs w:val="24"/>
          <w:highlight w:val="yellow"/>
          <w:lang w:val="en-US"/>
        </w:rPr>
        <w:t>1 项目类别规划工程项目统计表</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4"/>
        <w:gridCol w:w="2877"/>
        <w:gridCol w:w="1855"/>
        <w:gridCol w:w="1866"/>
      </w:tblGrid>
      <w:tr w14:paraId="3A371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28" w:type="pct"/>
            <w:vAlign w:val="center"/>
          </w:tcPr>
          <w:p w14:paraId="4A6B4F41">
            <w:pPr>
              <w:pStyle w:val="9"/>
              <w:spacing w:line="240" w:lineRule="auto"/>
              <w:ind w:firstLine="0" w:firstLineChars="0"/>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类别</w:t>
            </w:r>
          </w:p>
        </w:tc>
        <w:tc>
          <w:tcPr>
            <w:tcW w:w="1687" w:type="pct"/>
            <w:vAlign w:val="center"/>
          </w:tcPr>
          <w:p w14:paraId="2BA9D881">
            <w:pPr>
              <w:pStyle w:val="9"/>
              <w:spacing w:line="240" w:lineRule="auto"/>
              <w:ind w:firstLine="0" w:firstLineChars="0"/>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项目大类</w:t>
            </w:r>
          </w:p>
        </w:tc>
        <w:tc>
          <w:tcPr>
            <w:tcW w:w="1088" w:type="pct"/>
            <w:vAlign w:val="center"/>
          </w:tcPr>
          <w:p w14:paraId="3EB58BC0">
            <w:pPr>
              <w:pStyle w:val="9"/>
              <w:spacing w:line="240" w:lineRule="auto"/>
              <w:ind w:firstLine="0" w:firstLineChars="0"/>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项目总数（个）</w:t>
            </w:r>
          </w:p>
        </w:tc>
        <w:tc>
          <w:tcPr>
            <w:tcW w:w="1094" w:type="pct"/>
            <w:vAlign w:val="center"/>
          </w:tcPr>
          <w:p w14:paraId="642E3BA5">
            <w:pPr>
              <w:pStyle w:val="9"/>
              <w:spacing w:line="240" w:lineRule="auto"/>
              <w:ind w:firstLine="0" w:firstLineChars="0"/>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投资总额</w:t>
            </w:r>
          </w:p>
          <w:p w14:paraId="466A94AE">
            <w:pPr>
              <w:pStyle w:val="9"/>
              <w:spacing w:line="240" w:lineRule="auto"/>
              <w:ind w:firstLine="0" w:firstLineChars="0"/>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（万元）</w:t>
            </w:r>
          </w:p>
        </w:tc>
      </w:tr>
      <w:tr w14:paraId="5231E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128" w:type="pct"/>
            <w:vMerge w:val="restart"/>
            <w:vAlign w:val="center"/>
          </w:tcPr>
          <w:p w14:paraId="78B7E66B">
            <w:pPr>
              <w:pStyle w:val="9"/>
              <w:spacing w:line="240" w:lineRule="auto"/>
              <w:ind w:firstLine="0" w:firstLineChars="0"/>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污染减排</w:t>
            </w:r>
          </w:p>
        </w:tc>
        <w:tc>
          <w:tcPr>
            <w:tcW w:w="1687" w:type="pct"/>
            <w:vAlign w:val="center"/>
          </w:tcPr>
          <w:p w14:paraId="474175F6">
            <w:pPr>
              <w:widowControl/>
              <w:spacing w:line="240" w:lineRule="auto"/>
              <w:ind w:firstLine="0" w:firstLineChars="0"/>
              <w:jc w:val="center"/>
              <w:textAlignment w:val="center"/>
              <w:rPr>
                <w:rFonts w:cs="Times New Roman"/>
                <w:sz w:val="24"/>
                <w:szCs w:val="24"/>
                <w:highlight w:val="yellow"/>
              </w:rPr>
            </w:pPr>
            <w:r>
              <w:rPr>
                <w:rFonts w:cs="Times New Roman"/>
                <w:sz w:val="24"/>
                <w:szCs w:val="24"/>
                <w:highlight w:val="yellow"/>
                <w:lang w:val="en-US"/>
              </w:rPr>
              <w:t>城镇污水处理及管网建设</w:t>
            </w:r>
          </w:p>
        </w:tc>
        <w:tc>
          <w:tcPr>
            <w:tcW w:w="1088" w:type="pct"/>
            <w:vAlign w:val="center"/>
          </w:tcPr>
          <w:p w14:paraId="48342CE0">
            <w:pPr>
              <w:pStyle w:val="9"/>
              <w:spacing w:line="240" w:lineRule="auto"/>
              <w:ind w:firstLine="0" w:firstLineChars="0"/>
              <w:jc w:val="center"/>
              <w:rPr>
                <w:rFonts w:hint="default" w:ascii="Times New Roman" w:hAnsi="Times New Roman" w:eastAsia="仿宋" w:cs="Times New Roman"/>
                <w:sz w:val="24"/>
                <w:szCs w:val="24"/>
                <w:highlight w:val="yellow"/>
                <w:lang w:val="en-US" w:eastAsia="zh-CN"/>
              </w:rPr>
            </w:pPr>
            <w:r>
              <w:rPr>
                <w:rFonts w:hint="eastAsia" w:ascii="Times New Roman" w:hAnsi="Times New Roman" w:cs="Times New Roman"/>
                <w:sz w:val="24"/>
                <w:szCs w:val="24"/>
                <w:highlight w:val="yellow"/>
                <w:lang w:val="en-US" w:eastAsia="zh-CN"/>
              </w:rPr>
              <w:t>19</w:t>
            </w:r>
          </w:p>
        </w:tc>
        <w:tc>
          <w:tcPr>
            <w:tcW w:w="1094" w:type="pct"/>
            <w:vAlign w:val="center"/>
          </w:tcPr>
          <w:p w14:paraId="55274663">
            <w:pPr>
              <w:widowControl/>
              <w:spacing w:line="240" w:lineRule="auto"/>
              <w:ind w:firstLine="0" w:firstLineChars="0"/>
              <w:jc w:val="center"/>
              <w:textAlignment w:val="center"/>
              <w:rPr>
                <w:rFonts w:hint="default" w:eastAsia="仿宋" w:cs="Times New Roman"/>
                <w:sz w:val="24"/>
                <w:szCs w:val="24"/>
                <w:highlight w:val="yellow"/>
                <w:lang w:val="en-US" w:eastAsia="zh-CN"/>
              </w:rPr>
            </w:pPr>
            <w:r>
              <w:rPr>
                <w:rFonts w:hint="eastAsia" w:cs="Times New Roman"/>
                <w:sz w:val="24"/>
                <w:szCs w:val="24"/>
                <w:highlight w:val="yellow"/>
                <w:lang w:val="en-US" w:eastAsia="zh-CN"/>
              </w:rPr>
              <w:t>101131.17</w:t>
            </w:r>
          </w:p>
        </w:tc>
      </w:tr>
      <w:tr w14:paraId="1B319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128" w:type="pct"/>
            <w:vMerge w:val="continue"/>
            <w:vAlign w:val="center"/>
          </w:tcPr>
          <w:p w14:paraId="647CC797">
            <w:pPr>
              <w:pStyle w:val="9"/>
              <w:spacing w:line="240" w:lineRule="auto"/>
              <w:ind w:firstLine="0" w:firstLineChars="0"/>
              <w:jc w:val="center"/>
              <w:rPr>
                <w:rFonts w:ascii="Times New Roman" w:hAnsi="Times New Roman" w:cs="Times New Roman"/>
                <w:sz w:val="24"/>
                <w:szCs w:val="24"/>
                <w:highlight w:val="yellow"/>
              </w:rPr>
            </w:pPr>
          </w:p>
        </w:tc>
        <w:tc>
          <w:tcPr>
            <w:tcW w:w="1687" w:type="pct"/>
            <w:vAlign w:val="center"/>
          </w:tcPr>
          <w:p w14:paraId="410D3934">
            <w:pPr>
              <w:widowControl/>
              <w:spacing w:line="240" w:lineRule="auto"/>
              <w:ind w:firstLine="0" w:firstLineChars="0"/>
              <w:jc w:val="center"/>
              <w:textAlignment w:val="center"/>
              <w:rPr>
                <w:rFonts w:cs="Times New Roman"/>
                <w:sz w:val="24"/>
                <w:szCs w:val="24"/>
                <w:highlight w:val="yellow"/>
              </w:rPr>
            </w:pPr>
            <w:r>
              <w:rPr>
                <w:rFonts w:cs="Times New Roman"/>
                <w:sz w:val="24"/>
                <w:szCs w:val="24"/>
                <w:highlight w:val="yellow"/>
                <w:lang w:val="en-US"/>
              </w:rPr>
              <w:t>工业污染防治</w:t>
            </w:r>
          </w:p>
        </w:tc>
        <w:tc>
          <w:tcPr>
            <w:tcW w:w="1088" w:type="pct"/>
            <w:vAlign w:val="center"/>
          </w:tcPr>
          <w:p w14:paraId="12A6D9F3">
            <w:pPr>
              <w:pStyle w:val="9"/>
              <w:spacing w:line="240" w:lineRule="auto"/>
              <w:ind w:firstLine="0" w:firstLineChars="0"/>
              <w:jc w:val="center"/>
              <w:rPr>
                <w:rFonts w:ascii="Times New Roman" w:hAnsi="Times New Roman" w:cs="Times New Roman"/>
                <w:sz w:val="24"/>
                <w:szCs w:val="24"/>
                <w:highlight w:val="yellow"/>
                <w:lang w:val="en-US"/>
              </w:rPr>
            </w:pPr>
            <w:r>
              <w:rPr>
                <w:rFonts w:ascii="Times New Roman" w:hAnsi="Times New Roman" w:cs="Times New Roman"/>
                <w:sz w:val="24"/>
                <w:szCs w:val="24"/>
                <w:highlight w:val="yellow"/>
                <w:lang w:val="en-US"/>
              </w:rPr>
              <w:t>1</w:t>
            </w:r>
          </w:p>
        </w:tc>
        <w:tc>
          <w:tcPr>
            <w:tcW w:w="1094" w:type="pct"/>
            <w:vAlign w:val="center"/>
          </w:tcPr>
          <w:p w14:paraId="0C24CF43">
            <w:pPr>
              <w:widowControl/>
              <w:spacing w:line="240" w:lineRule="auto"/>
              <w:ind w:firstLine="0" w:firstLineChars="0"/>
              <w:jc w:val="center"/>
              <w:textAlignment w:val="center"/>
              <w:rPr>
                <w:rFonts w:cs="Times New Roman"/>
                <w:sz w:val="24"/>
                <w:szCs w:val="24"/>
                <w:highlight w:val="yellow"/>
              </w:rPr>
            </w:pPr>
            <w:r>
              <w:rPr>
                <w:rFonts w:cs="Times New Roman"/>
                <w:sz w:val="24"/>
                <w:szCs w:val="24"/>
                <w:highlight w:val="yellow"/>
                <w:lang w:val="en-US"/>
              </w:rPr>
              <w:t>20000</w:t>
            </w:r>
          </w:p>
        </w:tc>
      </w:tr>
      <w:tr w14:paraId="4C8E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128" w:type="pct"/>
            <w:vMerge w:val="continue"/>
            <w:vAlign w:val="center"/>
          </w:tcPr>
          <w:p w14:paraId="538BD6E6">
            <w:pPr>
              <w:pStyle w:val="9"/>
              <w:spacing w:line="240" w:lineRule="auto"/>
              <w:ind w:firstLine="0" w:firstLineChars="0"/>
              <w:jc w:val="center"/>
              <w:rPr>
                <w:rFonts w:ascii="Times New Roman" w:hAnsi="Times New Roman" w:cs="Times New Roman"/>
                <w:sz w:val="24"/>
                <w:szCs w:val="24"/>
                <w:highlight w:val="yellow"/>
              </w:rPr>
            </w:pPr>
          </w:p>
        </w:tc>
        <w:tc>
          <w:tcPr>
            <w:tcW w:w="1687" w:type="pct"/>
            <w:vAlign w:val="center"/>
          </w:tcPr>
          <w:p w14:paraId="6F7D9D39">
            <w:pPr>
              <w:widowControl/>
              <w:spacing w:line="240" w:lineRule="auto"/>
              <w:ind w:firstLine="0" w:firstLineChars="0"/>
              <w:jc w:val="center"/>
              <w:textAlignment w:val="center"/>
              <w:rPr>
                <w:rFonts w:cs="Times New Roman"/>
                <w:sz w:val="24"/>
                <w:szCs w:val="24"/>
                <w:highlight w:val="yellow"/>
              </w:rPr>
            </w:pPr>
            <w:r>
              <w:rPr>
                <w:rFonts w:cs="Times New Roman"/>
                <w:sz w:val="24"/>
                <w:szCs w:val="24"/>
                <w:highlight w:val="yellow"/>
                <w:lang w:val="en-US"/>
              </w:rPr>
              <w:t>农业农村污染防治</w:t>
            </w:r>
          </w:p>
        </w:tc>
        <w:tc>
          <w:tcPr>
            <w:tcW w:w="1088" w:type="pct"/>
            <w:vAlign w:val="center"/>
          </w:tcPr>
          <w:p w14:paraId="1A8542D7">
            <w:pPr>
              <w:pStyle w:val="9"/>
              <w:spacing w:line="240" w:lineRule="auto"/>
              <w:ind w:firstLine="0" w:firstLineChars="0"/>
              <w:jc w:val="center"/>
              <w:rPr>
                <w:rFonts w:hint="eastAsia" w:ascii="Times New Roman" w:hAnsi="Times New Roman" w:eastAsia="仿宋" w:cs="Times New Roman"/>
                <w:sz w:val="24"/>
                <w:szCs w:val="24"/>
                <w:highlight w:val="yellow"/>
                <w:lang w:val="en-US" w:eastAsia="zh-CN"/>
              </w:rPr>
            </w:pPr>
            <w:r>
              <w:rPr>
                <w:rFonts w:hint="eastAsia" w:ascii="Times New Roman" w:hAnsi="Times New Roman" w:cs="Times New Roman"/>
                <w:sz w:val="24"/>
                <w:szCs w:val="24"/>
                <w:highlight w:val="yellow"/>
                <w:lang w:val="en-US" w:eastAsia="zh-CN"/>
              </w:rPr>
              <w:t>5</w:t>
            </w:r>
          </w:p>
        </w:tc>
        <w:tc>
          <w:tcPr>
            <w:tcW w:w="1094" w:type="pct"/>
            <w:vAlign w:val="center"/>
          </w:tcPr>
          <w:p w14:paraId="31FDEFDF">
            <w:pPr>
              <w:widowControl/>
              <w:spacing w:line="240" w:lineRule="auto"/>
              <w:ind w:firstLine="0" w:firstLineChars="0"/>
              <w:jc w:val="center"/>
              <w:textAlignment w:val="center"/>
              <w:rPr>
                <w:rFonts w:hint="default" w:eastAsia="仿宋" w:cs="Times New Roman"/>
                <w:sz w:val="24"/>
                <w:szCs w:val="24"/>
                <w:highlight w:val="yellow"/>
                <w:lang w:val="en-US" w:eastAsia="zh-CN"/>
              </w:rPr>
            </w:pPr>
            <w:r>
              <w:rPr>
                <w:rFonts w:hint="eastAsia" w:cs="Times New Roman"/>
                <w:sz w:val="24"/>
                <w:szCs w:val="24"/>
                <w:highlight w:val="yellow"/>
                <w:lang w:val="en-US" w:eastAsia="zh-CN"/>
              </w:rPr>
              <w:t>10968.95</w:t>
            </w:r>
          </w:p>
        </w:tc>
      </w:tr>
      <w:tr w14:paraId="2EA14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128" w:type="pct"/>
            <w:vAlign w:val="center"/>
          </w:tcPr>
          <w:p w14:paraId="1E16F316">
            <w:pPr>
              <w:pStyle w:val="9"/>
              <w:spacing w:line="240" w:lineRule="auto"/>
              <w:ind w:firstLine="0" w:firstLineChars="0"/>
              <w:jc w:val="center"/>
              <w:rPr>
                <w:rFonts w:ascii="Times New Roman" w:hAnsi="Times New Roman" w:cs="Times New Roman"/>
                <w:sz w:val="24"/>
                <w:szCs w:val="24"/>
                <w:highlight w:val="yellow"/>
              </w:rPr>
            </w:pPr>
            <w:r>
              <w:rPr>
                <w:rFonts w:ascii="Times New Roman" w:hAnsi="Times New Roman" w:cs="Times New Roman"/>
                <w:sz w:val="24"/>
                <w:szCs w:val="24"/>
                <w:highlight w:val="yellow"/>
                <w:lang w:val="en-US"/>
              </w:rPr>
              <w:t>水生态保护修复</w:t>
            </w:r>
          </w:p>
        </w:tc>
        <w:tc>
          <w:tcPr>
            <w:tcW w:w="1687" w:type="pct"/>
            <w:vAlign w:val="center"/>
          </w:tcPr>
          <w:p w14:paraId="144D5826">
            <w:pPr>
              <w:widowControl/>
              <w:spacing w:line="240" w:lineRule="auto"/>
              <w:ind w:firstLine="0" w:firstLineChars="0"/>
              <w:jc w:val="center"/>
              <w:textAlignment w:val="center"/>
              <w:rPr>
                <w:rFonts w:cs="Times New Roman"/>
                <w:sz w:val="24"/>
                <w:szCs w:val="24"/>
                <w:highlight w:val="yellow"/>
              </w:rPr>
            </w:pPr>
            <w:r>
              <w:rPr>
                <w:rFonts w:cs="Times New Roman"/>
                <w:sz w:val="24"/>
                <w:szCs w:val="24"/>
                <w:highlight w:val="yellow"/>
                <w:lang w:val="en-US"/>
              </w:rPr>
              <w:t>水生态保护修复</w:t>
            </w:r>
          </w:p>
        </w:tc>
        <w:tc>
          <w:tcPr>
            <w:tcW w:w="1088" w:type="pct"/>
            <w:vAlign w:val="center"/>
          </w:tcPr>
          <w:p w14:paraId="4423D420">
            <w:pPr>
              <w:pStyle w:val="9"/>
              <w:spacing w:line="240" w:lineRule="auto"/>
              <w:ind w:firstLine="0" w:firstLineChars="0"/>
              <w:jc w:val="center"/>
              <w:rPr>
                <w:rFonts w:hint="eastAsia" w:ascii="Times New Roman" w:hAnsi="Times New Roman" w:eastAsia="仿宋" w:cs="Times New Roman"/>
                <w:sz w:val="24"/>
                <w:szCs w:val="24"/>
                <w:highlight w:val="yellow"/>
                <w:lang w:val="en-US" w:eastAsia="zh-CN"/>
              </w:rPr>
            </w:pPr>
            <w:r>
              <w:rPr>
                <w:rFonts w:ascii="Times New Roman" w:hAnsi="Times New Roman" w:cs="Times New Roman"/>
                <w:sz w:val="24"/>
                <w:szCs w:val="24"/>
                <w:highlight w:val="yellow"/>
                <w:lang w:val="en-US"/>
              </w:rPr>
              <w:t>1</w:t>
            </w:r>
            <w:r>
              <w:rPr>
                <w:rFonts w:hint="eastAsia" w:ascii="Times New Roman" w:hAnsi="Times New Roman" w:cs="Times New Roman"/>
                <w:sz w:val="24"/>
                <w:szCs w:val="24"/>
                <w:highlight w:val="yellow"/>
                <w:lang w:val="en-US" w:eastAsia="zh-CN"/>
              </w:rPr>
              <w:t>2</w:t>
            </w:r>
          </w:p>
        </w:tc>
        <w:tc>
          <w:tcPr>
            <w:tcW w:w="1094" w:type="pct"/>
            <w:vAlign w:val="center"/>
          </w:tcPr>
          <w:p w14:paraId="5CEC6D0D">
            <w:pPr>
              <w:widowControl/>
              <w:spacing w:line="240" w:lineRule="auto"/>
              <w:ind w:firstLine="0" w:firstLineChars="0"/>
              <w:jc w:val="center"/>
              <w:textAlignment w:val="center"/>
              <w:rPr>
                <w:rFonts w:hint="default" w:eastAsia="仿宋" w:cs="Times New Roman"/>
                <w:sz w:val="24"/>
                <w:szCs w:val="24"/>
                <w:highlight w:val="yellow"/>
                <w:lang w:val="en-US" w:eastAsia="zh-CN"/>
              </w:rPr>
            </w:pPr>
            <w:r>
              <w:rPr>
                <w:rFonts w:hint="eastAsia" w:cs="Times New Roman"/>
                <w:sz w:val="24"/>
                <w:szCs w:val="24"/>
                <w:highlight w:val="yellow"/>
                <w:lang w:val="en-US" w:eastAsia="zh-CN"/>
              </w:rPr>
              <w:t>102312.83</w:t>
            </w:r>
          </w:p>
        </w:tc>
      </w:tr>
      <w:tr w14:paraId="57534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128" w:type="pct"/>
            <w:vAlign w:val="center"/>
          </w:tcPr>
          <w:p w14:paraId="5D4CB534">
            <w:pPr>
              <w:pStyle w:val="9"/>
              <w:spacing w:line="240" w:lineRule="auto"/>
              <w:ind w:firstLine="0" w:firstLineChars="0"/>
              <w:jc w:val="center"/>
              <w:rPr>
                <w:rFonts w:ascii="Times New Roman" w:hAnsi="Times New Roman" w:cs="Times New Roman"/>
                <w:sz w:val="24"/>
                <w:szCs w:val="24"/>
                <w:highlight w:val="yellow"/>
              </w:rPr>
            </w:pPr>
            <w:r>
              <w:rPr>
                <w:rFonts w:ascii="Times New Roman" w:hAnsi="Times New Roman" w:cs="Times New Roman"/>
                <w:sz w:val="24"/>
                <w:szCs w:val="24"/>
                <w:highlight w:val="yellow"/>
                <w:lang w:val="en-US"/>
              </w:rPr>
              <w:t>饮用水源保护</w:t>
            </w:r>
          </w:p>
        </w:tc>
        <w:tc>
          <w:tcPr>
            <w:tcW w:w="1687" w:type="pct"/>
            <w:vAlign w:val="center"/>
          </w:tcPr>
          <w:p w14:paraId="51112217">
            <w:pPr>
              <w:widowControl/>
              <w:spacing w:line="240" w:lineRule="auto"/>
              <w:ind w:firstLine="0" w:firstLineChars="0"/>
              <w:jc w:val="center"/>
              <w:textAlignment w:val="center"/>
              <w:rPr>
                <w:rFonts w:cs="Times New Roman"/>
                <w:sz w:val="24"/>
                <w:szCs w:val="24"/>
                <w:highlight w:val="yellow"/>
              </w:rPr>
            </w:pPr>
            <w:r>
              <w:rPr>
                <w:rFonts w:cs="Times New Roman"/>
                <w:sz w:val="24"/>
                <w:szCs w:val="24"/>
                <w:highlight w:val="yellow"/>
                <w:lang w:val="en-US"/>
              </w:rPr>
              <w:t>饮用水水源地规范化建设</w:t>
            </w:r>
          </w:p>
        </w:tc>
        <w:tc>
          <w:tcPr>
            <w:tcW w:w="1088" w:type="pct"/>
            <w:vAlign w:val="center"/>
          </w:tcPr>
          <w:p w14:paraId="74F09B7F">
            <w:pPr>
              <w:pStyle w:val="9"/>
              <w:spacing w:line="240" w:lineRule="auto"/>
              <w:ind w:firstLine="0" w:firstLineChars="0"/>
              <w:jc w:val="center"/>
              <w:rPr>
                <w:rFonts w:ascii="Times New Roman" w:hAnsi="Times New Roman" w:cs="Times New Roman"/>
                <w:sz w:val="24"/>
                <w:szCs w:val="24"/>
                <w:highlight w:val="yellow"/>
                <w:lang w:val="en-US"/>
              </w:rPr>
            </w:pPr>
            <w:r>
              <w:rPr>
                <w:rFonts w:ascii="Times New Roman" w:hAnsi="Times New Roman" w:cs="Times New Roman"/>
                <w:sz w:val="24"/>
                <w:szCs w:val="24"/>
                <w:highlight w:val="yellow"/>
                <w:lang w:val="en-US"/>
              </w:rPr>
              <w:t>2</w:t>
            </w:r>
          </w:p>
        </w:tc>
        <w:tc>
          <w:tcPr>
            <w:tcW w:w="1094" w:type="pct"/>
            <w:vAlign w:val="center"/>
          </w:tcPr>
          <w:p w14:paraId="0C1C3BF8">
            <w:pPr>
              <w:widowControl/>
              <w:spacing w:line="240" w:lineRule="auto"/>
              <w:ind w:firstLine="0" w:firstLineChars="0"/>
              <w:jc w:val="center"/>
              <w:textAlignment w:val="center"/>
              <w:rPr>
                <w:rFonts w:hint="default" w:eastAsia="仿宋" w:cs="Times New Roman"/>
                <w:sz w:val="24"/>
                <w:szCs w:val="24"/>
                <w:highlight w:val="yellow"/>
                <w:lang w:val="en-US" w:eastAsia="zh-CN"/>
              </w:rPr>
            </w:pPr>
            <w:r>
              <w:rPr>
                <w:rFonts w:hint="eastAsia" w:cs="Times New Roman"/>
                <w:sz w:val="24"/>
                <w:szCs w:val="24"/>
                <w:highlight w:val="yellow"/>
                <w:lang w:val="en-US" w:eastAsia="zh-CN"/>
              </w:rPr>
              <w:t>1900</w:t>
            </w:r>
          </w:p>
        </w:tc>
      </w:tr>
      <w:tr w14:paraId="33C34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128" w:type="pct"/>
            <w:vAlign w:val="center"/>
          </w:tcPr>
          <w:p w14:paraId="76614536">
            <w:pPr>
              <w:pStyle w:val="9"/>
              <w:spacing w:line="240" w:lineRule="auto"/>
              <w:ind w:firstLine="0" w:firstLineChars="0"/>
              <w:jc w:val="center"/>
              <w:rPr>
                <w:rFonts w:ascii="Times New Roman" w:hAnsi="Times New Roman" w:cs="Times New Roman"/>
                <w:sz w:val="24"/>
                <w:szCs w:val="24"/>
                <w:highlight w:val="yellow"/>
              </w:rPr>
            </w:pPr>
            <w:r>
              <w:rPr>
                <w:rFonts w:ascii="Times New Roman" w:hAnsi="Times New Roman" w:cs="Times New Roman"/>
                <w:sz w:val="24"/>
                <w:szCs w:val="24"/>
                <w:highlight w:val="yellow"/>
                <w:lang w:val="en-US"/>
              </w:rPr>
              <w:t>水环境风险防控</w:t>
            </w:r>
          </w:p>
        </w:tc>
        <w:tc>
          <w:tcPr>
            <w:tcW w:w="1687" w:type="pct"/>
            <w:vAlign w:val="center"/>
          </w:tcPr>
          <w:p w14:paraId="6F3C87B7">
            <w:pPr>
              <w:widowControl/>
              <w:spacing w:line="240" w:lineRule="auto"/>
              <w:ind w:firstLine="0" w:firstLineChars="0"/>
              <w:jc w:val="center"/>
              <w:textAlignment w:val="center"/>
              <w:rPr>
                <w:rFonts w:cs="Times New Roman"/>
                <w:sz w:val="24"/>
                <w:szCs w:val="24"/>
                <w:highlight w:val="yellow"/>
              </w:rPr>
            </w:pPr>
            <w:r>
              <w:rPr>
                <w:rFonts w:cs="Times New Roman"/>
                <w:sz w:val="24"/>
                <w:szCs w:val="24"/>
                <w:highlight w:val="yellow"/>
                <w:lang w:val="en-US"/>
              </w:rPr>
              <w:t>风险预防</w:t>
            </w:r>
          </w:p>
        </w:tc>
        <w:tc>
          <w:tcPr>
            <w:tcW w:w="1088" w:type="pct"/>
            <w:vAlign w:val="center"/>
          </w:tcPr>
          <w:p w14:paraId="0E3727D1">
            <w:pPr>
              <w:pStyle w:val="9"/>
              <w:spacing w:line="240" w:lineRule="auto"/>
              <w:ind w:firstLine="0" w:firstLineChars="0"/>
              <w:jc w:val="center"/>
              <w:rPr>
                <w:rFonts w:ascii="Times New Roman" w:hAnsi="Times New Roman" w:cs="Times New Roman"/>
                <w:sz w:val="24"/>
                <w:szCs w:val="24"/>
                <w:highlight w:val="yellow"/>
                <w:lang w:val="en-US"/>
              </w:rPr>
            </w:pPr>
            <w:r>
              <w:rPr>
                <w:rFonts w:ascii="Times New Roman" w:hAnsi="Times New Roman" w:cs="Times New Roman"/>
                <w:sz w:val="24"/>
                <w:szCs w:val="24"/>
                <w:highlight w:val="yellow"/>
                <w:lang w:val="en-US"/>
              </w:rPr>
              <w:t>1</w:t>
            </w:r>
          </w:p>
        </w:tc>
        <w:tc>
          <w:tcPr>
            <w:tcW w:w="1094" w:type="pct"/>
            <w:vAlign w:val="center"/>
          </w:tcPr>
          <w:p w14:paraId="53F090F3">
            <w:pPr>
              <w:widowControl/>
              <w:spacing w:line="240" w:lineRule="auto"/>
              <w:ind w:firstLine="0" w:firstLineChars="0"/>
              <w:jc w:val="center"/>
              <w:textAlignment w:val="center"/>
              <w:rPr>
                <w:rFonts w:cs="Times New Roman"/>
                <w:sz w:val="24"/>
                <w:szCs w:val="24"/>
                <w:highlight w:val="yellow"/>
              </w:rPr>
            </w:pPr>
            <w:r>
              <w:rPr>
                <w:rFonts w:cs="Times New Roman"/>
                <w:sz w:val="24"/>
                <w:szCs w:val="24"/>
                <w:highlight w:val="yellow"/>
                <w:lang w:val="en-US"/>
              </w:rPr>
              <w:t>900</w:t>
            </w:r>
          </w:p>
        </w:tc>
      </w:tr>
      <w:tr w14:paraId="4AD36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128" w:type="pct"/>
            <w:vAlign w:val="center"/>
          </w:tcPr>
          <w:p w14:paraId="14CF11E5">
            <w:pPr>
              <w:pStyle w:val="9"/>
              <w:spacing w:line="240" w:lineRule="auto"/>
              <w:ind w:firstLine="0" w:firstLineChars="0"/>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合计</w:t>
            </w:r>
          </w:p>
        </w:tc>
        <w:tc>
          <w:tcPr>
            <w:tcW w:w="1687" w:type="pct"/>
            <w:vAlign w:val="center"/>
          </w:tcPr>
          <w:p w14:paraId="3CE70644">
            <w:pPr>
              <w:widowControl/>
              <w:spacing w:line="240" w:lineRule="auto"/>
              <w:ind w:firstLine="0" w:firstLineChars="0"/>
              <w:jc w:val="center"/>
              <w:textAlignment w:val="center"/>
              <w:rPr>
                <w:rFonts w:cs="Times New Roman"/>
                <w:b/>
                <w:bCs/>
                <w:sz w:val="24"/>
                <w:szCs w:val="24"/>
                <w:highlight w:val="yellow"/>
              </w:rPr>
            </w:pPr>
            <w:r>
              <w:rPr>
                <w:rFonts w:cs="Times New Roman"/>
                <w:b/>
                <w:bCs/>
                <w:sz w:val="24"/>
                <w:szCs w:val="24"/>
                <w:highlight w:val="yellow"/>
              </w:rPr>
              <w:t>—</w:t>
            </w:r>
          </w:p>
        </w:tc>
        <w:tc>
          <w:tcPr>
            <w:tcW w:w="1088" w:type="pct"/>
            <w:vAlign w:val="center"/>
          </w:tcPr>
          <w:p w14:paraId="0F70D361">
            <w:pPr>
              <w:pStyle w:val="9"/>
              <w:spacing w:line="240" w:lineRule="auto"/>
              <w:ind w:firstLine="0" w:firstLineChars="0"/>
              <w:jc w:val="center"/>
              <w:rPr>
                <w:rFonts w:hint="eastAsia" w:ascii="Times New Roman" w:hAnsi="Times New Roman" w:eastAsia="仿宋" w:cs="Times New Roman"/>
                <w:b/>
                <w:bCs/>
                <w:sz w:val="24"/>
                <w:szCs w:val="24"/>
                <w:highlight w:val="yellow"/>
                <w:lang w:val="en-US" w:eastAsia="zh-CN"/>
              </w:rPr>
            </w:pPr>
            <w:r>
              <w:rPr>
                <w:rFonts w:ascii="Times New Roman" w:hAnsi="Times New Roman" w:cs="Times New Roman"/>
                <w:b/>
                <w:bCs/>
                <w:sz w:val="24"/>
                <w:szCs w:val="24"/>
                <w:highlight w:val="yellow"/>
                <w:lang w:val="en-US"/>
              </w:rPr>
              <w:t>4</w:t>
            </w:r>
            <w:r>
              <w:rPr>
                <w:rFonts w:hint="eastAsia" w:ascii="Times New Roman" w:hAnsi="Times New Roman" w:cs="Times New Roman"/>
                <w:b/>
                <w:bCs/>
                <w:sz w:val="24"/>
                <w:szCs w:val="24"/>
                <w:highlight w:val="yellow"/>
                <w:lang w:val="en-US" w:eastAsia="zh-CN"/>
              </w:rPr>
              <w:t>0</w:t>
            </w:r>
          </w:p>
        </w:tc>
        <w:tc>
          <w:tcPr>
            <w:tcW w:w="1094" w:type="pct"/>
            <w:vAlign w:val="center"/>
          </w:tcPr>
          <w:p w14:paraId="1BA2BD9B">
            <w:pPr>
              <w:widowControl/>
              <w:spacing w:line="240" w:lineRule="auto"/>
              <w:ind w:firstLine="0" w:firstLineChars="0"/>
              <w:jc w:val="center"/>
              <w:textAlignment w:val="center"/>
              <w:rPr>
                <w:rFonts w:hint="default" w:eastAsia="仿宋" w:cs="Times New Roman"/>
                <w:b/>
                <w:bCs/>
                <w:sz w:val="24"/>
                <w:szCs w:val="24"/>
                <w:highlight w:val="yellow"/>
                <w:lang w:val="en-US" w:eastAsia="zh-CN"/>
              </w:rPr>
            </w:pPr>
            <w:r>
              <w:rPr>
                <w:rFonts w:hint="eastAsia" w:cs="Times New Roman"/>
                <w:b/>
                <w:bCs/>
                <w:sz w:val="24"/>
                <w:szCs w:val="24"/>
                <w:highlight w:val="yellow"/>
                <w:lang w:val="en-US" w:eastAsia="zh-CN"/>
              </w:rPr>
              <w:t>2371212.95</w:t>
            </w:r>
          </w:p>
        </w:tc>
      </w:tr>
    </w:tbl>
    <w:p w14:paraId="55F6AD9E">
      <w:pPr>
        <w:pStyle w:val="9"/>
        <w:ind w:firstLine="480"/>
        <w:rPr>
          <w:rFonts w:ascii="Times New Roman" w:hAnsi="Times New Roman" w:cs="Times New Roman"/>
          <w:sz w:val="24"/>
          <w:szCs w:val="24"/>
          <w:highlight w:val="yellow"/>
        </w:rPr>
      </w:pPr>
    </w:p>
    <w:p w14:paraId="05F6AAE3">
      <w:pPr>
        <w:pStyle w:val="9"/>
        <w:ind w:firstLine="482"/>
        <w:jc w:val="center"/>
        <w:rPr>
          <w:rFonts w:ascii="Times New Roman" w:hAnsi="Times New Roman" w:cs="Times New Roman"/>
          <w:b/>
          <w:bCs/>
          <w:sz w:val="24"/>
          <w:szCs w:val="24"/>
          <w:highlight w:val="yellow"/>
          <w:lang w:val="en-US"/>
        </w:rPr>
      </w:pPr>
      <w:r>
        <w:rPr>
          <w:rFonts w:ascii="Times New Roman" w:hAnsi="Times New Roman" w:cs="Times New Roman"/>
          <w:b/>
          <w:bCs/>
          <w:sz w:val="24"/>
          <w:szCs w:val="24"/>
          <w:highlight w:val="yellow"/>
        </w:rPr>
        <w:t>表</w:t>
      </w:r>
      <w:r>
        <w:rPr>
          <w:rFonts w:hint="eastAsia" w:ascii="Times New Roman" w:hAnsi="Times New Roman" w:cs="Times New Roman"/>
          <w:b/>
          <w:bCs/>
          <w:sz w:val="24"/>
          <w:szCs w:val="24"/>
          <w:highlight w:val="yellow"/>
          <w:lang w:val="en-US" w:eastAsia="zh-CN"/>
        </w:rPr>
        <w:t>6-</w:t>
      </w:r>
      <w:r>
        <w:rPr>
          <w:rFonts w:ascii="Times New Roman" w:hAnsi="Times New Roman" w:cs="Times New Roman"/>
          <w:b/>
          <w:bCs/>
          <w:sz w:val="24"/>
          <w:szCs w:val="24"/>
          <w:highlight w:val="yellow"/>
          <w:lang w:val="en-US"/>
        </w:rPr>
        <w:t>2 控制单元规划工程项目统计表</w:t>
      </w:r>
    </w:p>
    <w:tbl>
      <w:tblPr>
        <w:tblStyle w:val="2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
        <w:gridCol w:w="3204"/>
        <w:gridCol w:w="2059"/>
        <w:gridCol w:w="2359"/>
      </w:tblGrid>
      <w:tr w14:paraId="516F1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pct"/>
          </w:tcPr>
          <w:p w14:paraId="6E8572C5">
            <w:pPr>
              <w:pStyle w:val="9"/>
              <w:spacing w:line="240" w:lineRule="auto"/>
              <w:ind w:firstLine="0" w:firstLineChars="0"/>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序号</w:t>
            </w:r>
          </w:p>
        </w:tc>
        <w:tc>
          <w:tcPr>
            <w:tcW w:w="1880" w:type="pct"/>
          </w:tcPr>
          <w:p w14:paraId="72A3864B">
            <w:pPr>
              <w:pStyle w:val="9"/>
              <w:spacing w:line="240" w:lineRule="auto"/>
              <w:ind w:firstLine="0" w:firstLineChars="0"/>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流域</w:t>
            </w:r>
          </w:p>
        </w:tc>
        <w:tc>
          <w:tcPr>
            <w:tcW w:w="1208" w:type="pct"/>
          </w:tcPr>
          <w:p w14:paraId="5C4AA9B9">
            <w:pPr>
              <w:pStyle w:val="9"/>
              <w:spacing w:line="240" w:lineRule="auto"/>
              <w:ind w:firstLine="0" w:firstLineChars="0"/>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项目总数（个）</w:t>
            </w:r>
          </w:p>
        </w:tc>
        <w:tc>
          <w:tcPr>
            <w:tcW w:w="1384" w:type="pct"/>
          </w:tcPr>
          <w:p w14:paraId="651513F4">
            <w:pPr>
              <w:pStyle w:val="9"/>
              <w:spacing w:line="240" w:lineRule="auto"/>
              <w:ind w:firstLine="0" w:firstLineChars="0"/>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投资总额（万元）</w:t>
            </w:r>
          </w:p>
        </w:tc>
      </w:tr>
      <w:tr w14:paraId="5F213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526" w:type="pct"/>
          </w:tcPr>
          <w:p w14:paraId="148A5AA2">
            <w:pPr>
              <w:pStyle w:val="9"/>
              <w:spacing w:line="240" w:lineRule="auto"/>
              <w:ind w:firstLine="0" w:firstLineChars="0"/>
              <w:jc w:val="center"/>
              <w:rPr>
                <w:rFonts w:ascii="Times New Roman" w:hAnsi="Times New Roman" w:cs="Times New Roman"/>
                <w:sz w:val="24"/>
                <w:szCs w:val="24"/>
                <w:highlight w:val="yellow"/>
                <w:lang w:val="en-US"/>
              </w:rPr>
            </w:pPr>
            <w:r>
              <w:rPr>
                <w:rFonts w:ascii="Times New Roman" w:hAnsi="Times New Roman" w:cs="Times New Roman"/>
                <w:sz w:val="24"/>
                <w:szCs w:val="24"/>
                <w:highlight w:val="yellow"/>
                <w:lang w:val="en-US"/>
              </w:rPr>
              <w:t>1</w:t>
            </w:r>
          </w:p>
        </w:tc>
        <w:tc>
          <w:tcPr>
            <w:tcW w:w="1880" w:type="pct"/>
            <w:vAlign w:val="center"/>
          </w:tcPr>
          <w:p w14:paraId="417A46B5">
            <w:pPr>
              <w:pStyle w:val="9"/>
              <w:spacing w:line="240" w:lineRule="auto"/>
              <w:ind w:firstLine="0" w:firstLineChars="0"/>
              <w:jc w:val="center"/>
              <w:rPr>
                <w:rFonts w:ascii="Times New Roman" w:hAnsi="Times New Roman" w:cs="Times New Roman"/>
                <w:sz w:val="24"/>
                <w:szCs w:val="24"/>
                <w:highlight w:val="yellow"/>
                <w:lang w:val="en-US"/>
              </w:rPr>
            </w:pPr>
            <w:r>
              <w:rPr>
                <w:rFonts w:ascii="Times New Roman" w:hAnsi="Times New Roman" w:cs="Times New Roman"/>
                <w:sz w:val="24"/>
                <w:szCs w:val="24"/>
                <w:highlight w:val="yellow"/>
                <w:lang w:val="en-US"/>
              </w:rPr>
              <w:t>太子河流域</w:t>
            </w:r>
            <w:r>
              <w:rPr>
                <w:rFonts w:hint="eastAsia" w:ascii="Times New Roman" w:hAnsi="Times New Roman" w:cs="Times New Roman"/>
                <w:sz w:val="24"/>
                <w:szCs w:val="24"/>
                <w:highlight w:val="yellow"/>
                <w:lang w:val="en-US"/>
              </w:rPr>
              <w:t>（8个国控断面）</w:t>
            </w:r>
          </w:p>
        </w:tc>
        <w:tc>
          <w:tcPr>
            <w:tcW w:w="1208" w:type="pct"/>
          </w:tcPr>
          <w:p w14:paraId="0A44DC15">
            <w:pPr>
              <w:pStyle w:val="9"/>
              <w:spacing w:line="240" w:lineRule="auto"/>
              <w:ind w:firstLine="0" w:firstLineChars="0"/>
              <w:jc w:val="center"/>
              <w:rPr>
                <w:rFonts w:hint="eastAsia" w:ascii="Times New Roman" w:hAnsi="Times New Roman" w:eastAsia="仿宋" w:cs="Times New Roman"/>
                <w:sz w:val="24"/>
                <w:szCs w:val="24"/>
                <w:highlight w:val="yellow"/>
                <w:lang w:val="en-US" w:eastAsia="zh-CN"/>
              </w:rPr>
            </w:pPr>
            <w:r>
              <w:rPr>
                <w:rFonts w:hint="eastAsia" w:ascii="Times New Roman" w:hAnsi="Times New Roman" w:cs="Times New Roman"/>
                <w:sz w:val="24"/>
                <w:szCs w:val="24"/>
                <w:highlight w:val="yellow"/>
                <w:lang w:val="en-US"/>
              </w:rPr>
              <w:t>3</w:t>
            </w:r>
            <w:r>
              <w:rPr>
                <w:rFonts w:hint="eastAsia" w:ascii="Times New Roman" w:hAnsi="Times New Roman" w:cs="Times New Roman"/>
                <w:sz w:val="24"/>
                <w:szCs w:val="24"/>
                <w:highlight w:val="yellow"/>
                <w:lang w:val="en-US" w:eastAsia="zh-CN"/>
              </w:rPr>
              <w:t>1</w:t>
            </w:r>
          </w:p>
        </w:tc>
        <w:tc>
          <w:tcPr>
            <w:tcW w:w="1384" w:type="pct"/>
            <w:vAlign w:val="center"/>
          </w:tcPr>
          <w:p w14:paraId="4B41F6EC">
            <w:pPr>
              <w:pStyle w:val="9"/>
              <w:spacing w:line="240" w:lineRule="auto"/>
              <w:ind w:firstLine="0" w:firstLineChars="0"/>
              <w:jc w:val="center"/>
              <w:rPr>
                <w:rFonts w:hint="default" w:ascii="Times New Roman" w:hAnsi="Times New Roman" w:eastAsia="仿宋" w:cs="Times New Roman"/>
                <w:sz w:val="24"/>
                <w:szCs w:val="24"/>
                <w:highlight w:val="yellow"/>
                <w:lang w:val="en-US" w:eastAsia="zh-CN"/>
              </w:rPr>
            </w:pPr>
            <w:r>
              <w:rPr>
                <w:rFonts w:hint="eastAsia" w:ascii="Times New Roman" w:hAnsi="Times New Roman" w:cs="Times New Roman"/>
                <w:sz w:val="24"/>
                <w:szCs w:val="24"/>
                <w:highlight w:val="yellow"/>
                <w:lang w:val="en-US" w:eastAsia="zh-CN"/>
              </w:rPr>
              <w:t>194990.45</w:t>
            </w:r>
          </w:p>
        </w:tc>
      </w:tr>
      <w:tr w14:paraId="64571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pct"/>
          </w:tcPr>
          <w:p w14:paraId="0C79CC51">
            <w:pPr>
              <w:pStyle w:val="9"/>
              <w:spacing w:line="240" w:lineRule="auto"/>
              <w:ind w:firstLine="0" w:firstLineChars="0"/>
              <w:jc w:val="center"/>
              <w:rPr>
                <w:rFonts w:ascii="Times New Roman" w:hAnsi="Times New Roman" w:cs="Times New Roman"/>
                <w:sz w:val="24"/>
                <w:szCs w:val="24"/>
                <w:highlight w:val="yellow"/>
                <w:lang w:val="en-US"/>
              </w:rPr>
            </w:pPr>
            <w:r>
              <w:rPr>
                <w:rFonts w:ascii="Times New Roman" w:hAnsi="Times New Roman" w:cs="Times New Roman"/>
                <w:sz w:val="24"/>
                <w:szCs w:val="24"/>
                <w:highlight w:val="yellow"/>
                <w:lang w:val="en-US"/>
              </w:rPr>
              <w:t>2</w:t>
            </w:r>
          </w:p>
        </w:tc>
        <w:tc>
          <w:tcPr>
            <w:tcW w:w="1880" w:type="pct"/>
            <w:vAlign w:val="center"/>
          </w:tcPr>
          <w:p w14:paraId="022A3060">
            <w:pPr>
              <w:pStyle w:val="9"/>
              <w:spacing w:line="240" w:lineRule="auto"/>
              <w:ind w:firstLine="0" w:firstLineChars="0"/>
              <w:jc w:val="center"/>
              <w:rPr>
                <w:rFonts w:ascii="Times New Roman" w:hAnsi="Times New Roman" w:cs="Times New Roman"/>
                <w:sz w:val="24"/>
                <w:szCs w:val="24"/>
                <w:highlight w:val="yellow"/>
                <w:lang w:val="en-US"/>
              </w:rPr>
            </w:pPr>
            <w:r>
              <w:rPr>
                <w:rFonts w:ascii="Times New Roman" w:hAnsi="Times New Roman" w:cs="Times New Roman"/>
                <w:sz w:val="24"/>
                <w:szCs w:val="24"/>
                <w:highlight w:val="yellow"/>
                <w:lang w:val="en-US"/>
              </w:rPr>
              <w:t>浑江流域</w:t>
            </w:r>
            <w:r>
              <w:rPr>
                <w:rFonts w:hint="eastAsia" w:ascii="Times New Roman" w:hAnsi="Times New Roman" w:cs="Times New Roman"/>
                <w:sz w:val="24"/>
                <w:szCs w:val="24"/>
                <w:highlight w:val="yellow"/>
                <w:lang w:val="en-US"/>
              </w:rPr>
              <w:t>（3个国控断面）</w:t>
            </w:r>
          </w:p>
        </w:tc>
        <w:tc>
          <w:tcPr>
            <w:tcW w:w="1208" w:type="pct"/>
          </w:tcPr>
          <w:p w14:paraId="46E8CE0A">
            <w:pPr>
              <w:widowControl/>
              <w:spacing w:line="240" w:lineRule="auto"/>
              <w:ind w:firstLine="0" w:firstLineChars="0"/>
              <w:jc w:val="center"/>
              <w:textAlignment w:val="top"/>
              <w:rPr>
                <w:rFonts w:cs="Times New Roman"/>
                <w:sz w:val="24"/>
                <w:szCs w:val="24"/>
                <w:highlight w:val="yellow"/>
                <w:lang w:val="en-US"/>
              </w:rPr>
            </w:pPr>
            <w:r>
              <w:rPr>
                <w:rFonts w:cs="Times New Roman"/>
                <w:sz w:val="24"/>
                <w:szCs w:val="24"/>
                <w:highlight w:val="yellow"/>
                <w:lang w:val="en-US"/>
              </w:rPr>
              <w:t>7</w:t>
            </w:r>
          </w:p>
        </w:tc>
        <w:tc>
          <w:tcPr>
            <w:tcW w:w="1384" w:type="pct"/>
            <w:vAlign w:val="center"/>
          </w:tcPr>
          <w:p w14:paraId="380F5973">
            <w:pPr>
              <w:widowControl/>
              <w:spacing w:line="240" w:lineRule="auto"/>
              <w:ind w:firstLine="0" w:firstLineChars="0"/>
              <w:jc w:val="center"/>
              <w:textAlignment w:val="center"/>
              <w:rPr>
                <w:rFonts w:hint="default" w:eastAsia="仿宋" w:cs="Times New Roman"/>
                <w:sz w:val="24"/>
                <w:szCs w:val="24"/>
                <w:highlight w:val="yellow"/>
                <w:lang w:val="en-US" w:eastAsia="zh-CN"/>
              </w:rPr>
            </w:pPr>
            <w:r>
              <w:rPr>
                <w:rFonts w:hint="eastAsia" w:cs="Times New Roman"/>
                <w:sz w:val="24"/>
                <w:szCs w:val="24"/>
                <w:highlight w:val="yellow"/>
                <w:lang w:val="en-US" w:eastAsia="zh-CN"/>
              </w:rPr>
              <w:t>39222.5</w:t>
            </w:r>
          </w:p>
        </w:tc>
      </w:tr>
      <w:tr w14:paraId="260B9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pct"/>
          </w:tcPr>
          <w:p w14:paraId="45498749">
            <w:pPr>
              <w:pStyle w:val="9"/>
              <w:spacing w:line="240" w:lineRule="auto"/>
              <w:ind w:firstLine="0" w:firstLineChars="0"/>
              <w:jc w:val="center"/>
              <w:rPr>
                <w:rFonts w:ascii="Times New Roman" w:hAnsi="Times New Roman" w:cs="Times New Roman"/>
                <w:sz w:val="24"/>
                <w:szCs w:val="24"/>
                <w:highlight w:val="yellow"/>
                <w:lang w:val="en-US"/>
              </w:rPr>
            </w:pPr>
            <w:r>
              <w:rPr>
                <w:rFonts w:ascii="Times New Roman" w:hAnsi="Times New Roman" w:cs="Times New Roman"/>
                <w:sz w:val="24"/>
                <w:szCs w:val="24"/>
                <w:highlight w:val="yellow"/>
                <w:lang w:val="en-US"/>
              </w:rPr>
              <w:t>3</w:t>
            </w:r>
          </w:p>
        </w:tc>
        <w:tc>
          <w:tcPr>
            <w:tcW w:w="1880" w:type="pct"/>
            <w:vAlign w:val="center"/>
          </w:tcPr>
          <w:p w14:paraId="06844A39">
            <w:pPr>
              <w:pStyle w:val="9"/>
              <w:spacing w:line="240" w:lineRule="auto"/>
              <w:ind w:firstLine="0" w:firstLineChars="0"/>
              <w:jc w:val="center"/>
              <w:rPr>
                <w:rFonts w:ascii="Times New Roman" w:hAnsi="Times New Roman" w:cs="Times New Roman"/>
                <w:sz w:val="24"/>
                <w:szCs w:val="24"/>
                <w:highlight w:val="yellow"/>
                <w:lang w:val="en-US"/>
              </w:rPr>
            </w:pPr>
            <w:r>
              <w:rPr>
                <w:rFonts w:ascii="Times New Roman" w:hAnsi="Times New Roman" w:cs="Times New Roman"/>
                <w:sz w:val="24"/>
                <w:szCs w:val="24"/>
                <w:highlight w:val="yellow"/>
                <w:lang w:val="en-US"/>
              </w:rPr>
              <w:t>草河流域</w:t>
            </w:r>
            <w:r>
              <w:rPr>
                <w:rFonts w:hint="eastAsia" w:ascii="Times New Roman" w:hAnsi="Times New Roman" w:cs="Times New Roman"/>
                <w:sz w:val="24"/>
                <w:szCs w:val="24"/>
                <w:highlight w:val="yellow"/>
                <w:lang w:val="en-US"/>
              </w:rPr>
              <w:t>（1个国控断面）</w:t>
            </w:r>
          </w:p>
        </w:tc>
        <w:tc>
          <w:tcPr>
            <w:tcW w:w="1208" w:type="pct"/>
          </w:tcPr>
          <w:p w14:paraId="423E070F">
            <w:pPr>
              <w:widowControl/>
              <w:spacing w:line="240" w:lineRule="auto"/>
              <w:ind w:firstLine="0" w:firstLineChars="0"/>
              <w:jc w:val="center"/>
              <w:textAlignment w:val="top"/>
              <w:rPr>
                <w:rFonts w:hint="eastAsia" w:eastAsia="仿宋" w:cs="Times New Roman"/>
                <w:sz w:val="24"/>
                <w:szCs w:val="24"/>
                <w:highlight w:val="yellow"/>
                <w:lang w:val="en-US" w:eastAsia="zh-CN"/>
              </w:rPr>
            </w:pPr>
            <w:r>
              <w:rPr>
                <w:rFonts w:hint="eastAsia" w:cs="Times New Roman"/>
                <w:sz w:val="24"/>
                <w:szCs w:val="24"/>
                <w:highlight w:val="yellow"/>
                <w:lang w:val="en-US" w:eastAsia="zh-CN"/>
              </w:rPr>
              <w:t>2</w:t>
            </w:r>
          </w:p>
        </w:tc>
        <w:tc>
          <w:tcPr>
            <w:tcW w:w="1384" w:type="pct"/>
            <w:vAlign w:val="center"/>
          </w:tcPr>
          <w:p w14:paraId="4C5BB6F6">
            <w:pPr>
              <w:widowControl/>
              <w:spacing w:line="240" w:lineRule="auto"/>
              <w:ind w:firstLine="0" w:firstLineChars="0"/>
              <w:jc w:val="center"/>
              <w:textAlignment w:val="center"/>
              <w:rPr>
                <w:rFonts w:hint="default" w:eastAsia="仿宋" w:cs="Times New Roman"/>
                <w:sz w:val="24"/>
                <w:szCs w:val="24"/>
                <w:highlight w:val="yellow"/>
                <w:lang w:val="en-US" w:eastAsia="zh-CN"/>
              </w:rPr>
            </w:pPr>
            <w:r>
              <w:rPr>
                <w:rFonts w:hint="eastAsia" w:cs="Times New Roman"/>
                <w:sz w:val="24"/>
                <w:szCs w:val="24"/>
                <w:highlight w:val="yellow"/>
                <w:lang w:val="en-US" w:eastAsia="zh-CN"/>
              </w:rPr>
              <w:t>3000</w:t>
            </w:r>
          </w:p>
        </w:tc>
      </w:tr>
      <w:tr w14:paraId="6101D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pct"/>
          </w:tcPr>
          <w:p w14:paraId="40F1B09C">
            <w:pPr>
              <w:pStyle w:val="9"/>
              <w:spacing w:line="240" w:lineRule="auto"/>
              <w:ind w:firstLine="0" w:firstLineChars="0"/>
              <w:jc w:val="center"/>
              <w:rPr>
                <w:rFonts w:ascii="Times New Roman" w:hAnsi="Times New Roman" w:cs="Times New Roman"/>
                <w:b/>
                <w:bCs/>
                <w:sz w:val="24"/>
                <w:szCs w:val="24"/>
                <w:highlight w:val="yellow"/>
                <w:lang w:val="en-US"/>
              </w:rPr>
            </w:pPr>
            <w:r>
              <w:rPr>
                <w:rFonts w:ascii="Times New Roman" w:hAnsi="Times New Roman" w:cs="Times New Roman"/>
                <w:b/>
                <w:bCs/>
                <w:sz w:val="24"/>
                <w:szCs w:val="24"/>
                <w:highlight w:val="yellow"/>
                <w:lang w:val="en-US"/>
              </w:rPr>
              <w:t>合计</w:t>
            </w:r>
          </w:p>
        </w:tc>
        <w:tc>
          <w:tcPr>
            <w:tcW w:w="1880" w:type="pct"/>
          </w:tcPr>
          <w:p w14:paraId="19EEE872">
            <w:pPr>
              <w:pStyle w:val="9"/>
              <w:spacing w:line="240" w:lineRule="auto"/>
              <w:ind w:firstLine="0" w:firstLineChars="0"/>
              <w:jc w:val="center"/>
              <w:rPr>
                <w:rFonts w:ascii="Times New Roman" w:hAnsi="Times New Roman" w:cs="Times New Roman"/>
                <w:b/>
                <w:bCs/>
                <w:sz w:val="24"/>
                <w:szCs w:val="24"/>
                <w:highlight w:val="yellow"/>
                <w:lang w:val="en-US"/>
              </w:rPr>
            </w:pPr>
            <w:r>
              <w:rPr>
                <w:rFonts w:ascii="Times New Roman" w:hAnsi="Times New Roman" w:cs="Times New Roman"/>
                <w:b/>
                <w:bCs/>
                <w:sz w:val="24"/>
                <w:szCs w:val="24"/>
                <w:highlight w:val="yellow"/>
                <w:lang w:val="en-US"/>
              </w:rPr>
              <w:t>—</w:t>
            </w:r>
          </w:p>
        </w:tc>
        <w:tc>
          <w:tcPr>
            <w:tcW w:w="1208" w:type="pct"/>
            <w:vAlign w:val="center"/>
          </w:tcPr>
          <w:p w14:paraId="1F9E06F3">
            <w:pPr>
              <w:pStyle w:val="9"/>
              <w:spacing w:line="240" w:lineRule="auto"/>
              <w:ind w:firstLine="0" w:firstLineChars="0"/>
              <w:jc w:val="center"/>
              <w:rPr>
                <w:rFonts w:hint="eastAsia" w:ascii="Times New Roman" w:hAnsi="Times New Roman" w:eastAsia="仿宋" w:cs="Times New Roman"/>
                <w:b/>
                <w:bCs/>
                <w:sz w:val="24"/>
                <w:szCs w:val="24"/>
                <w:highlight w:val="yellow"/>
                <w:lang w:val="en-US" w:eastAsia="zh-CN"/>
              </w:rPr>
            </w:pPr>
            <w:r>
              <w:rPr>
                <w:rFonts w:ascii="Times New Roman" w:hAnsi="Times New Roman" w:cs="Times New Roman"/>
                <w:b/>
                <w:bCs/>
                <w:sz w:val="24"/>
                <w:szCs w:val="24"/>
                <w:highlight w:val="yellow"/>
                <w:lang w:val="en-US"/>
              </w:rPr>
              <w:t>4</w:t>
            </w:r>
            <w:r>
              <w:rPr>
                <w:rFonts w:hint="eastAsia" w:ascii="Times New Roman" w:hAnsi="Times New Roman" w:cs="Times New Roman"/>
                <w:b/>
                <w:bCs/>
                <w:sz w:val="24"/>
                <w:szCs w:val="24"/>
                <w:highlight w:val="yellow"/>
                <w:lang w:val="en-US" w:eastAsia="zh-CN"/>
              </w:rPr>
              <w:t>0</w:t>
            </w:r>
          </w:p>
        </w:tc>
        <w:tc>
          <w:tcPr>
            <w:tcW w:w="1384" w:type="pct"/>
            <w:vAlign w:val="center"/>
          </w:tcPr>
          <w:p w14:paraId="58F4BFC1">
            <w:pPr>
              <w:widowControl/>
              <w:spacing w:line="240" w:lineRule="auto"/>
              <w:ind w:firstLine="0" w:firstLineChars="0"/>
              <w:jc w:val="center"/>
              <w:textAlignment w:val="center"/>
              <w:rPr>
                <w:rFonts w:hint="default" w:eastAsia="仿宋" w:cs="Times New Roman"/>
                <w:b/>
                <w:bCs/>
                <w:sz w:val="24"/>
                <w:szCs w:val="24"/>
                <w:highlight w:val="yellow"/>
                <w:lang w:val="en-US" w:eastAsia="zh-CN"/>
              </w:rPr>
            </w:pPr>
            <w:r>
              <w:rPr>
                <w:rFonts w:hint="eastAsia" w:cs="Times New Roman"/>
                <w:b/>
                <w:bCs/>
                <w:sz w:val="24"/>
                <w:szCs w:val="24"/>
                <w:highlight w:val="yellow"/>
                <w:lang w:val="en-US" w:eastAsia="zh-CN"/>
              </w:rPr>
              <w:t>237212.95</w:t>
            </w:r>
          </w:p>
        </w:tc>
      </w:tr>
    </w:tbl>
    <w:p w14:paraId="6DD8B49E">
      <w:pPr>
        <w:pStyle w:val="9"/>
        <w:ind w:firstLine="480"/>
        <w:rPr>
          <w:rFonts w:ascii="Times New Roman" w:hAnsi="Times New Roman" w:cs="Times New Roman"/>
          <w:sz w:val="24"/>
          <w:szCs w:val="24"/>
        </w:rPr>
      </w:pPr>
      <w:r>
        <w:rPr>
          <w:rFonts w:ascii="Times New Roman" w:hAnsi="Times New Roman" w:cs="Times New Roman"/>
          <w:sz w:val="24"/>
          <w:szCs w:val="24"/>
        </w:rPr>
        <w:br w:type="page"/>
      </w:r>
    </w:p>
    <w:p w14:paraId="40E9564B">
      <w:pPr>
        <w:pStyle w:val="3"/>
        <w:bidi w:val="0"/>
      </w:pPr>
      <w:bookmarkStart w:id="189" w:name="_Toc12799"/>
      <w:r>
        <w:t>第七章</w:t>
      </w:r>
      <w:r>
        <w:rPr>
          <w:rFonts w:hint="eastAsia"/>
        </w:rPr>
        <w:t xml:space="preserve"> </w:t>
      </w:r>
      <w:r>
        <w:t xml:space="preserve"> 保障措施</w:t>
      </w:r>
      <w:bookmarkEnd w:id="189"/>
    </w:p>
    <w:p w14:paraId="00EE9A3D">
      <w:pPr>
        <w:pStyle w:val="4"/>
        <w:bidi w:val="0"/>
      </w:pPr>
      <w:bookmarkStart w:id="190" w:name="（一）加强组织领导"/>
      <w:bookmarkEnd w:id="190"/>
      <w:bookmarkStart w:id="191" w:name="_bookmark107"/>
      <w:bookmarkEnd w:id="191"/>
      <w:bookmarkStart w:id="192" w:name="_Toc13759"/>
      <w:r>
        <w:t>第一节</w:t>
      </w:r>
      <w:r>
        <w:rPr>
          <w:rFonts w:hint="eastAsia"/>
        </w:rPr>
        <w:t xml:space="preserve">  </w:t>
      </w:r>
      <w:r>
        <w:t>加强组织领导</w:t>
      </w:r>
      <w:bookmarkEnd w:id="192"/>
    </w:p>
    <w:p w14:paraId="2158C673">
      <w:pPr>
        <w:ind w:firstLine="560"/>
        <w:rPr>
          <w:rFonts w:cs="Times New Roman"/>
        </w:rPr>
      </w:pPr>
      <w:r>
        <w:rPr>
          <w:rFonts w:cs="Times New Roman"/>
        </w:rPr>
        <w:t>本溪市各级党委和政府对本地区水环境保护负总责，以流域水生态环境功能分区管理体系为依据，统筹流域和行政区边界，层层分解落实规划目标和任务，将规划目标、任务、项目等纳入本级国民经济和社会发展</w:t>
      </w:r>
      <w:r>
        <w:rPr>
          <w:rFonts w:hint="eastAsia" w:cs="Times New Roman"/>
        </w:rPr>
        <w:t>“</w:t>
      </w:r>
      <w:r>
        <w:rPr>
          <w:rFonts w:cs="Times New Roman"/>
        </w:rPr>
        <w:t>十四五</w:t>
      </w:r>
      <w:r>
        <w:rPr>
          <w:rFonts w:hint="eastAsia" w:cs="Times New Roman"/>
        </w:rPr>
        <w:t>”</w:t>
      </w:r>
      <w:r>
        <w:rPr>
          <w:rFonts w:cs="Times New Roman"/>
        </w:rPr>
        <w:t>规划以及相关领域、行业规划中，协调推进</w:t>
      </w:r>
      <w:r>
        <w:rPr>
          <w:rFonts w:hint="eastAsia" w:cs="Times New Roman"/>
        </w:rPr>
        <w:t>“</w:t>
      </w:r>
      <w:r>
        <w:rPr>
          <w:rFonts w:cs="Times New Roman"/>
        </w:rPr>
        <w:t>五位一体</w:t>
      </w:r>
      <w:r>
        <w:rPr>
          <w:rFonts w:hint="eastAsia" w:cs="Times New Roman"/>
        </w:rPr>
        <w:t>”</w:t>
      </w:r>
      <w:r>
        <w:rPr>
          <w:rFonts w:cs="Times New Roman"/>
        </w:rPr>
        <w:t>总体布局建设。严格落实党政领导干部生态损害责任追究制度，确保规划目标按期实现。将水环境质量</w:t>
      </w:r>
      <w:r>
        <w:rPr>
          <w:rFonts w:hint="eastAsia" w:cs="Times New Roman"/>
        </w:rPr>
        <w:t>“</w:t>
      </w:r>
      <w:r>
        <w:rPr>
          <w:rFonts w:cs="Times New Roman"/>
        </w:rPr>
        <w:t>只能更好、不能变坏</w:t>
      </w:r>
      <w:r>
        <w:rPr>
          <w:rFonts w:hint="eastAsia" w:cs="Times New Roman"/>
        </w:rPr>
        <w:t>”</w:t>
      </w:r>
      <w:r>
        <w:rPr>
          <w:rFonts w:cs="Times New Roman"/>
        </w:rPr>
        <w:t>作为水环境保护责任红线，加强对规划实施的组织领导，地方各级政府要按照</w:t>
      </w:r>
      <w:r>
        <w:rPr>
          <w:rFonts w:hint="eastAsia" w:cs="Times New Roman"/>
        </w:rPr>
        <w:t>“</w:t>
      </w:r>
      <w:r>
        <w:rPr>
          <w:rFonts w:cs="Times New Roman"/>
        </w:rPr>
        <w:t>一岗双责</w:t>
      </w:r>
      <w:r>
        <w:rPr>
          <w:rFonts w:hint="eastAsia" w:cs="Times New Roman"/>
        </w:rPr>
        <w:t>”</w:t>
      </w:r>
      <w:r>
        <w:rPr>
          <w:rFonts w:cs="Times New Roman"/>
        </w:rPr>
        <w:t>的要求细化明确各部门水环境保护职责，分解落实规划任务，形成合力。</w:t>
      </w:r>
    </w:p>
    <w:p w14:paraId="67718343">
      <w:pPr>
        <w:pStyle w:val="4"/>
        <w:bidi w:val="0"/>
      </w:pPr>
      <w:bookmarkStart w:id="193" w:name="_bookmark108"/>
      <w:bookmarkEnd w:id="193"/>
      <w:bookmarkStart w:id="194" w:name="（二）加大资金投入"/>
      <w:bookmarkEnd w:id="194"/>
      <w:bookmarkStart w:id="195" w:name="_Toc8658"/>
      <w:r>
        <w:t>第二节</w:t>
      </w:r>
      <w:r>
        <w:rPr>
          <w:rFonts w:hint="eastAsia"/>
        </w:rPr>
        <w:t xml:space="preserve">  </w:t>
      </w:r>
      <w:r>
        <w:t>加大资金投入</w:t>
      </w:r>
      <w:bookmarkEnd w:id="195"/>
    </w:p>
    <w:p w14:paraId="46D72FCA">
      <w:pPr>
        <w:ind w:firstLine="560"/>
        <w:rPr>
          <w:rFonts w:cs="Times New Roman"/>
        </w:rPr>
      </w:pPr>
      <w:r>
        <w:rPr>
          <w:rFonts w:cs="Times New Roman"/>
        </w:rPr>
        <w:t>本溪市各级人民政府要加大生态环境保护与修复资金投入，创新投融资机制，采取多种方式拓宽融资渠道，统筹水污染防治各项任务，提升资金使用绩效，确保实现规划目标。引导社会资本投入，逐步将水污染防治领域全面向社会资本开放，健全投资回报机制，以合作双方风险分担、利益共享、权益融合为目标，大力推广运用政府和社会资本合作（PPP）模式。鼓励金融机构为相关项目提高授信额度、增进信用等级，支持开展排污权、收费权、政府购买服务协议及特许权协议项下收益质押担保融资，探索开展污水垃圾处理服务项目预期收益质押融资，鼓励社会资本加大水环境保护投入。严格按照</w:t>
      </w:r>
      <w:r>
        <w:rPr>
          <w:rFonts w:hint="eastAsia" w:cs="Times New Roman"/>
        </w:rPr>
        <w:t>“</w:t>
      </w:r>
      <w:r>
        <w:rPr>
          <w:rFonts w:cs="Times New Roman"/>
        </w:rPr>
        <w:t>谁污染、谁付费</w:t>
      </w:r>
      <w:r>
        <w:rPr>
          <w:rFonts w:hint="eastAsia" w:cs="Times New Roman"/>
        </w:rPr>
        <w:t>”</w:t>
      </w:r>
      <w:r>
        <w:rPr>
          <w:rFonts w:cs="Times New Roman"/>
        </w:rPr>
        <w:t>的原则，认真核定污染治理成本，根据控制单元主要超标因子等因素适当增加污染物计征种类，合理提高排污费征收标准。城镇污水处理收费标准应不低于污水处理和污泥处理处置成本，并做到应收尽收。</w:t>
      </w:r>
    </w:p>
    <w:p w14:paraId="3D0DFA35">
      <w:pPr>
        <w:pStyle w:val="4"/>
        <w:bidi w:val="0"/>
      </w:pPr>
      <w:bookmarkStart w:id="196" w:name="_bookmark109"/>
      <w:bookmarkEnd w:id="196"/>
      <w:bookmarkStart w:id="197" w:name="（三）加强科技支撑"/>
      <w:bookmarkEnd w:id="197"/>
      <w:bookmarkStart w:id="198" w:name="_Toc17621"/>
      <w:r>
        <w:t>第三节</w:t>
      </w:r>
      <w:r>
        <w:rPr>
          <w:rFonts w:hint="eastAsia"/>
        </w:rPr>
        <w:t xml:space="preserve">  </w:t>
      </w:r>
      <w:r>
        <w:t>加强科技支撑</w:t>
      </w:r>
      <w:bookmarkEnd w:id="198"/>
    </w:p>
    <w:p w14:paraId="6E10C76E">
      <w:pPr>
        <w:ind w:firstLine="560"/>
        <w:rPr>
          <w:rFonts w:cs="Times New Roman"/>
        </w:rPr>
      </w:pPr>
      <w:r>
        <w:rPr>
          <w:rFonts w:cs="Times New Roman"/>
        </w:rPr>
        <w:t>推进水环境信息管理平台建设，将水文、水资源、水质、经济社会等基础数据按控制单元归集，大力推动水环境保护大数据发展和应用，将控制单元作为落实环评准入、区域限批等各项环境管理措施与控源减排、截污导流等污染防治措施的基本空间单位，提升污染防治的科学化、信息化和精细化水平。</w:t>
      </w:r>
    </w:p>
    <w:p w14:paraId="4F1538DD">
      <w:pPr>
        <w:ind w:firstLine="560"/>
        <w:rPr>
          <w:rFonts w:cs="Times New Roman"/>
        </w:rPr>
      </w:pPr>
      <w:r>
        <w:rPr>
          <w:rFonts w:cs="Times New Roman"/>
        </w:rPr>
        <w:t>加强生态环境基础科学问题研究，系统推进区域污染源头控制、过程削减、末端治理等技术集成创新与风险管理创新，加快重点区域环境治理系统性技术的实施，形成一批可复制可推广的区域环境治理技术模式。完善先进适用技术推广服务体系。鼓励创新财税机制</w:t>
      </w:r>
      <w:r>
        <w:rPr>
          <w:rFonts w:hint="eastAsia" w:cs="Times New Roman"/>
        </w:rPr>
        <w:t>，</w:t>
      </w:r>
      <w:r>
        <w:rPr>
          <w:rFonts w:cs="Times New Roman"/>
        </w:rPr>
        <w:t>激励科技成果的应用推广。</w:t>
      </w:r>
    </w:p>
    <w:p w14:paraId="68CBD0FA">
      <w:pPr>
        <w:pStyle w:val="4"/>
        <w:bidi w:val="0"/>
      </w:pPr>
      <w:bookmarkStart w:id="199" w:name="（四）推进多方联动"/>
      <w:bookmarkEnd w:id="199"/>
      <w:bookmarkStart w:id="200" w:name="_bookmark110"/>
      <w:bookmarkEnd w:id="200"/>
      <w:bookmarkStart w:id="201" w:name="_Toc32392"/>
      <w:r>
        <w:t>第四节</w:t>
      </w:r>
      <w:r>
        <w:rPr>
          <w:rFonts w:hint="eastAsia"/>
        </w:rPr>
        <w:t xml:space="preserve">  </w:t>
      </w:r>
      <w:r>
        <w:t>推进多方联动</w:t>
      </w:r>
      <w:bookmarkEnd w:id="201"/>
    </w:p>
    <w:p w14:paraId="538B1935">
      <w:pPr>
        <w:ind w:firstLine="562"/>
        <w:rPr>
          <w:rFonts w:cs="Times New Roman"/>
        </w:rPr>
      </w:pPr>
      <w:r>
        <w:rPr>
          <w:rFonts w:cs="Times New Roman"/>
          <w:b/>
        </w:rPr>
        <w:t>健全区域联动。</w:t>
      </w:r>
      <w:r>
        <w:rPr>
          <w:rFonts w:cs="Times New Roman"/>
        </w:rPr>
        <w:t>流域上下游、左右岸各级政府、各部门之间要加强协调，探索跨行政区之间的环境保护合作框架，建立定期会商制度和协作应急处置、跨界交叉检查机制，形成治污合力。积极推进跨界河流水污染突发事件的双边协调机制与应急处理能力建设。</w:t>
      </w:r>
    </w:p>
    <w:p w14:paraId="1CB7C984">
      <w:pPr>
        <w:ind w:firstLine="562"/>
        <w:rPr>
          <w:rFonts w:cs="Times New Roman"/>
        </w:rPr>
      </w:pPr>
      <w:r>
        <w:rPr>
          <w:rFonts w:cs="Times New Roman"/>
          <w:b/>
        </w:rPr>
        <w:t>推进信息公开。</w:t>
      </w:r>
      <w:r>
        <w:rPr>
          <w:rFonts w:hint="eastAsia" w:cs="Times New Roman"/>
        </w:rPr>
        <w:t>本溪市</w:t>
      </w:r>
      <w:r>
        <w:rPr>
          <w:rFonts w:cs="Times New Roman"/>
        </w:rPr>
        <w:t>各级人民政府定期公布本行政区域内生态环境质量状况、政府环境保护工作落实情况等相关信息，严格执行建设项目环境影响评价信息公开。重点企业应当公开污染物排放、治污设施运行情况等环境信息。加大生态环境保护宣传教育力度，营造全社会共同参与环境保护的良好氛围。</w:t>
      </w:r>
    </w:p>
    <w:p w14:paraId="47A063B5">
      <w:pPr>
        <w:ind w:firstLine="562"/>
        <w:rPr>
          <w:rFonts w:cs="Times New Roman"/>
        </w:rPr>
      </w:pPr>
      <w:r>
        <w:rPr>
          <w:rFonts w:cs="Times New Roman"/>
          <w:b/>
        </w:rPr>
        <w:t>引导公众参与。</w:t>
      </w:r>
      <w:r>
        <w:rPr>
          <w:rFonts w:cs="Times New Roman"/>
        </w:rPr>
        <w:t>充分利用现代化信息技术手段，拓宽公众参与渠道，加大宣传力度，建立激励机制，引导公众在水环境保护建言献策、污染源排放监督等方面积极参与。</w:t>
      </w:r>
    </w:p>
    <w:p w14:paraId="7DE008FC">
      <w:pPr>
        <w:ind w:firstLine="562"/>
        <w:rPr>
          <w:rFonts w:cs="Times New Roman"/>
        </w:rPr>
      </w:pPr>
      <w:r>
        <w:rPr>
          <w:rFonts w:cs="Times New Roman"/>
          <w:b/>
        </w:rPr>
        <w:t>完善环境法治。</w:t>
      </w:r>
      <w:r>
        <w:rPr>
          <w:rFonts w:cs="Times New Roman"/>
        </w:rPr>
        <w:t>加大环境执法监督力度，推进联合执法、区域执法、交叉执法，强化执法监督和责任追究。加强环保、水利、公安、检察等部门和机关协作，健全行政执法与刑事司法衔接配合机制，完善案件移送、受理、立案、通报等规定。</w:t>
      </w:r>
    </w:p>
    <w:p w14:paraId="27E74673">
      <w:pPr>
        <w:pStyle w:val="4"/>
        <w:bidi w:val="0"/>
      </w:pPr>
      <w:bookmarkStart w:id="202" w:name="_bookmark111"/>
      <w:bookmarkEnd w:id="202"/>
      <w:bookmarkStart w:id="203" w:name="（五）严格评估考核"/>
      <w:bookmarkEnd w:id="203"/>
      <w:bookmarkStart w:id="204" w:name="_Toc8167"/>
      <w:r>
        <w:t>第五节</w:t>
      </w:r>
      <w:r>
        <w:rPr>
          <w:rFonts w:hint="eastAsia"/>
        </w:rPr>
        <w:t xml:space="preserve">  </w:t>
      </w:r>
      <w:r>
        <w:t>严格评估考核</w:t>
      </w:r>
      <w:bookmarkEnd w:id="204"/>
    </w:p>
    <w:p w14:paraId="0977A955">
      <w:pPr>
        <w:ind w:firstLine="560"/>
        <w:rPr>
          <w:rFonts w:cs="Times New Roman"/>
        </w:rPr>
      </w:pPr>
      <w:r>
        <w:rPr>
          <w:rFonts w:cs="Times New Roman"/>
        </w:rPr>
        <w:t>各部门要对《规划》确定的重点任务、工程落实情况进行跟踪分析，加强督促检查</w:t>
      </w:r>
      <w:r>
        <w:rPr>
          <w:rFonts w:hint="eastAsia" w:cs="Times New Roman"/>
        </w:rPr>
        <w:t>，</w:t>
      </w:r>
      <w:r>
        <w:rPr>
          <w:rFonts w:cs="Times New Roman"/>
        </w:rPr>
        <w:t>及时分析辖区内水环境状况，动态跟踪规划实施进展，及时研究调整工作部署，确保规划顺利实施。对《规划》执行情况进行中期评估和终期考核，评估考核结果向社会公布，强化考核结果在中央资金分配、区域限批、领导干部追责等方面的应用。</w:t>
      </w:r>
    </w:p>
    <w:p w14:paraId="6EE3C03B">
      <w:pPr>
        <w:ind w:firstLine="560"/>
        <w:rPr>
          <w:rFonts w:cs="Times New Roman"/>
        </w:rPr>
        <w:sectPr>
          <w:pgSz w:w="11906" w:h="16838"/>
          <w:pgMar w:top="1440" w:right="1800" w:bottom="1440" w:left="1800" w:header="851" w:footer="850" w:gutter="0"/>
          <w:pgNumType w:start="1"/>
          <w:cols w:space="425" w:num="1"/>
          <w:docGrid w:type="lines" w:linePitch="312" w:charSpace="0"/>
        </w:sectPr>
      </w:pPr>
    </w:p>
    <w:p w14:paraId="0E0F82E0">
      <w:pPr>
        <w:pStyle w:val="3"/>
        <w:keepNext w:val="0"/>
        <w:keepLines w:val="0"/>
        <w:pageBreakBefore w:val="0"/>
        <w:widowControl w:val="0"/>
        <w:kinsoku/>
        <w:wordWrap/>
        <w:overflowPunct/>
        <w:topLinePunct w:val="0"/>
        <w:autoSpaceDE w:val="0"/>
        <w:autoSpaceDN w:val="0"/>
        <w:bidi w:val="0"/>
        <w:adjustRightInd w:val="0"/>
        <w:snapToGrid w:val="0"/>
        <w:spacing w:before="0" w:after="0"/>
        <w:jc w:val="left"/>
        <w:textAlignment w:val="auto"/>
        <w:rPr>
          <w:rFonts w:hint="eastAsia"/>
          <w:lang w:val="en-US"/>
        </w:rPr>
      </w:pPr>
      <w:bookmarkStart w:id="205" w:name="_Toc27735"/>
      <w:r>
        <w:rPr>
          <w:rFonts w:hint="eastAsia"/>
          <w:lang w:val="en-US"/>
        </w:rPr>
        <w:t>附表</w:t>
      </w:r>
      <w:bookmarkEnd w:id="205"/>
    </w:p>
    <w:p w14:paraId="7FFCD229">
      <w:pPr>
        <w:pStyle w:val="4"/>
        <w:keepNext w:val="0"/>
        <w:keepLines w:val="0"/>
        <w:pageBreakBefore w:val="0"/>
        <w:widowControl w:val="0"/>
        <w:kinsoku/>
        <w:wordWrap/>
        <w:overflowPunct/>
        <w:topLinePunct w:val="0"/>
        <w:autoSpaceDE w:val="0"/>
        <w:autoSpaceDN w:val="0"/>
        <w:bidi w:val="0"/>
        <w:adjustRightInd w:val="0"/>
        <w:snapToGrid w:val="0"/>
        <w:spacing w:before="0" w:after="0"/>
        <w:textAlignment w:val="auto"/>
        <w:rPr>
          <w:sz w:val="24"/>
          <w:szCs w:val="24"/>
        </w:rPr>
      </w:pPr>
      <w:bookmarkStart w:id="206" w:name="_Toc24976"/>
      <w:r>
        <w:rPr>
          <w:sz w:val="24"/>
          <w:szCs w:val="24"/>
          <w:lang w:val="en-US"/>
        </w:rPr>
        <w:t>附表1</w:t>
      </w:r>
      <w:r>
        <w:rPr>
          <w:rFonts w:hint="eastAsia"/>
          <w:sz w:val="24"/>
          <w:szCs w:val="24"/>
          <w:lang w:val="en-US"/>
        </w:rPr>
        <w:t xml:space="preserve">  </w:t>
      </w:r>
      <w:r>
        <w:rPr>
          <w:sz w:val="24"/>
          <w:szCs w:val="24"/>
          <w:lang w:val="en-US"/>
        </w:rPr>
        <w:t>国控断面及其</w:t>
      </w:r>
      <w:r>
        <w:rPr>
          <w:rFonts w:hint="eastAsia"/>
          <w:sz w:val="24"/>
          <w:szCs w:val="24"/>
          <w:lang w:val="en-US"/>
        </w:rPr>
        <w:t>汇水范围</w:t>
      </w:r>
      <w:bookmarkEnd w:id="206"/>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901"/>
        <w:gridCol w:w="1819"/>
        <w:gridCol w:w="1483"/>
        <w:gridCol w:w="1262"/>
        <w:gridCol w:w="1152"/>
        <w:gridCol w:w="8119"/>
      </w:tblGrid>
      <w:tr w14:paraId="1BC2E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Header/>
          <w:jc w:val="center"/>
        </w:trPr>
        <w:tc>
          <w:tcPr>
            <w:tcW w:w="604" w:type="pct"/>
            <w:tcMar>
              <w:top w:w="15" w:type="dxa"/>
              <w:left w:w="15" w:type="dxa"/>
              <w:right w:w="15" w:type="dxa"/>
            </w:tcMar>
            <w:vAlign w:val="center"/>
          </w:tcPr>
          <w:p w14:paraId="1C50805D">
            <w:pPr>
              <w:spacing w:line="240" w:lineRule="auto"/>
              <w:ind w:firstLine="0" w:firstLineChars="0"/>
              <w:jc w:val="center"/>
              <w:rPr>
                <w:rFonts w:cs="Times New Roman"/>
                <w:b/>
                <w:bCs/>
                <w:sz w:val="24"/>
                <w:szCs w:val="24"/>
              </w:rPr>
            </w:pPr>
            <w:r>
              <w:rPr>
                <w:rFonts w:cs="Times New Roman"/>
                <w:b/>
                <w:bCs/>
                <w:sz w:val="24"/>
                <w:szCs w:val="24"/>
              </w:rPr>
              <w:t>国家控制单元</w:t>
            </w:r>
          </w:p>
        </w:tc>
        <w:tc>
          <w:tcPr>
            <w:tcW w:w="578" w:type="pct"/>
            <w:vAlign w:val="center"/>
          </w:tcPr>
          <w:p w14:paraId="671A8994">
            <w:pPr>
              <w:spacing w:line="240" w:lineRule="auto"/>
              <w:ind w:firstLine="0" w:firstLineChars="0"/>
              <w:jc w:val="center"/>
              <w:rPr>
                <w:rFonts w:cs="Times New Roman"/>
                <w:b/>
                <w:bCs/>
                <w:sz w:val="24"/>
                <w:szCs w:val="24"/>
              </w:rPr>
            </w:pPr>
            <w:r>
              <w:rPr>
                <w:rFonts w:cs="Times New Roman"/>
                <w:b/>
                <w:bCs/>
                <w:sz w:val="24"/>
                <w:szCs w:val="24"/>
              </w:rPr>
              <w:t>断面名称</w:t>
            </w:r>
          </w:p>
        </w:tc>
        <w:tc>
          <w:tcPr>
            <w:tcW w:w="471" w:type="pct"/>
            <w:tcMar>
              <w:top w:w="15" w:type="dxa"/>
              <w:left w:w="15" w:type="dxa"/>
              <w:right w:w="15" w:type="dxa"/>
            </w:tcMar>
            <w:vAlign w:val="center"/>
          </w:tcPr>
          <w:p w14:paraId="48107DFB">
            <w:pPr>
              <w:spacing w:line="240" w:lineRule="auto"/>
              <w:ind w:firstLine="0" w:firstLineChars="0"/>
              <w:jc w:val="center"/>
              <w:rPr>
                <w:rFonts w:cs="Times New Roman"/>
                <w:b/>
                <w:bCs/>
                <w:sz w:val="24"/>
                <w:szCs w:val="24"/>
              </w:rPr>
            </w:pPr>
            <w:r>
              <w:rPr>
                <w:rFonts w:cs="Times New Roman"/>
                <w:b/>
                <w:bCs/>
                <w:sz w:val="24"/>
                <w:szCs w:val="24"/>
              </w:rPr>
              <w:t>所在水体</w:t>
            </w:r>
          </w:p>
        </w:tc>
        <w:tc>
          <w:tcPr>
            <w:tcW w:w="401" w:type="pct"/>
            <w:vAlign w:val="center"/>
          </w:tcPr>
          <w:p w14:paraId="43601142">
            <w:pPr>
              <w:spacing w:line="240" w:lineRule="auto"/>
              <w:ind w:firstLine="0" w:firstLineChars="0"/>
              <w:jc w:val="center"/>
              <w:rPr>
                <w:rFonts w:cs="Times New Roman"/>
                <w:b/>
                <w:bCs/>
                <w:sz w:val="24"/>
                <w:szCs w:val="24"/>
              </w:rPr>
            </w:pPr>
            <w:r>
              <w:rPr>
                <w:rFonts w:cs="Times New Roman"/>
                <w:b/>
                <w:bCs/>
                <w:sz w:val="24"/>
                <w:szCs w:val="24"/>
              </w:rPr>
              <w:t>目标水质</w:t>
            </w:r>
          </w:p>
        </w:tc>
        <w:tc>
          <w:tcPr>
            <w:tcW w:w="366" w:type="pct"/>
            <w:tcMar>
              <w:top w:w="15" w:type="dxa"/>
              <w:left w:w="15" w:type="dxa"/>
              <w:right w:w="15" w:type="dxa"/>
            </w:tcMar>
            <w:vAlign w:val="center"/>
          </w:tcPr>
          <w:p w14:paraId="2E1BD78D">
            <w:pPr>
              <w:spacing w:line="240" w:lineRule="auto"/>
              <w:ind w:firstLine="0" w:firstLineChars="0"/>
              <w:jc w:val="center"/>
              <w:rPr>
                <w:rFonts w:cs="Times New Roman"/>
                <w:b/>
                <w:bCs/>
                <w:sz w:val="24"/>
                <w:szCs w:val="24"/>
              </w:rPr>
            </w:pPr>
            <w:r>
              <w:rPr>
                <w:rFonts w:cs="Times New Roman"/>
                <w:b/>
                <w:bCs/>
                <w:sz w:val="24"/>
                <w:szCs w:val="24"/>
              </w:rPr>
              <w:t>所在区县</w:t>
            </w:r>
          </w:p>
        </w:tc>
        <w:tc>
          <w:tcPr>
            <w:tcW w:w="2579" w:type="pct"/>
            <w:tcMar>
              <w:top w:w="15" w:type="dxa"/>
              <w:left w:w="15" w:type="dxa"/>
              <w:right w:w="15" w:type="dxa"/>
            </w:tcMar>
            <w:vAlign w:val="center"/>
          </w:tcPr>
          <w:p w14:paraId="1DC91C5C">
            <w:pPr>
              <w:spacing w:line="240" w:lineRule="auto"/>
              <w:ind w:firstLine="0" w:firstLineChars="0"/>
              <w:jc w:val="center"/>
              <w:rPr>
                <w:rFonts w:cs="Times New Roman"/>
                <w:b/>
                <w:bCs/>
                <w:sz w:val="24"/>
                <w:szCs w:val="24"/>
              </w:rPr>
            </w:pPr>
            <w:r>
              <w:rPr>
                <w:rFonts w:cs="Times New Roman"/>
                <w:b/>
                <w:bCs/>
                <w:sz w:val="24"/>
                <w:szCs w:val="24"/>
              </w:rPr>
              <w:t>汇水范围包含的行政区</w:t>
            </w:r>
          </w:p>
        </w:tc>
      </w:tr>
      <w:tr w14:paraId="5CDE9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04" w:type="pct"/>
            <w:vMerge w:val="restart"/>
            <w:tcMar>
              <w:top w:w="15" w:type="dxa"/>
              <w:left w:w="15" w:type="dxa"/>
              <w:right w:w="15" w:type="dxa"/>
            </w:tcMar>
            <w:vAlign w:val="center"/>
          </w:tcPr>
          <w:p w14:paraId="4DA30F3B">
            <w:pPr>
              <w:spacing w:line="240" w:lineRule="auto"/>
              <w:ind w:firstLine="0" w:firstLineChars="0"/>
              <w:jc w:val="center"/>
              <w:rPr>
                <w:rFonts w:cs="Times New Roman"/>
                <w:sz w:val="24"/>
                <w:szCs w:val="24"/>
              </w:rPr>
            </w:pPr>
            <w:r>
              <w:rPr>
                <w:rFonts w:cs="Times New Roman"/>
                <w:sz w:val="24"/>
                <w:szCs w:val="24"/>
                <w:lang w:val="en-US"/>
              </w:rPr>
              <w:t>太子河（本溪市）控制单元</w:t>
            </w:r>
          </w:p>
        </w:tc>
        <w:tc>
          <w:tcPr>
            <w:tcW w:w="578" w:type="pct"/>
            <w:vAlign w:val="center"/>
          </w:tcPr>
          <w:p w14:paraId="4632FB60">
            <w:pPr>
              <w:spacing w:line="240" w:lineRule="auto"/>
              <w:ind w:firstLine="0" w:firstLineChars="0"/>
              <w:jc w:val="center"/>
              <w:rPr>
                <w:rFonts w:cs="Times New Roman"/>
                <w:sz w:val="24"/>
                <w:szCs w:val="24"/>
              </w:rPr>
            </w:pPr>
            <w:r>
              <w:rPr>
                <w:rFonts w:cs="Times New Roman"/>
                <w:sz w:val="24"/>
                <w:szCs w:val="24"/>
              </w:rPr>
              <w:t>南太子河入库口</w:t>
            </w:r>
          </w:p>
        </w:tc>
        <w:tc>
          <w:tcPr>
            <w:tcW w:w="471" w:type="pct"/>
            <w:tcMar>
              <w:top w:w="15" w:type="dxa"/>
              <w:left w:w="15" w:type="dxa"/>
              <w:right w:w="15" w:type="dxa"/>
            </w:tcMar>
            <w:vAlign w:val="center"/>
          </w:tcPr>
          <w:p w14:paraId="2DF0FAFB">
            <w:pPr>
              <w:spacing w:line="240" w:lineRule="auto"/>
              <w:ind w:firstLine="0" w:firstLineChars="0"/>
              <w:jc w:val="center"/>
              <w:rPr>
                <w:rFonts w:hint="eastAsia" w:eastAsia="仿宋" w:cs="Times New Roman"/>
                <w:sz w:val="24"/>
                <w:szCs w:val="24"/>
                <w:lang w:eastAsia="zh-CN"/>
              </w:rPr>
            </w:pPr>
            <w:r>
              <w:rPr>
                <w:rFonts w:cs="Times New Roman"/>
                <w:sz w:val="24"/>
                <w:szCs w:val="24"/>
              </w:rPr>
              <w:t>太子河</w:t>
            </w:r>
            <w:r>
              <w:rPr>
                <w:rFonts w:hint="eastAsia" w:cs="Times New Roman"/>
                <w:sz w:val="24"/>
                <w:szCs w:val="24"/>
              </w:rPr>
              <w:t>南</w:t>
            </w:r>
            <w:r>
              <w:rPr>
                <w:rFonts w:hint="eastAsia" w:cs="Times New Roman"/>
                <w:sz w:val="24"/>
                <w:szCs w:val="24"/>
                <w:lang w:eastAsia="zh-CN"/>
              </w:rPr>
              <w:t>支</w:t>
            </w:r>
          </w:p>
        </w:tc>
        <w:tc>
          <w:tcPr>
            <w:tcW w:w="401" w:type="pct"/>
            <w:vAlign w:val="center"/>
          </w:tcPr>
          <w:p w14:paraId="0935BA3B">
            <w:pPr>
              <w:spacing w:line="240" w:lineRule="auto"/>
              <w:ind w:firstLine="0" w:firstLineChars="0"/>
              <w:jc w:val="center"/>
              <w:rPr>
                <w:rFonts w:hint="eastAsia" w:ascii="Times New Roman" w:hAnsi="Times New Roman" w:cs="Times New Roman"/>
                <w:sz w:val="24"/>
                <w:szCs w:val="24"/>
                <w:lang w:eastAsia="zh-CN"/>
              </w:rPr>
            </w:pPr>
            <w:r>
              <w:rPr>
                <w:rFonts w:hint="eastAsia" w:ascii="Times New Roman" w:hAnsi="Times New Roman" w:cs="Times New Roman"/>
                <w:sz w:val="24"/>
                <w:szCs w:val="24"/>
              </w:rPr>
              <w:t>Ⅱ</w:t>
            </w:r>
            <w:r>
              <w:rPr>
                <w:rFonts w:hint="eastAsia" w:ascii="Times New Roman" w:hAnsi="Times New Roman" w:cs="Times New Roman"/>
                <w:sz w:val="24"/>
                <w:szCs w:val="24"/>
                <w:lang w:eastAsia="zh-CN"/>
              </w:rPr>
              <w:t>类</w:t>
            </w:r>
          </w:p>
        </w:tc>
        <w:tc>
          <w:tcPr>
            <w:tcW w:w="366" w:type="pct"/>
            <w:tcMar>
              <w:top w:w="15" w:type="dxa"/>
              <w:left w:w="15" w:type="dxa"/>
              <w:right w:w="15" w:type="dxa"/>
            </w:tcMar>
            <w:vAlign w:val="center"/>
          </w:tcPr>
          <w:p w14:paraId="34C8AD96">
            <w:pPr>
              <w:spacing w:line="240" w:lineRule="auto"/>
              <w:ind w:firstLine="0" w:firstLineChars="0"/>
              <w:jc w:val="center"/>
              <w:rPr>
                <w:rFonts w:cs="Times New Roman"/>
                <w:sz w:val="24"/>
                <w:szCs w:val="24"/>
              </w:rPr>
            </w:pPr>
            <w:r>
              <w:rPr>
                <w:rFonts w:cs="Times New Roman"/>
                <w:sz w:val="24"/>
                <w:szCs w:val="24"/>
              </w:rPr>
              <w:t>本溪县</w:t>
            </w:r>
          </w:p>
        </w:tc>
        <w:tc>
          <w:tcPr>
            <w:tcW w:w="2579" w:type="pct"/>
            <w:tcMar>
              <w:top w:w="15" w:type="dxa"/>
              <w:left w:w="15" w:type="dxa"/>
              <w:right w:w="15" w:type="dxa"/>
            </w:tcMar>
            <w:vAlign w:val="center"/>
          </w:tcPr>
          <w:p w14:paraId="4D83E13D">
            <w:pPr>
              <w:spacing w:line="240" w:lineRule="auto"/>
              <w:ind w:firstLine="0" w:firstLineChars="0"/>
              <w:jc w:val="left"/>
              <w:rPr>
                <w:rFonts w:cs="Times New Roman"/>
                <w:sz w:val="24"/>
                <w:szCs w:val="24"/>
              </w:rPr>
            </w:pPr>
            <w:r>
              <w:rPr>
                <w:rFonts w:cs="Times New Roman"/>
                <w:sz w:val="24"/>
                <w:szCs w:val="24"/>
              </w:rPr>
              <w:t>碱厂镇、东营坊乡</w:t>
            </w:r>
          </w:p>
        </w:tc>
      </w:tr>
      <w:tr w14:paraId="4D32E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04" w:type="pct"/>
            <w:vMerge w:val="continue"/>
            <w:tcMar>
              <w:top w:w="15" w:type="dxa"/>
              <w:left w:w="15" w:type="dxa"/>
              <w:right w:w="15" w:type="dxa"/>
            </w:tcMar>
            <w:vAlign w:val="center"/>
          </w:tcPr>
          <w:p w14:paraId="7FB5EA78">
            <w:pPr>
              <w:spacing w:line="240" w:lineRule="auto"/>
              <w:ind w:firstLine="0" w:firstLineChars="0"/>
              <w:jc w:val="center"/>
              <w:rPr>
                <w:rFonts w:cs="Times New Roman"/>
                <w:sz w:val="24"/>
                <w:szCs w:val="24"/>
              </w:rPr>
            </w:pPr>
          </w:p>
        </w:tc>
        <w:tc>
          <w:tcPr>
            <w:tcW w:w="578" w:type="pct"/>
            <w:vAlign w:val="center"/>
          </w:tcPr>
          <w:p w14:paraId="7F699657">
            <w:pPr>
              <w:spacing w:line="240" w:lineRule="auto"/>
              <w:ind w:firstLine="0" w:firstLineChars="0"/>
              <w:jc w:val="center"/>
              <w:rPr>
                <w:rFonts w:cs="Times New Roman"/>
                <w:sz w:val="24"/>
                <w:szCs w:val="24"/>
              </w:rPr>
            </w:pPr>
            <w:r>
              <w:rPr>
                <w:rFonts w:cs="Times New Roman"/>
                <w:sz w:val="24"/>
                <w:szCs w:val="24"/>
              </w:rPr>
              <w:t>赛梨寨</w:t>
            </w:r>
          </w:p>
        </w:tc>
        <w:tc>
          <w:tcPr>
            <w:tcW w:w="471" w:type="pct"/>
            <w:tcMar>
              <w:top w:w="15" w:type="dxa"/>
              <w:left w:w="15" w:type="dxa"/>
              <w:right w:w="15" w:type="dxa"/>
            </w:tcMar>
            <w:vAlign w:val="center"/>
          </w:tcPr>
          <w:p w14:paraId="53A7BC33">
            <w:pPr>
              <w:spacing w:line="240" w:lineRule="auto"/>
              <w:ind w:firstLine="0" w:firstLineChars="0"/>
              <w:jc w:val="center"/>
              <w:rPr>
                <w:rFonts w:cs="Times New Roman"/>
                <w:sz w:val="24"/>
                <w:szCs w:val="24"/>
              </w:rPr>
            </w:pPr>
            <w:r>
              <w:rPr>
                <w:rFonts w:cs="Times New Roman"/>
                <w:sz w:val="24"/>
                <w:szCs w:val="24"/>
              </w:rPr>
              <w:t>观音阁水库</w:t>
            </w:r>
          </w:p>
        </w:tc>
        <w:tc>
          <w:tcPr>
            <w:tcW w:w="401" w:type="pct"/>
            <w:vAlign w:val="center"/>
          </w:tcPr>
          <w:p w14:paraId="0A68E4D2">
            <w:pPr>
              <w:spacing w:line="240" w:lineRule="auto"/>
              <w:ind w:firstLine="0" w:firstLineChars="0"/>
              <w:jc w:val="center"/>
              <w:rPr>
                <w:rFonts w:ascii="Times New Roman" w:hAnsi="Times New Roman" w:cs="Times New Roman"/>
                <w:sz w:val="24"/>
                <w:szCs w:val="24"/>
              </w:rPr>
            </w:pPr>
            <w:r>
              <w:rPr>
                <w:rFonts w:hint="eastAsia" w:ascii="Times New Roman" w:hAnsi="Times New Roman" w:cs="Times New Roman"/>
                <w:sz w:val="24"/>
                <w:szCs w:val="24"/>
              </w:rPr>
              <w:t>Ⅱ</w:t>
            </w:r>
            <w:r>
              <w:rPr>
                <w:rFonts w:hint="eastAsia" w:ascii="Times New Roman" w:hAnsi="Times New Roman" w:cs="Times New Roman"/>
                <w:sz w:val="24"/>
                <w:szCs w:val="24"/>
                <w:lang w:eastAsia="zh-CN"/>
              </w:rPr>
              <w:t>类</w:t>
            </w:r>
          </w:p>
        </w:tc>
        <w:tc>
          <w:tcPr>
            <w:tcW w:w="366" w:type="pct"/>
            <w:tcMar>
              <w:top w:w="15" w:type="dxa"/>
              <w:left w:w="15" w:type="dxa"/>
              <w:right w:w="15" w:type="dxa"/>
            </w:tcMar>
            <w:vAlign w:val="center"/>
          </w:tcPr>
          <w:p w14:paraId="00C1558E">
            <w:pPr>
              <w:spacing w:line="240" w:lineRule="auto"/>
              <w:ind w:firstLine="0" w:firstLineChars="0"/>
              <w:jc w:val="center"/>
              <w:rPr>
                <w:rFonts w:cs="Times New Roman"/>
                <w:sz w:val="24"/>
                <w:szCs w:val="24"/>
              </w:rPr>
            </w:pPr>
            <w:r>
              <w:rPr>
                <w:rFonts w:cs="Times New Roman"/>
                <w:sz w:val="24"/>
                <w:szCs w:val="24"/>
              </w:rPr>
              <w:t>本溪县</w:t>
            </w:r>
          </w:p>
        </w:tc>
        <w:tc>
          <w:tcPr>
            <w:tcW w:w="2579" w:type="pct"/>
            <w:tcMar>
              <w:top w:w="15" w:type="dxa"/>
              <w:left w:w="15" w:type="dxa"/>
              <w:right w:w="15" w:type="dxa"/>
            </w:tcMar>
            <w:vAlign w:val="center"/>
          </w:tcPr>
          <w:p w14:paraId="52461724">
            <w:pPr>
              <w:spacing w:line="240" w:lineRule="auto"/>
              <w:ind w:firstLine="0" w:firstLineChars="0"/>
              <w:jc w:val="left"/>
              <w:rPr>
                <w:rFonts w:cs="Times New Roman"/>
                <w:sz w:val="24"/>
                <w:szCs w:val="24"/>
              </w:rPr>
            </w:pPr>
            <w:r>
              <w:rPr>
                <w:rFonts w:cs="Times New Roman"/>
                <w:sz w:val="24"/>
                <w:szCs w:val="24"/>
              </w:rPr>
              <w:t>清河城镇、田师付镇、南甸镇</w:t>
            </w:r>
          </w:p>
        </w:tc>
      </w:tr>
      <w:tr w14:paraId="7D637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04" w:type="pct"/>
            <w:vMerge w:val="continue"/>
            <w:tcMar>
              <w:top w:w="15" w:type="dxa"/>
              <w:left w:w="15" w:type="dxa"/>
              <w:right w:w="15" w:type="dxa"/>
            </w:tcMar>
            <w:vAlign w:val="center"/>
          </w:tcPr>
          <w:p w14:paraId="5BF2F261">
            <w:pPr>
              <w:spacing w:line="240" w:lineRule="auto"/>
              <w:ind w:firstLine="0" w:firstLineChars="0"/>
              <w:jc w:val="center"/>
              <w:rPr>
                <w:rFonts w:cs="Times New Roman"/>
                <w:sz w:val="24"/>
                <w:szCs w:val="24"/>
              </w:rPr>
            </w:pPr>
          </w:p>
        </w:tc>
        <w:tc>
          <w:tcPr>
            <w:tcW w:w="578" w:type="pct"/>
            <w:vAlign w:val="center"/>
          </w:tcPr>
          <w:p w14:paraId="38DEBB80">
            <w:pPr>
              <w:spacing w:line="240" w:lineRule="auto"/>
              <w:ind w:firstLine="0" w:firstLineChars="0"/>
              <w:jc w:val="center"/>
              <w:rPr>
                <w:rFonts w:cs="Times New Roman"/>
                <w:sz w:val="24"/>
                <w:szCs w:val="24"/>
              </w:rPr>
            </w:pPr>
            <w:r>
              <w:rPr>
                <w:rFonts w:cs="Times New Roman"/>
                <w:sz w:val="24"/>
                <w:szCs w:val="24"/>
              </w:rPr>
              <w:t>老官砬子</w:t>
            </w:r>
          </w:p>
        </w:tc>
        <w:tc>
          <w:tcPr>
            <w:tcW w:w="471" w:type="pct"/>
            <w:tcMar>
              <w:top w:w="15" w:type="dxa"/>
              <w:left w:w="15" w:type="dxa"/>
              <w:right w:w="15" w:type="dxa"/>
            </w:tcMar>
            <w:vAlign w:val="center"/>
          </w:tcPr>
          <w:p w14:paraId="2F59AEE5">
            <w:pPr>
              <w:spacing w:line="240" w:lineRule="auto"/>
              <w:ind w:firstLine="0" w:firstLineChars="0"/>
              <w:jc w:val="center"/>
              <w:rPr>
                <w:rFonts w:cs="Times New Roman"/>
                <w:sz w:val="24"/>
                <w:szCs w:val="24"/>
              </w:rPr>
            </w:pPr>
            <w:r>
              <w:rPr>
                <w:rFonts w:cs="Times New Roman"/>
                <w:sz w:val="24"/>
                <w:szCs w:val="24"/>
              </w:rPr>
              <w:t>太子河</w:t>
            </w:r>
          </w:p>
        </w:tc>
        <w:tc>
          <w:tcPr>
            <w:tcW w:w="401" w:type="pct"/>
            <w:vAlign w:val="center"/>
          </w:tcPr>
          <w:p w14:paraId="60A3C53E">
            <w:pPr>
              <w:spacing w:line="240" w:lineRule="auto"/>
              <w:ind w:firstLine="0" w:firstLineChars="0"/>
              <w:jc w:val="center"/>
              <w:rPr>
                <w:rFonts w:ascii="Times New Roman" w:hAnsi="Times New Roman" w:cs="Times New Roman"/>
                <w:sz w:val="24"/>
                <w:szCs w:val="24"/>
              </w:rPr>
            </w:pPr>
            <w:r>
              <w:rPr>
                <w:rFonts w:hint="eastAsia" w:ascii="Times New Roman" w:hAnsi="Times New Roman" w:cs="Times New Roman"/>
                <w:sz w:val="24"/>
                <w:szCs w:val="24"/>
              </w:rPr>
              <w:t>Ⅱ</w:t>
            </w:r>
            <w:r>
              <w:rPr>
                <w:rFonts w:hint="eastAsia" w:ascii="Times New Roman" w:hAnsi="Times New Roman" w:cs="Times New Roman"/>
                <w:sz w:val="24"/>
                <w:szCs w:val="24"/>
                <w:lang w:eastAsia="zh-CN"/>
              </w:rPr>
              <w:t>类</w:t>
            </w:r>
          </w:p>
        </w:tc>
        <w:tc>
          <w:tcPr>
            <w:tcW w:w="366" w:type="pct"/>
            <w:tcMar>
              <w:top w:w="15" w:type="dxa"/>
              <w:left w:w="15" w:type="dxa"/>
              <w:right w:w="15" w:type="dxa"/>
            </w:tcMar>
            <w:vAlign w:val="center"/>
          </w:tcPr>
          <w:p w14:paraId="28B0BF5E">
            <w:pPr>
              <w:spacing w:line="240" w:lineRule="auto"/>
              <w:ind w:firstLine="0" w:firstLineChars="0"/>
              <w:jc w:val="center"/>
              <w:rPr>
                <w:rFonts w:cs="Times New Roman"/>
                <w:sz w:val="24"/>
                <w:szCs w:val="24"/>
              </w:rPr>
            </w:pPr>
            <w:r>
              <w:rPr>
                <w:rFonts w:cs="Times New Roman"/>
                <w:sz w:val="24"/>
                <w:szCs w:val="24"/>
              </w:rPr>
              <w:t>本溪县</w:t>
            </w:r>
          </w:p>
        </w:tc>
        <w:tc>
          <w:tcPr>
            <w:tcW w:w="2579" w:type="pct"/>
            <w:tcMar>
              <w:top w:w="15" w:type="dxa"/>
              <w:left w:w="15" w:type="dxa"/>
              <w:right w:w="15" w:type="dxa"/>
            </w:tcMar>
            <w:vAlign w:val="center"/>
          </w:tcPr>
          <w:p w14:paraId="62F23A08">
            <w:pPr>
              <w:spacing w:line="240" w:lineRule="auto"/>
              <w:ind w:firstLine="0" w:firstLineChars="0"/>
              <w:jc w:val="left"/>
              <w:rPr>
                <w:rFonts w:cs="Times New Roman"/>
                <w:sz w:val="24"/>
                <w:szCs w:val="24"/>
              </w:rPr>
            </w:pPr>
            <w:r>
              <w:rPr>
                <w:rFonts w:cs="Times New Roman"/>
                <w:sz w:val="24"/>
                <w:szCs w:val="24"/>
              </w:rPr>
              <w:t>观音阁街道、小市镇、高官镇</w:t>
            </w:r>
          </w:p>
        </w:tc>
      </w:tr>
      <w:tr w14:paraId="4E5B1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04" w:type="pct"/>
            <w:vMerge w:val="continue"/>
            <w:tcMar>
              <w:top w:w="15" w:type="dxa"/>
              <w:left w:w="15" w:type="dxa"/>
              <w:right w:w="15" w:type="dxa"/>
            </w:tcMar>
            <w:vAlign w:val="center"/>
          </w:tcPr>
          <w:p w14:paraId="25994279">
            <w:pPr>
              <w:spacing w:line="240" w:lineRule="auto"/>
              <w:ind w:firstLine="0" w:firstLineChars="0"/>
              <w:jc w:val="center"/>
              <w:rPr>
                <w:rFonts w:cs="Times New Roman"/>
                <w:sz w:val="24"/>
                <w:szCs w:val="24"/>
              </w:rPr>
            </w:pPr>
          </w:p>
        </w:tc>
        <w:tc>
          <w:tcPr>
            <w:tcW w:w="578" w:type="pct"/>
            <w:vMerge w:val="restart"/>
            <w:vAlign w:val="center"/>
          </w:tcPr>
          <w:p w14:paraId="2C83BB89">
            <w:pPr>
              <w:spacing w:line="240" w:lineRule="auto"/>
              <w:ind w:firstLine="0" w:firstLineChars="0"/>
              <w:jc w:val="center"/>
              <w:rPr>
                <w:rFonts w:cs="Times New Roman"/>
                <w:sz w:val="24"/>
                <w:szCs w:val="24"/>
              </w:rPr>
            </w:pPr>
            <w:r>
              <w:rPr>
                <w:rFonts w:cs="Times New Roman"/>
                <w:sz w:val="24"/>
                <w:szCs w:val="24"/>
              </w:rPr>
              <w:t>兴安</w:t>
            </w:r>
          </w:p>
        </w:tc>
        <w:tc>
          <w:tcPr>
            <w:tcW w:w="471" w:type="pct"/>
            <w:vMerge w:val="restart"/>
            <w:tcMar>
              <w:top w:w="15" w:type="dxa"/>
              <w:left w:w="15" w:type="dxa"/>
              <w:right w:w="15" w:type="dxa"/>
            </w:tcMar>
            <w:vAlign w:val="center"/>
          </w:tcPr>
          <w:p w14:paraId="19D6037F">
            <w:pPr>
              <w:spacing w:line="240" w:lineRule="auto"/>
              <w:ind w:firstLine="0" w:firstLineChars="0"/>
              <w:jc w:val="center"/>
              <w:rPr>
                <w:rFonts w:cs="Times New Roman"/>
                <w:sz w:val="24"/>
                <w:szCs w:val="24"/>
              </w:rPr>
            </w:pPr>
            <w:r>
              <w:rPr>
                <w:rFonts w:cs="Times New Roman"/>
                <w:sz w:val="24"/>
                <w:szCs w:val="24"/>
              </w:rPr>
              <w:t>太子河</w:t>
            </w:r>
          </w:p>
        </w:tc>
        <w:tc>
          <w:tcPr>
            <w:tcW w:w="401" w:type="pct"/>
            <w:vMerge w:val="restart"/>
            <w:vAlign w:val="center"/>
          </w:tcPr>
          <w:p w14:paraId="0E93C5A2">
            <w:pPr>
              <w:spacing w:line="240" w:lineRule="auto"/>
              <w:ind w:firstLine="0" w:firstLineChars="0"/>
              <w:jc w:val="center"/>
              <w:rPr>
                <w:rFonts w:hint="eastAsia" w:ascii="Times New Roman" w:hAnsi="Times New Roman" w:cs="Times New Roman"/>
                <w:sz w:val="24"/>
                <w:szCs w:val="24"/>
                <w:lang w:eastAsia="zh-CN"/>
              </w:rPr>
            </w:pPr>
            <w:r>
              <w:rPr>
                <w:rFonts w:hint="eastAsia" w:ascii="Times New Roman" w:hAnsi="Times New Roman" w:cs="Times New Roman"/>
                <w:sz w:val="24"/>
                <w:szCs w:val="24"/>
              </w:rPr>
              <w:t>Ⅲ</w:t>
            </w:r>
            <w:r>
              <w:rPr>
                <w:rFonts w:hint="eastAsia" w:ascii="Times New Roman" w:hAnsi="Times New Roman" w:cs="Times New Roman"/>
                <w:sz w:val="24"/>
                <w:szCs w:val="24"/>
                <w:lang w:eastAsia="zh-CN"/>
              </w:rPr>
              <w:t>类</w:t>
            </w:r>
          </w:p>
        </w:tc>
        <w:tc>
          <w:tcPr>
            <w:tcW w:w="366" w:type="pct"/>
            <w:tcMar>
              <w:top w:w="15" w:type="dxa"/>
              <w:left w:w="15" w:type="dxa"/>
              <w:right w:w="15" w:type="dxa"/>
            </w:tcMar>
            <w:vAlign w:val="center"/>
          </w:tcPr>
          <w:p w14:paraId="5F04EBC5">
            <w:pPr>
              <w:spacing w:line="240" w:lineRule="auto"/>
              <w:ind w:firstLine="0" w:firstLineChars="0"/>
              <w:jc w:val="center"/>
              <w:rPr>
                <w:rFonts w:cs="Times New Roman"/>
                <w:sz w:val="24"/>
                <w:szCs w:val="24"/>
              </w:rPr>
            </w:pPr>
            <w:r>
              <w:rPr>
                <w:rFonts w:cs="Times New Roman"/>
                <w:sz w:val="24"/>
                <w:szCs w:val="24"/>
              </w:rPr>
              <w:t>平山区</w:t>
            </w:r>
          </w:p>
        </w:tc>
        <w:tc>
          <w:tcPr>
            <w:tcW w:w="2579" w:type="pct"/>
            <w:tcMar>
              <w:top w:w="15" w:type="dxa"/>
              <w:left w:w="15" w:type="dxa"/>
              <w:right w:w="15" w:type="dxa"/>
            </w:tcMar>
            <w:vAlign w:val="center"/>
          </w:tcPr>
          <w:p w14:paraId="2A57C486">
            <w:pPr>
              <w:spacing w:line="240" w:lineRule="auto"/>
              <w:ind w:firstLine="0" w:firstLineChars="0"/>
              <w:jc w:val="left"/>
              <w:rPr>
                <w:rFonts w:cs="Times New Roman"/>
                <w:sz w:val="24"/>
                <w:szCs w:val="24"/>
              </w:rPr>
            </w:pPr>
            <w:r>
              <w:rPr>
                <w:rFonts w:cs="Times New Roman"/>
                <w:sz w:val="24"/>
                <w:szCs w:val="24"/>
              </w:rPr>
              <w:t>南地街道、工人街道、平山街道、东明街道、崔东街道、站前街道、千金街道</w:t>
            </w:r>
          </w:p>
        </w:tc>
      </w:tr>
      <w:tr w14:paraId="0FA08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04" w:type="pct"/>
            <w:vMerge w:val="continue"/>
            <w:noWrap/>
            <w:tcMar>
              <w:top w:w="15" w:type="dxa"/>
              <w:left w:w="15" w:type="dxa"/>
              <w:right w:w="15" w:type="dxa"/>
            </w:tcMar>
            <w:vAlign w:val="center"/>
          </w:tcPr>
          <w:p w14:paraId="4BAAD9A4">
            <w:pPr>
              <w:spacing w:line="240" w:lineRule="auto"/>
              <w:ind w:firstLine="0" w:firstLineChars="0"/>
              <w:jc w:val="center"/>
              <w:rPr>
                <w:rFonts w:cs="Times New Roman"/>
                <w:sz w:val="24"/>
                <w:szCs w:val="24"/>
              </w:rPr>
            </w:pPr>
          </w:p>
        </w:tc>
        <w:tc>
          <w:tcPr>
            <w:tcW w:w="578" w:type="pct"/>
            <w:vMerge w:val="continue"/>
            <w:vAlign w:val="center"/>
          </w:tcPr>
          <w:p w14:paraId="2B2F726A">
            <w:pPr>
              <w:spacing w:line="240" w:lineRule="auto"/>
              <w:ind w:firstLine="0" w:firstLineChars="0"/>
              <w:jc w:val="center"/>
              <w:rPr>
                <w:rFonts w:cs="Times New Roman"/>
                <w:sz w:val="24"/>
                <w:szCs w:val="24"/>
              </w:rPr>
            </w:pPr>
          </w:p>
        </w:tc>
        <w:tc>
          <w:tcPr>
            <w:tcW w:w="471" w:type="pct"/>
            <w:vMerge w:val="continue"/>
            <w:noWrap/>
            <w:tcMar>
              <w:top w:w="15" w:type="dxa"/>
              <w:left w:w="15" w:type="dxa"/>
              <w:right w:w="15" w:type="dxa"/>
            </w:tcMar>
            <w:vAlign w:val="center"/>
          </w:tcPr>
          <w:p w14:paraId="67EFCAF8">
            <w:pPr>
              <w:spacing w:line="240" w:lineRule="auto"/>
              <w:ind w:firstLine="0" w:firstLineChars="0"/>
              <w:jc w:val="center"/>
              <w:rPr>
                <w:rFonts w:cs="Times New Roman"/>
                <w:sz w:val="24"/>
                <w:szCs w:val="24"/>
              </w:rPr>
            </w:pPr>
          </w:p>
        </w:tc>
        <w:tc>
          <w:tcPr>
            <w:tcW w:w="401" w:type="pct"/>
            <w:vMerge w:val="continue"/>
            <w:vAlign w:val="center"/>
          </w:tcPr>
          <w:p w14:paraId="3CE0DC15">
            <w:pPr>
              <w:spacing w:line="240" w:lineRule="auto"/>
              <w:ind w:firstLine="0" w:firstLineChars="0"/>
              <w:jc w:val="center"/>
              <w:rPr>
                <w:rFonts w:ascii="Times New Roman" w:hAnsi="Times New Roman" w:cs="Times New Roman"/>
                <w:sz w:val="24"/>
                <w:szCs w:val="24"/>
              </w:rPr>
            </w:pPr>
          </w:p>
        </w:tc>
        <w:tc>
          <w:tcPr>
            <w:tcW w:w="366" w:type="pct"/>
            <w:tcMar>
              <w:top w:w="15" w:type="dxa"/>
              <w:left w:w="15" w:type="dxa"/>
              <w:right w:w="15" w:type="dxa"/>
            </w:tcMar>
            <w:vAlign w:val="center"/>
          </w:tcPr>
          <w:p w14:paraId="1E24FD4D">
            <w:pPr>
              <w:spacing w:line="240" w:lineRule="auto"/>
              <w:ind w:firstLine="0" w:firstLineChars="0"/>
              <w:jc w:val="center"/>
              <w:rPr>
                <w:rFonts w:cs="Times New Roman"/>
                <w:sz w:val="24"/>
                <w:szCs w:val="24"/>
              </w:rPr>
            </w:pPr>
            <w:r>
              <w:rPr>
                <w:rFonts w:cs="Times New Roman"/>
                <w:sz w:val="24"/>
                <w:szCs w:val="24"/>
              </w:rPr>
              <w:t>溪湖区</w:t>
            </w:r>
          </w:p>
        </w:tc>
        <w:tc>
          <w:tcPr>
            <w:tcW w:w="2579" w:type="pct"/>
            <w:tcMar>
              <w:top w:w="15" w:type="dxa"/>
              <w:left w:w="15" w:type="dxa"/>
              <w:right w:w="15" w:type="dxa"/>
            </w:tcMar>
            <w:vAlign w:val="center"/>
          </w:tcPr>
          <w:p w14:paraId="40DEBC9E">
            <w:pPr>
              <w:spacing w:line="240" w:lineRule="auto"/>
              <w:ind w:firstLine="0" w:firstLineChars="0"/>
              <w:jc w:val="left"/>
              <w:rPr>
                <w:rFonts w:cs="Times New Roman"/>
                <w:sz w:val="24"/>
                <w:szCs w:val="24"/>
              </w:rPr>
            </w:pPr>
            <w:r>
              <w:rPr>
                <w:rFonts w:cs="Times New Roman"/>
                <w:sz w:val="24"/>
                <w:szCs w:val="24"/>
              </w:rPr>
              <w:t>河东街道、河西街道、彩屯街道、竖井街道、彩北街道、东风街道、火连寨街道</w:t>
            </w:r>
          </w:p>
        </w:tc>
      </w:tr>
      <w:tr w14:paraId="252B4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04" w:type="pct"/>
            <w:vMerge w:val="continue"/>
            <w:noWrap/>
            <w:tcMar>
              <w:top w:w="15" w:type="dxa"/>
              <w:left w:w="15" w:type="dxa"/>
              <w:right w:w="15" w:type="dxa"/>
            </w:tcMar>
            <w:vAlign w:val="center"/>
          </w:tcPr>
          <w:p w14:paraId="3D492138">
            <w:pPr>
              <w:spacing w:line="240" w:lineRule="auto"/>
              <w:ind w:firstLine="0" w:firstLineChars="0"/>
              <w:jc w:val="center"/>
              <w:rPr>
                <w:rFonts w:cs="Times New Roman"/>
                <w:sz w:val="24"/>
                <w:szCs w:val="24"/>
              </w:rPr>
            </w:pPr>
          </w:p>
        </w:tc>
        <w:tc>
          <w:tcPr>
            <w:tcW w:w="578" w:type="pct"/>
            <w:vMerge w:val="continue"/>
            <w:vAlign w:val="center"/>
          </w:tcPr>
          <w:p w14:paraId="68F6B9FC">
            <w:pPr>
              <w:spacing w:line="240" w:lineRule="auto"/>
              <w:ind w:firstLine="0" w:firstLineChars="0"/>
              <w:jc w:val="center"/>
              <w:rPr>
                <w:rFonts w:cs="Times New Roman"/>
                <w:sz w:val="24"/>
                <w:szCs w:val="24"/>
              </w:rPr>
            </w:pPr>
          </w:p>
        </w:tc>
        <w:tc>
          <w:tcPr>
            <w:tcW w:w="471" w:type="pct"/>
            <w:vMerge w:val="continue"/>
            <w:noWrap/>
            <w:tcMar>
              <w:top w:w="15" w:type="dxa"/>
              <w:left w:w="15" w:type="dxa"/>
              <w:right w:w="15" w:type="dxa"/>
            </w:tcMar>
            <w:vAlign w:val="center"/>
          </w:tcPr>
          <w:p w14:paraId="2E83E609">
            <w:pPr>
              <w:spacing w:line="240" w:lineRule="auto"/>
              <w:ind w:firstLine="0" w:firstLineChars="0"/>
              <w:jc w:val="center"/>
              <w:rPr>
                <w:rFonts w:cs="Times New Roman"/>
                <w:sz w:val="24"/>
                <w:szCs w:val="24"/>
              </w:rPr>
            </w:pPr>
          </w:p>
        </w:tc>
        <w:tc>
          <w:tcPr>
            <w:tcW w:w="401" w:type="pct"/>
            <w:vMerge w:val="continue"/>
            <w:vAlign w:val="center"/>
          </w:tcPr>
          <w:p w14:paraId="7EEF4D8C">
            <w:pPr>
              <w:spacing w:line="240" w:lineRule="auto"/>
              <w:ind w:firstLine="0" w:firstLineChars="0"/>
              <w:jc w:val="center"/>
              <w:rPr>
                <w:rFonts w:ascii="Times New Roman" w:hAnsi="Times New Roman" w:cs="Times New Roman"/>
                <w:sz w:val="24"/>
                <w:szCs w:val="24"/>
              </w:rPr>
            </w:pPr>
          </w:p>
        </w:tc>
        <w:tc>
          <w:tcPr>
            <w:tcW w:w="366" w:type="pct"/>
            <w:tcMar>
              <w:top w:w="15" w:type="dxa"/>
              <w:left w:w="15" w:type="dxa"/>
              <w:right w:w="15" w:type="dxa"/>
            </w:tcMar>
            <w:vAlign w:val="center"/>
          </w:tcPr>
          <w:p w14:paraId="33E2B46D">
            <w:pPr>
              <w:spacing w:line="240" w:lineRule="auto"/>
              <w:ind w:firstLine="0" w:firstLineChars="0"/>
              <w:jc w:val="center"/>
              <w:rPr>
                <w:rFonts w:cs="Times New Roman"/>
                <w:sz w:val="24"/>
                <w:szCs w:val="24"/>
              </w:rPr>
            </w:pPr>
            <w:r>
              <w:rPr>
                <w:rFonts w:cs="Times New Roman"/>
                <w:sz w:val="24"/>
                <w:szCs w:val="24"/>
              </w:rPr>
              <w:t>明山区</w:t>
            </w:r>
          </w:p>
        </w:tc>
        <w:tc>
          <w:tcPr>
            <w:tcW w:w="2579" w:type="pct"/>
            <w:tcMar>
              <w:top w:w="15" w:type="dxa"/>
              <w:left w:w="15" w:type="dxa"/>
              <w:right w:w="15" w:type="dxa"/>
            </w:tcMar>
            <w:vAlign w:val="center"/>
          </w:tcPr>
          <w:p w14:paraId="24E414D1">
            <w:pPr>
              <w:spacing w:line="240" w:lineRule="auto"/>
              <w:ind w:firstLine="0" w:firstLineChars="0"/>
              <w:jc w:val="left"/>
              <w:rPr>
                <w:rFonts w:cs="Times New Roman"/>
                <w:sz w:val="24"/>
                <w:szCs w:val="24"/>
              </w:rPr>
            </w:pPr>
            <w:r>
              <w:rPr>
                <w:rFonts w:cs="Times New Roman"/>
                <w:sz w:val="24"/>
                <w:szCs w:val="24"/>
              </w:rPr>
              <w:t>金山街道、北地街道、高峪街道、明山街道、东兴街道、新明街道、牛心台街道、卧龙街道、高台子街道</w:t>
            </w:r>
          </w:p>
        </w:tc>
      </w:tr>
      <w:tr w14:paraId="7727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04" w:type="pct"/>
            <w:vMerge w:val="continue"/>
            <w:noWrap/>
            <w:tcMar>
              <w:top w:w="15" w:type="dxa"/>
              <w:left w:w="15" w:type="dxa"/>
              <w:right w:w="15" w:type="dxa"/>
            </w:tcMar>
            <w:vAlign w:val="center"/>
          </w:tcPr>
          <w:p w14:paraId="477E3E60">
            <w:pPr>
              <w:spacing w:line="240" w:lineRule="auto"/>
              <w:ind w:firstLine="0" w:firstLineChars="0"/>
              <w:jc w:val="center"/>
              <w:rPr>
                <w:rFonts w:cs="Times New Roman"/>
                <w:sz w:val="24"/>
                <w:szCs w:val="24"/>
                <w:highlight w:val="yellow"/>
              </w:rPr>
            </w:pPr>
          </w:p>
        </w:tc>
        <w:tc>
          <w:tcPr>
            <w:tcW w:w="578" w:type="pct"/>
            <w:vMerge w:val="restart"/>
            <w:vAlign w:val="center"/>
          </w:tcPr>
          <w:p w14:paraId="3DC73927">
            <w:pPr>
              <w:spacing w:line="240" w:lineRule="auto"/>
              <w:ind w:firstLine="0" w:firstLineChars="0"/>
              <w:jc w:val="center"/>
              <w:rPr>
                <w:rFonts w:cs="Times New Roman"/>
                <w:sz w:val="24"/>
                <w:szCs w:val="24"/>
              </w:rPr>
            </w:pPr>
            <w:r>
              <w:rPr>
                <w:rFonts w:cs="Times New Roman"/>
                <w:sz w:val="24"/>
                <w:szCs w:val="24"/>
              </w:rPr>
              <w:t>葠窝坝下</w:t>
            </w:r>
          </w:p>
        </w:tc>
        <w:tc>
          <w:tcPr>
            <w:tcW w:w="471" w:type="pct"/>
            <w:vMerge w:val="restart"/>
            <w:noWrap/>
            <w:tcMar>
              <w:top w:w="15" w:type="dxa"/>
              <w:left w:w="15" w:type="dxa"/>
              <w:right w:w="15" w:type="dxa"/>
            </w:tcMar>
            <w:vAlign w:val="center"/>
          </w:tcPr>
          <w:p w14:paraId="713AD604">
            <w:pPr>
              <w:spacing w:line="240" w:lineRule="auto"/>
              <w:ind w:firstLine="0" w:firstLineChars="0"/>
              <w:jc w:val="center"/>
              <w:rPr>
                <w:rFonts w:hint="eastAsia" w:eastAsia="仿宋" w:cs="Times New Roman"/>
                <w:sz w:val="24"/>
                <w:szCs w:val="24"/>
                <w:highlight w:val="yellow"/>
                <w:lang w:eastAsia="zh-CN"/>
              </w:rPr>
            </w:pPr>
            <w:r>
              <w:rPr>
                <w:rFonts w:hint="eastAsia" w:cs="Times New Roman"/>
                <w:sz w:val="24"/>
                <w:szCs w:val="24"/>
                <w:highlight w:val="none"/>
                <w:lang w:eastAsia="zh-CN"/>
              </w:rPr>
              <w:t>太子河</w:t>
            </w:r>
          </w:p>
        </w:tc>
        <w:tc>
          <w:tcPr>
            <w:tcW w:w="401" w:type="pct"/>
            <w:vMerge w:val="restart"/>
            <w:vAlign w:val="center"/>
          </w:tcPr>
          <w:p w14:paraId="501EC72A">
            <w:pPr>
              <w:spacing w:line="240" w:lineRule="auto"/>
              <w:ind w:firstLine="0" w:firstLineChars="0"/>
              <w:jc w:val="center"/>
              <w:rPr>
                <w:rFonts w:ascii="Times New Roman" w:hAnsi="Times New Roman" w:cs="Times New Roman"/>
                <w:sz w:val="24"/>
                <w:szCs w:val="24"/>
              </w:rPr>
            </w:pPr>
            <w:r>
              <w:rPr>
                <w:rFonts w:hint="eastAsia" w:ascii="Times New Roman" w:hAnsi="Times New Roman" w:cs="Times New Roman"/>
                <w:sz w:val="24"/>
                <w:szCs w:val="24"/>
              </w:rPr>
              <w:t>Ⅲ</w:t>
            </w:r>
            <w:r>
              <w:rPr>
                <w:rFonts w:hint="eastAsia" w:ascii="Times New Roman" w:hAnsi="Times New Roman" w:cs="Times New Roman"/>
                <w:sz w:val="24"/>
                <w:szCs w:val="24"/>
                <w:lang w:eastAsia="zh-CN"/>
              </w:rPr>
              <w:t>类</w:t>
            </w:r>
          </w:p>
        </w:tc>
        <w:tc>
          <w:tcPr>
            <w:tcW w:w="366" w:type="pct"/>
            <w:tcMar>
              <w:top w:w="15" w:type="dxa"/>
              <w:left w:w="15" w:type="dxa"/>
              <w:right w:w="15" w:type="dxa"/>
            </w:tcMar>
            <w:vAlign w:val="center"/>
          </w:tcPr>
          <w:p w14:paraId="3522B929">
            <w:pPr>
              <w:spacing w:line="240" w:lineRule="auto"/>
              <w:ind w:firstLine="0" w:firstLineChars="0"/>
              <w:jc w:val="center"/>
              <w:rPr>
                <w:rFonts w:ascii="Times New Roman" w:hAnsi="Times New Roman" w:cs="Times New Roman"/>
                <w:sz w:val="24"/>
                <w:szCs w:val="24"/>
              </w:rPr>
            </w:pPr>
            <w:r>
              <w:rPr>
                <w:rFonts w:hint="eastAsia" w:ascii="Times New Roman" w:hAnsi="Times New Roman" w:cs="Times New Roman"/>
                <w:sz w:val="24"/>
                <w:szCs w:val="24"/>
                <w:lang w:val="en-US" w:eastAsia="zh-CN"/>
              </w:rPr>
              <w:t>辽阳县</w:t>
            </w:r>
          </w:p>
        </w:tc>
        <w:tc>
          <w:tcPr>
            <w:tcW w:w="2579" w:type="pct"/>
            <w:tcMar>
              <w:top w:w="15" w:type="dxa"/>
              <w:left w:w="15" w:type="dxa"/>
              <w:right w:w="15" w:type="dxa"/>
            </w:tcMar>
            <w:vAlign w:val="center"/>
          </w:tcPr>
          <w:p w14:paraId="7545E40B">
            <w:pPr>
              <w:spacing w:line="240" w:lineRule="auto"/>
              <w:ind w:firstLine="0" w:firstLineChars="0"/>
              <w:jc w:val="left"/>
              <w:rPr>
                <w:rFonts w:ascii="Times New Roman" w:hAnsi="Times New Roman" w:cs="Times New Roman"/>
                <w:sz w:val="24"/>
                <w:szCs w:val="24"/>
              </w:rPr>
            </w:pPr>
            <w:r>
              <w:rPr>
                <w:rFonts w:ascii="Times New Roman" w:hAnsi="Times New Roman" w:cs="Times New Roman"/>
                <w:sz w:val="24"/>
                <w:szCs w:val="24"/>
                <w:lang w:val="en-US" w:eastAsia="zh-CN"/>
              </w:rPr>
              <w:t>寒岭镇、甜水满族乡</w:t>
            </w:r>
          </w:p>
        </w:tc>
      </w:tr>
      <w:tr w14:paraId="7240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04" w:type="pct"/>
            <w:vMerge w:val="continue"/>
            <w:noWrap/>
            <w:tcMar>
              <w:top w:w="15" w:type="dxa"/>
              <w:left w:w="15" w:type="dxa"/>
              <w:right w:w="15" w:type="dxa"/>
            </w:tcMar>
            <w:vAlign w:val="center"/>
          </w:tcPr>
          <w:p w14:paraId="504FFB58">
            <w:pPr>
              <w:spacing w:line="240" w:lineRule="auto"/>
              <w:ind w:firstLine="0" w:firstLineChars="0"/>
              <w:jc w:val="center"/>
              <w:rPr>
                <w:rFonts w:cs="Times New Roman"/>
                <w:sz w:val="24"/>
                <w:szCs w:val="24"/>
                <w:highlight w:val="yellow"/>
              </w:rPr>
            </w:pPr>
          </w:p>
        </w:tc>
        <w:tc>
          <w:tcPr>
            <w:tcW w:w="578" w:type="pct"/>
            <w:vMerge w:val="continue"/>
            <w:vAlign w:val="center"/>
          </w:tcPr>
          <w:p w14:paraId="0DD65BAA">
            <w:pPr>
              <w:spacing w:line="240" w:lineRule="auto"/>
              <w:ind w:firstLine="0" w:firstLineChars="0"/>
              <w:jc w:val="center"/>
              <w:rPr>
                <w:rFonts w:cs="Times New Roman"/>
                <w:sz w:val="24"/>
                <w:szCs w:val="24"/>
              </w:rPr>
            </w:pPr>
          </w:p>
        </w:tc>
        <w:tc>
          <w:tcPr>
            <w:tcW w:w="471" w:type="pct"/>
            <w:vMerge w:val="continue"/>
            <w:noWrap/>
            <w:tcMar>
              <w:top w:w="15" w:type="dxa"/>
              <w:left w:w="15" w:type="dxa"/>
              <w:right w:w="15" w:type="dxa"/>
            </w:tcMar>
            <w:vAlign w:val="center"/>
          </w:tcPr>
          <w:p w14:paraId="570F3123">
            <w:pPr>
              <w:spacing w:line="240" w:lineRule="auto"/>
              <w:ind w:firstLine="0" w:firstLineChars="0"/>
              <w:jc w:val="center"/>
              <w:rPr>
                <w:rFonts w:hint="eastAsia" w:cs="Times New Roman"/>
                <w:sz w:val="24"/>
                <w:szCs w:val="24"/>
                <w:highlight w:val="yellow"/>
                <w:lang w:eastAsia="zh-CN"/>
              </w:rPr>
            </w:pPr>
          </w:p>
        </w:tc>
        <w:tc>
          <w:tcPr>
            <w:tcW w:w="401" w:type="pct"/>
            <w:vMerge w:val="continue"/>
            <w:vAlign w:val="center"/>
          </w:tcPr>
          <w:p w14:paraId="3ADC21F6">
            <w:pPr>
              <w:spacing w:line="240" w:lineRule="auto"/>
              <w:ind w:firstLine="0" w:firstLineChars="0"/>
              <w:jc w:val="center"/>
              <w:rPr>
                <w:rFonts w:hint="eastAsia" w:ascii="Times New Roman" w:hAnsi="Times New Roman" w:cs="Times New Roman"/>
                <w:sz w:val="24"/>
                <w:szCs w:val="24"/>
              </w:rPr>
            </w:pPr>
          </w:p>
        </w:tc>
        <w:tc>
          <w:tcPr>
            <w:tcW w:w="366" w:type="pct"/>
            <w:tcMar>
              <w:top w:w="15" w:type="dxa"/>
              <w:left w:w="15" w:type="dxa"/>
              <w:right w:w="15" w:type="dxa"/>
            </w:tcMar>
            <w:vAlign w:val="center"/>
          </w:tcPr>
          <w:p w14:paraId="5F724FA9">
            <w:pPr>
              <w:spacing w:line="240" w:lineRule="auto"/>
              <w:ind w:firstLine="0" w:firstLineChars="0"/>
              <w:jc w:val="center"/>
              <w:rPr>
                <w:rFonts w:ascii="Times New Roman" w:hAnsi="Times New Roman" w:cs="Times New Roman"/>
                <w:sz w:val="24"/>
                <w:szCs w:val="24"/>
              </w:rPr>
            </w:pPr>
            <w:r>
              <w:rPr>
                <w:rFonts w:hint="eastAsia" w:ascii="Times New Roman" w:hAnsi="Times New Roman" w:cs="Times New Roman"/>
                <w:sz w:val="24"/>
                <w:szCs w:val="24"/>
                <w:lang w:val="en-US" w:eastAsia="zh-CN"/>
              </w:rPr>
              <w:t>灯塔市</w:t>
            </w:r>
          </w:p>
        </w:tc>
        <w:tc>
          <w:tcPr>
            <w:tcW w:w="2579" w:type="pct"/>
            <w:tcMar>
              <w:top w:w="15" w:type="dxa"/>
              <w:left w:w="15" w:type="dxa"/>
              <w:right w:w="15" w:type="dxa"/>
            </w:tcMar>
            <w:vAlign w:val="center"/>
          </w:tcPr>
          <w:p w14:paraId="3F4A9608">
            <w:pPr>
              <w:spacing w:line="240" w:lineRule="auto"/>
              <w:ind w:firstLine="0" w:firstLineChars="0"/>
              <w:jc w:val="left"/>
              <w:rPr>
                <w:rFonts w:ascii="Times New Roman" w:hAnsi="Times New Roman" w:cs="Times New Roman"/>
                <w:sz w:val="24"/>
                <w:szCs w:val="24"/>
              </w:rPr>
            </w:pPr>
            <w:r>
              <w:rPr>
                <w:rFonts w:ascii="Times New Roman" w:hAnsi="Times New Roman" w:cs="Times New Roman"/>
                <w:sz w:val="24"/>
                <w:szCs w:val="24"/>
                <w:lang w:val="en-US" w:eastAsia="zh-CN"/>
              </w:rPr>
              <w:t>鸡冠山</w:t>
            </w:r>
          </w:p>
        </w:tc>
      </w:tr>
      <w:tr w14:paraId="723B0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04" w:type="pct"/>
            <w:vMerge w:val="continue"/>
            <w:noWrap/>
            <w:tcMar>
              <w:top w:w="15" w:type="dxa"/>
              <w:left w:w="15" w:type="dxa"/>
              <w:right w:w="15" w:type="dxa"/>
            </w:tcMar>
            <w:vAlign w:val="center"/>
          </w:tcPr>
          <w:p w14:paraId="42496727">
            <w:pPr>
              <w:spacing w:line="240" w:lineRule="auto"/>
              <w:ind w:firstLine="0" w:firstLineChars="0"/>
              <w:jc w:val="center"/>
              <w:rPr>
                <w:rFonts w:cs="Times New Roman"/>
                <w:sz w:val="24"/>
                <w:szCs w:val="24"/>
                <w:highlight w:val="yellow"/>
              </w:rPr>
            </w:pPr>
          </w:p>
        </w:tc>
        <w:tc>
          <w:tcPr>
            <w:tcW w:w="578" w:type="pct"/>
            <w:vMerge w:val="continue"/>
            <w:vAlign w:val="center"/>
          </w:tcPr>
          <w:p w14:paraId="6A44573B">
            <w:pPr>
              <w:spacing w:line="240" w:lineRule="auto"/>
              <w:ind w:firstLine="0" w:firstLineChars="0"/>
              <w:jc w:val="center"/>
              <w:rPr>
                <w:rFonts w:cs="Times New Roman"/>
                <w:sz w:val="24"/>
                <w:szCs w:val="24"/>
              </w:rPr>
            </w:pPr>
          </w:p>
        </w:tc>
        <w:tc>
          <w:tcPr>
            <w:tcW w:w="471" w:type="pct"/>
            <w:vMerge w:val="continue"/>
            <w:noWrap/>
            <w:tcMar>
              <w:top w:w="15" w:type="dxa"/>
              <w:left w:w="15" w:type="dxa"/>
              <w:right w:w="15" w:type="dxa"/>
            </w:tcMar>
            <w:vAlign w:val="center"/>
          </w:tcPr>
          <w:p w14:paraId="35D3BD29">
            <w:pPr>
              <w:spacing w:line="240" w:lineRule="auto"/>
              <w:ind w:firstLine="0" w:firstLineChars="0"/>
              <w:jc w:val="center"/>
              <w:rPr>
                <w:rFonts w:hint="eastAsia" w:cs="Times New Roman"/>
                <w:sz w:val="24"/>
                <w:szCs w:val="24"/>
                <w:highlight w:val="yellow"/>
                <w:lang w:eastAsia="zh-CN"/>
              </w:rPr>
            </w:pPr>
          </w:p>
        </w:tc>
        <w:tc>
          <w:tcPr>
            <w:tcW w:w="401" w:type="pct"/>
            <w:vMerge w:val="continue"/>
            <w:vAlign w:val="center"/>
          </w:tcPr>
          <w:p w14:paraId="49B62526">
            <w:pPr>
              <w:spacing w:line="240" w:lineRule="auto"/>
              <w:ind w:firstLine="0" w:firstLineChars="0"/>
              <w:jc w:val="center"/>
              <w:rPr>
                <w:rFonts w:hint="eastAsia" w:ascii="Times New Roman" w:hAnsi="Times New Roman" w:cs="Times New Roman"/>
                <w:sz w:val="24"/>
                <w:szCs w:val="24"/>
              </w:rPr>
            </w:pPr>
          </w:p>
        </w:tc>
        <w:tc>
          <w:tcPr>
            <w:tcW w:w="366" w:type="pct"/>
            <w:tcMar>
              <w:top w:w="15" w:type="dxa"/>
              <w:left w:w="15" w:type="dxa"/>
              <w:right w:w="15" w:type="dxa"/>
            </w:tcMar>
            <w:vAlign w:val="center"/>
          </w:tcPr>
          <w:p w14:paraId="454A52D9">
            <w:pPr>
              <w:spacing w:line="240" w:lineRule="auto"/>
              <w:ind w:firstLine="0" w:firstLineChars="0"/>
              <w:jc w:val="cente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平山区</w:t>
            </w:r>
          </w:p>
        </w:tc>
        <w:tc>
          <w:tcPr>
            <w:tcW w:w="2579" w:type="pct"/>
            <w:tcMar>
              <w:top w:w="15" w:type="dxa"/>
              <w:left w:w="15" w:type="dxa"/>
              <w:right w:w="15" w:type="dxa"/>
            </w:tcMar>
            <w:vAlign w:val="center"/>
          </w:tcPr>
          <w:p w14:paraId="14CED369">
            <w:pPr>
              <w:spacing w:line="240" w:lineRule="auto"/>
              <w:ind w:firstLine="0" w:firstLineChars="0"/>
              <w:jc w:val="left"/>
              <w:rPr>
                <w:rFonts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千金街道（少量村庄）、</w:t>
            </w:r>
            <w:r>
              <w:rPr>
                <w:rFonts w:cs="Times New Roman"/>
                <w:sz w:val="24"/>
                <w:szCs w:val="24"/>
              </w:rPr>
              <w:t>北台街道</w:t>
            </w:r>
            <w:r>
              <w:rPr>
                <w:rFonts w:hint="eastAsia" w:ascii="Times New Roman" w:hAnsi="Times New Roman" w:cs="Times New Roman"/>
                <w:sz w:val="24"/>
                <w:szCs w:val="24"/>
                <w:lang w:val="en-US" w:eastAsia="zh-CN"/>
              </w:rPr>
              <w:t>（少量村庄）</w:t>
            </w:r>
          </w:p>
        </w:tc>
      </w:tr>
      <w:tr w14:paraId="4A860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04" w:type="pct"/>
            <w:vMerge w:val="continue"/>
            <w:noWrap/>
            <w:tcMar>
              <w:top w:w="15" w:type="dxa"/>
              <w:left w:w="15" w:type="dxa"/>
              <w:right w:w="15" w:type="dxa"/>
            </w:tcMar>
            <w:vAlign w:val="center"/>
          </w:tcPr>
          <w:p w14:paraId="63A0F3F6">
            <w:pPr>
              <w:spacing w:line="240" w:lineRule="auto"/>
              <w:ind w:firstLine="0" w:firstLineChars="0"/>
              <w:jc w:val="center"/>
              <w:rPr>
                <w:rFonts w:cs="Times New Roman"/>
                <w:sz w:val="24"/>
                <w:szCs w:val="24"/>
                <w:highlight w:val="yellow"/>
              </w:rPr>
            </w:pPr>
          </w:p>
        </w:tc>
        <w:tc>
          <w:tcPr>
            <w:tcW w:w="578" w:type="pct"/>
            <w:vMerge w:val="restart"/>
            <w:vAlign w:val="center"/>
          </w:tcPr>
          <w:p w14:paraId="0666A844">
            <w:pPr>
              <w:spacing w:line="240" w:lineRule="auto"/>
              <w:ind w:firstLine="0" w:firstLineChars="0"/>
              <w:jc w:val="center"/>
              <w:rPr>
                <w:rFonts w:cs="Times New Roman"/>
                <w:sz w:val="24"/>
                <w:szCs w:val="24"/>
              </w:rPr>
            </w:pPr>
            <w:r>
              <w:rPr>
                <w:rFonts w:cs="Times New Roman"/>
                <w:sz w:val="24"/>
                <w:szCs w:val="24"/>
              </w:rPr>
              <w:t>邱家</w:t>
            </w:r>
          </w:p>
        </w:tc>
        <w:tc>
          <w:tcPr>
            <w:tcW w:w="471" w:type="pct"/>
            <w:vMerge w:val="restart"/>
            <w:noWrap/>
            <w:tcMar>
              <w:top w:w="15" w:type="dxa"/>
              <w:left w:w="15" w:type="dxa"/>
              <w:right w:w="15" w:type="dxa"/>
            </w:tcMar>
            <w:vAlign w:val="center"/>
          </w:tcPr>
          <w:p w14:paraId="323083F3">
            <w:pPr>
              <w:spacing w:line="240" w:lineRule="auto"/>
              <w:ind w:firstLine="0" w:firstLineChars="0"/>
              <w:jc w:val="center"/>
              <w:rPr>
                <w:rFonts w:cs="Times New Roman"/>
                <w:sz w:val="24"/>
                <w:szCs w:val="24"/>
              </w:rPr>
            </w:pPr>
            <w:r>
              <w:rPr>
                <w:rFonts w:cs="Times New Roman"/>
                <w:sz w:val="24"/>
                <w:szCs w:val="24"/>
              </w:rPr>
              <w:t>细河</w:t>
            </w:r>
          </w:p>
        </w:tc>
        <w:tc>
          <w:tcPr>
            <w:tcW w:w="401" w:type="pct"/>
            <w:vMerge w:val="restart"/>
            <w:vAlign w:val="center"/>
          </w:tcPr>
          <w:p w14:paraId="79736AF8">
            <w:pPr>
              <w:spacing w:line="240" w:lineRule="auto"/>
              <w:ind w:firstLine="0" w:firstLineChars="0"/>
              <w:jc w:val="center"/>
              <w:rPr>
                <w:rFonts w:hint="eastAsia" w:ascii="Times New Roman" w:hAnsi="Times New Roman" w:cs="Times New Roman"/>
                <w:sz w:val="24"/>
                <w:szCs w:val="24"/>
                <w:lang w:eastAsia="zh-CN"/>
              </w:rPr>
            </w:pPr>
            <w:r>
              <w:rPr>
                <w:rFonts w:hint="eastAsia" w:ascii="Times New Roman" w:hAnsi="Times New Roman" w:cs="Times New Roman"/>
                <w:sz w:val="24"/>
                <w:szCs w:val="24"/>
              </w:rPr>
              <w:t>Ⅴ</w:t>
            </w:r>
            <w:r>
              <w:rPr>
                <w:rFonts w:hint="eastAsia" w:ascii="Times New Roman" w:hAnsi="Times New Roman" w:cs="Times New Roman"/>
                <w:sz w:val="24"/>
                <w:szCs w:val="24"/>
                <w:lang w:eastAsia="zh-CN"/>
              </w:rPr>
              <w:t>类</w:t>
            </w:r>
          </w:p>
        </w:tc>
        <w:tc>
          <w:tcPr>
            <w:tcW w:w="366" w:type="pct"/>
            <w:tcMar>
              <w:top w:w="15" w:type="dxa"/>
              <w:left w:w="15" w:type="dxa"/>
              <w:right w:w="15" w:type="dxa"/>
            </w:tcMar>
            <w:vAlign w:val="center"/>
          </w:tcPr>
          <w:p w14:paraId="3BD2AF88">
            <w:pPr>
              <w:spacing w:line="240" w:lineRule="auto"/>
              <w:ind w:firstLine="0" w:firstLineChars="0"/>
              <w:jc w:val="center"/>
              <w:rPr>
                <w:rFonts w:cs="Times New Roman"/>
                <w:sz w:val="24"/>
                <w:szCs w:val="24"/>
              </w:rPr>
            </w:pPr>
            <w:r>
              <w:rPr>
                <w:rFonts w:cs="Times New Roman"/>
                <w:sz w:val="24"/>
                <w:szCs w:val="24"/>
              </w:rPr>
              <w:t>平山区</w:t>
            </w:r>
          </w:p>
        </w:tc>
        <w:tc>
          <w:tcPr>
            <w:tcW w:w="2579" w:type="pct"/>
            <w:tcMar>
              <w:top w:w="15" w:type="dxa"/>
              <w:left w:w="15" w:type="dxa"/>
              <w:right w:w="15" w:type="dxa"/>
            </w:tcMar>
            <w:vAlign w:val="center"/>
          </w:tcPr>
          <w:p w14:paraId="55C07C80">
            <w:pPr>
              <w:spacing w:line="240" w:lineRule="auto"/>
              <w:ind w:firstLine="0" w:firstLineChars="0"/>
              <w:jc w:val="left"/>
              <w:rPr>
                <w:rFonts w:cs="Times New Roman"/>
                <w:sz w:val="24"/>
                <w:szCs w:val="24"/>
              </w:rPr>
            </w:pPr>
            <w:r>
              <w:rPr>
                <w:rFonts w:cs="Times New Roman"/>
                <w:sz w:val="24"/>
                <w:szCs w:val="24"/>
              </w:rPr>
              <w:t>北台街道、桥头街道</w:t>
            </w:r>
          </w:p>
        </w:tc>
      </w:tr>
      <w:tr w14:paraId="08155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04" w:type="pct"/>
            <w:vMerge w:val="continue"/>
            <w:noWrap/>
            <w:tcMar>
              <w:top w:w="15" w:type="dxa"/>
              <w:left w:w="15" w:type="dxa"/>
              <w:right w:w="15" w:type="dxa"/>
            </w:tcMar>
            <w:vAlign w:val="center"/>
          </w:tcPr>
          <w:p w14:paraId="783FDD9E">
            <w:pPr>
              <w:spacing w:line="240" w:lineRule="auto"/>
              <w:ind w:firstLine="0" w:firstLineChars="0"/>
              <w:jc w:val="center"/>
              <w:rPr>
                <w:rFonts w:cs="Times New Roman"/>
                <w:sz w:val="24"/>
                <w:szCs w:val="24"/>
                <w:highlight w:val="yellow"/>
              </w:rPr>
            </w:pPr>
          </w:p>
        </w:tc>
        <w:tc>
          <w:tcPr>
            <w:tcW w:w="578" w:type="pct"/>
            <w:vMerge w:val="continue"/>
            <w:vAlign w:val="center"/>
          </w:tcPr>
          <w:p w14:paraId="684CEC75">
            <w:pPr>
              <w:spacing w:line="240" w:lineRule="auto"/>
              <w:ind w:firstLine="0" w:firstLineChars="0"/>
              <w:jc w:val="center"/>
              <w:rPr>
                <w:rFonts w:cs="Times New Roman"/>
                <w:sz w:val="24"/>
                <w:szCs w:val="24"/>
              </w:rPr>
            </w:pPr>
          </w:p>
        </w:tc>
        <w:tc>
          <w:tcPr>
            <w:tcW w:w="471" w:type="pct"/>
            <w:vMerge w:val="continue"/>
            <w:noWrap/>
            <w:tcMar>
              <w:top w:w="15" w:type="dxa"/>
              <w:left w:w="15" w:type="dxa"/>
              <w:right w:w="15" w:type="dxa"/>
            </w:tcMar>
            <w:vAlign w:val="center"/>
          </w:tcPr>
          <w:p w14:paraId="39841869">
            <w:pPr>
              <w:spacing w:line="240" w:lineRule="auto"/>
              <w:ind w:firstLine="0" w:firstLineChars="0"/>
              <w:jc w:val="center"/>
              <w:rPr>
                <w:rFonts w:cs="Times New Roman"/>
                <w:sz w:val="24"/>
                <w:szCs w:val="24"/>
              </w:rPr>
            </w:pPr>
          </w:p>
        </w:tc>
        <w:tc>
          <w:tcPr>
            <w:tcW w:w="401" w:type="pct"/>
            <w:vMerge w:val="continue"/>
            <w:vAlign w:val="center"/>
          </w:tcPr>
          <w:p w14:paraId="39E39C5A">
            <w:pPr>
              <w:spacing w:line="240" w:lineRule="auto"/>
              <w:ind w:firstLine="0" w:firstLineChars="0"/>
              <w:jc w:val="center"/>
              <w:rPr>
                <w:rFonts w:ascii="Times New Roman" w:hAnsi="Times New Roman" w:cs="Times New Roman"/>
                <w:sz w:val="24"/>
                <w:szCs w:val="24"/>
              </w:rPr>
            </w:pPr>
          </w:p>
        </w:tc>
        <w:tc>
          <w:tcPr>
            <w:tcW w:w="366" w:type="pct"/>
            <w:tcMar>
              <w:top w:w="15" w:type="dxa"/>
              <w:left w:w="15" w:type="dxa"/>
              <w:right w:w="15" w:type="dxa"/>
            </w:tcMar>
            <w:vAlign w:val="center"/>
          </w:tcPr>
          <w:p w14:paraId="00468BBD">
            <w:pPr>
              <w:spacing w:line="240" w:lineRule="auto"/>
              <w:ind w:firstLine="0" w:firstLineChars="0"/>
              <w:jc w:val="center"/>
              <w:rPr>
                <w:rFonts w:cs="Times New Roman"/>
                <w:sz w:val="24"/>
                <w:szCs w:val="24"/>
              </w:rPr>
            </w:pPr>
            <w:r>
              <w:rPr>
                <w:rFonts w:cs="Times New Roman"/>
                <w:sz w:val="24"/>
                <w:szCs w:val="24"/>
              </w:rPr>
              <w:t>南芬区</w:t>
            </w:r>
          </w:p>
        </w:tc>
        <w:tc>
          <w:tcPr>
            <w:tcW w:w="2579" w:type="pct"/>
            <w:tcMar>
              <w:top w:w="15" w:type="dxa"/>
              <w:left w:w="15" w:type="dxa"/>
              <w:right w:w="15" w:type="dxa"/>
            </w:tcMar>
            <w:vAlign w:val="center"/>
          </w:tcPr>
          <w:p w14:paraId="4FBFDD21">
            <w:pPr>
              <w:spacing w:line="240" w:lineRule="auto"/>
              <w:ind w:firstLine="0" w:firstLineChars="0"/>
              <w:jc w:val="left"/>
              <w:rPr>
                <w:rFonts w:cs="Times New Roman"/>
                <w:sz w:val="24"/>
                <w:szCs w:val="24"/>
              </w:rPr>
            </w:pPr>
            <w:r>
              <w:rPr>
                <w:rFonts w:cs="Times New Roman"/>
                <w:sz w:val="24"/>
                <w:szCs w:val="24"/>
              </w:rPr>
              <w:t>南芬街道、铁山街道、郭家街道、思山岭街道、下马塘街道</w:t>
            </w:r>
          </w:p>
        </w:tc>
      </w:tr>
      <w:tr w14:paraId="7F97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04" w:type="pct"/>
            <w:vMerge w:val="continue"/>
            <w:noWrap/>
            <w:tcMar>
              <w:top w:w="15" w:type="dxa"/>
              <w:left w:w="15" w:type="dxa"/>
              <w:right w:w="15" w:type="dxa"/>
            </w:tcMar>
            <w:vAlign w:val="center"/>
          </w:tcPr>
          <w:p w14:paraId="2FE40B26">
            <w:pPr>
              <w:spacing w:line="240" w:lineRule="auto"/>
              <w:ind w:firstLine="0" w:firstLineChars="0"/>
              <w:jc w:val="center"/>
              <w:rPr>
                <w:rFonts w:cs="Times New Roman"/>
                <w:sz w:val="24"/>
                <w:szCs w:val="24"/>
                <w:highlight w:val="yellow"/>
              </w:rPr>
            </w:pPr>
          </w:p>
        </w:tc>
        <w:tc>
          <w:tcPr>
            <w:tcW w:w="578" w:type="pct"/>
            <w:vAlign w:val="center"/>
          </w:tcPr>
          <w:p w14:paraId="1333577E">
            <w:pPr>
              <w:spacing w:line="240" w:lineRule="auto"/>
              <w:ind w:firstLine="0" w:firstLineChars="0"/>
              <w:jc w:val="center"/>
              <w:rPr>
                <w:rFonts w:cs="Times New Roman"/>
                <w:sz w:val="24"/>
                <w:szCs w:val="24"/>
              </w:rPr>
            </w:pPr>
            <w:r>
              <w:rPr>
                <w:rFonts w:cs="Times New Roman"/>
                <w:sz w:val="24"/>
                <w:szCs w:val="24"/>
              </w:rPr>
              <w:t>摩天岭</w:t>
            </w:r>
          </w:p>
        </w:tc>
        <w:tc>
          <w:tcPr>
            <w:tcW w:w="471" w:type="pct"/>
            <w:noWrap/>
            <w:tcMar>
              <w:top w:w="15" w:type="dxa"/>
              <w:left w:w="15" w:type="dxa"/>
              <w:right w:w="15" w:type="dxa"/>
            </w:tcMar>
            <w:vAlign w:val="center"/>
          </w:tcPr>
          <w:p w14:paraId="306342E3">
            <w:pPr>
              <w:spacing w:line="240" w:lineRule="auto"/>
              <w:ind w:firstLine="0" w:firstLineChars="0"/>
              <w:jc w:val="center"/>
              <w:rPr>
                <w:rFonts w:cs="Times New Roman"/>
                <w:sz w:val="24"/>
                <w:szCs w:val="24"/>
              </w:rPr>
            </w:pPr>
            <w:r>
              <w:rPr>
                <w:rFonts w:cs="Times New Roman"/>
                <w:sz w:val="24"/>
                <w:szCs w:val="24"/>
              </w:rPr>
              <w:t>细河</w:t>
            </w:r>
          </w:p>
        </w:tc>
        <w:tc>
          <w:tcPr>
            <w:tcW w:w="401" w:type="pct"/>
            <w:vAlign w:val="center"/>
          </w:tcPr>
          <w:p w14:paraId="0E4DE3B9">
            <w:pPr>
              <w:spacing w:line="240" w:lineRule="auto"/>
              <w:ind w:firstLine="0" w:firstLineChars="0"/>
              <w:jc w:val="center"/>
              <w:rPr>
                <w:rFonts w:ascii="Times New Roman" w:hAnsi="Times New Roman" w:cs="Times New Roman"/>
                <w:sz w:val="24"/>
                <w:szCs w:val="24"/>
              </w:rPr>
            </w:pPr>
            <w:r>
              <w:rPr>
                <w:rFonts w:hint="eastAsia" w:ascii="Times New Roman" w:hAnsi="Times New Roman" w:cs="Times New Roman"/>
                <w:sz w:val="24"/>
                <w:szCs w:val="24"/>
              </w:rPr>
              <w:t>Ⅱ</w:t>
            </w:r>
            <w:r>
              <w:rPr>
                <w:rFonts w:hint="eastAsia" w:ascii="Times New Roman" w:hAnsi="Times New Roman" w:cs="Times New Roman"/>
                <w:sz w:val="24"/>
                <w:szCs w:val="24"/>
                <w:lang w:eastAsia="zh-CN"/>
              </w:rPr>
              <w:t>类</w:t>
            </w:r>
          </w:p>
        </w:tc>
        <w:tc>
          <w:tcPr>
            <w:tcW w:w="366" w:type="pct"/>
            <w:tcMar>
              <w:top w:w="15" w:type="dxa"/>
              <w:left w:w="15" w:type="dxa"/>
              <w:right w:w="15" w:type="dxa"/>
            </w:tcMar>
            <w:vAlign w:val="center"/>
          </w:tcPr>
          <w:p w14:paraId="581279A4">
            <w:pPr>
              <w:spacing w:line="240" w:lineRule="auto"/>
              <w:ind w:firstLine="0" w:firstLineChars="0"/>
              <w:jc w:val="center"/>
              <w:rPr>
                <w:rFonts w:cs="Times New Roman"/>
                <w:sz w:val="24"/>
                <w:szCs w:val="24"/>
              </w:rPr>
            </w:pPr>
            <w:r>
              <w:rPr>
                <w:rFonts w:cs="Times New Roman"/>
                <w:sz w:val="24"/>
                <w:szCs w:val="24"/>
              </w:rPr>
              <w:t>本溪县</w:t>
            </w:r>
          </w:p>
        </w:tc>
        <w:tc>
          <w:tcPr>
            <w:tcW w:w="2579" w:type="pct"/>
            <w:tcMar>
              <w:top w:w="15" w:type="dxa"/>
              <w:left w:w="15" w:type="dxa"/>
              <w:right w:w="15" w:type="dxa"/>
            </w:tcMar>
            <w:vAlign w:val="center"/>
          </w:tcPr>
          <w:p w14:paraId="56D0A988">
            <w:pPr>
              <w:spacing w:line="240" w:lineRule="auto"/>
              <w:ind w:firstLine="0" w:firstLineChars="0"/>
              <w:jc w:val="left"/>
              <w:rPr>
                <w:rFonts w:cs="Times New Roman"/>
                <w:sz w:val="24"/>
                <w:szCs w:val="24"/>
              </w:rPr>
            </w:pPr>
            <w:r>
              <w:rPr>
                <w:rFonts w:cs="Times New Roman"/>
                <w:sz w:val="24"/>
                <w:szCs w:val="24"/>
              </w:rPr>
              <w:t>连山关镇</w:t>
            </w:r>
          </w:p>
        </w:tc>
      </w:tr>
      <w:tr w14:paraId="4CAA2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04" w:type="pct"/>
            <w:vMerge w:val="continue"/>
            <w:noWrap/>
            <w:tcMar>
              <w:top w:w="15" w:type="dxa"/>
              <w:left w:w="15" w:type="dxa"/>
              <w:right w:w="15" w:type="dxa"/>
            </w:tcMar>
            <w:vAlign w:val="center"/>
          </w:tcPr>
          <w:p w14:paraId="79AF1A15">
            <w:pPr>
              <w:spacing w:line="240" w:lineRule="auto"/>
              <w:ind w:firstLine="0" w:firstLineChars="0"/>
              <w:jc w:val="center"/>
              <w:rPr>
                <w:rFonts w:cs="Times New Roman"/>
                <w:sz w:val="24"/>
                <w:szCs w:val="24"/>
                <w:highlight w:val="yellow"/>
              </w:rPr>
            </w:pPr>
          </w:p>
        </w:tc>
        <w:tc>
          <w:tcPr>
            <w:tcW w:w="578" w:type="pct"/>
            <w:vAlign w:val="center"/>
          </w:tcPr>
          <w:p w14:paraId="2C2559F0">
            <w:pPr>
              <w:spacing w:line="240" w:lineRule="auto"/>
              <w:ind w:firstLine="0" w:firstLineChars="0"/>
              <w:jc w:val="center"/>
              <w:rPr>
                <w:rFonts w:cs="Times New Roman"/>
                <w:sz w:val="24"/>
                <w:szCs w:val="24"/>
              </w:rPr>
            </w:pPr>
            <w:r>
              <w:rPr>
                <w:rFonts w:cs="Times New Roman"/>
                <w:sz w:val="24"/>
                <w:szCs w:val="24"/>
              </w:rPr>
              <w:t>姚千户桥</w:t>
            </w:r>
          </w:p>
        </w:tc>
        <w:tc>
          <w:tcPr>
            <w:tcW w:w="471" w:type="pct"/>
            <w:noWrap/>
            <w:tcMar>
              <w:top w:w="15" w:type="dxa"/>
              <w:left w:w="15" w:type="dxa"/>
              <w:right w:w="15" w:type="dxa"/>
            </w:tcMar>
            <w:vAlign w:val="center"/>
          </w:tcPr>
          <w:p w14:paraId="2BD8FC02">
            <w:pPr>
              <w:spacing w:line="240" w:lineRule="auto"/>
              <w:ind w:firstLine="0" w:firstLineChars="0"/>
              <w:jc w:val="center"/>
              <w:rPr>
                <w:rFonts w:cs="Times New Roman"/>
                <w:sz w:val="24"/>
                <w:szCs w:val="24"/>
              </w:rPr>
            </w:pPr>
            <w:r>
              <w:rPr>
                <w:rFonts w:cs="Times New Roman"/>
                <w:sz w:val="24"/>
                <w:szCs w:val="24"/>
              </w:rPr>
              <w:t>北沙河</w:t>
            </w:r>
          </w:p>
        </w:tc>
        <w:tc>
          <w:tcPr>
            <w:tcW w:w="401" w:type="pct"/>
            <w:vAlign w:val="center"/>
          </w:tcPr>
          <w:p w14:paraId="773F0ECA">
            <w:pPr>
              <w:spacing w:line="240" w:lineRule="auto"/>
              <w:ind w:firstLine="0" w:firstLineChars="0"/>
              <w:jc w:val="center"/>
              <w:rPr>
                <w:rFonts w:ascii="Times New Roman" w:hAnsi="Times New Roman" w:cs="Times New Roman"/>
                <w:sz w:val="24"/>
                <w:szCs w:val="24"/>
              </w:rPr>
            </w:pPr>
            <w:r>
              <w:rPr>
                <w:rFonts w:hint="eastAsia" w:ascii="Times New Roman" w:hAnsi="Times New Roman" w:cs="Times New Roman"/>
                <w:sz w:val="24"/>
                <w:szCs w:val="24"/>
              </w:rPr>
              <w:t>Ⅲ</w:t>
            </w:r>
            <w:r>
              <w:rPr>
                <w:rFonts w:hint="eastAsia" w:ascii="Times New Roman" w:hAnsi="Times New Roman" w:cs="Times New Roman"/>
                <w:sz w:val="24"/>
                <w:szCs w:val="24"/>
                <w:lang w:eastAsia="zh-CN"/>
              </w:rPr>
              <w:t>类</w:t>
            </w:r>
          </w:p>
        </w:tc>
        <w:tc>
          <w:tcPr>
            <w:tcW w:w="366" w:type="pct"/>
            <w:tcMar>
              <w:top w:w="15" w:type="dxa"/>
              <w:left w:w="15" w:type="dxa"/>
              <w:right w:w="15" w:type="dxa"/>
            </w:tcMar>
            <w:vAlign w:val="center"/>
          </w:tcPr>
          <w:p w14:paraId="13FE5997">
            <w:pPr>
              <w:spacing w:line="240" w:lineRule="auto"/>
              <w:ind w:firstLine="0" w:firstLineChars="0"/>
              <w:jc w:val="center"/>
              <w:rPr>
                <w:rFonts w:cs="Times New Roman"/>
                <w:sz w:val="24"/>
                <w:szCs w:val="24"/>
              </w:rPr>
            </w:pPr>
            <w:r>
              <w:rPr>
                <w:rFonts w:cs="Times New Roman"/>
                <w:sz w:val="24"/>
                <w:szCs w:val="24"/>
              </w:rPr>
              <w:t>溪湖区</w:t>
            </w:r>
          </w:p>
        </w:tc>
        <w:tc>
          <w:tcPr>
            <w:tcW w:w="2579" w:type="pct"/>
            <w:tcMar>
              <w:top w:w="15" w:type="dxa"/>
              <w:left w:w="15" w:type="dxa"/>
              <w:right w:w="15" w:type="dxa"/>
            </w:tcMar>
            <w:vAlign w:val="center"/>
          </w:tcPr>
          <w:p w14:paraId="1E5F6608">
            <w:pPr>
              <w:spacing w:line="240" w:lineRule="auto"/>
              <w:ind w:firstLine="0" w:firstLineChars="0"/>
              <w:jc w:val="left"/>
              <w:rPr>
                <w:rFonts w:cs="Times New Roman"/>
                <w:sz w:val="24"/>
                <w:szCs w:val="24"/>
              </w:rPr>
            </w:pPr>
            <w:r>
              <w:rPr>
                <w:rFonts w:cs="Times New Roman"/>
                <w:sz w:val="24"/>
                <w:szCs w:val="24"/>
              </w:rPr>
              <w:t>石桥子、日月岛街道</w:t>
            </w:r>
          </w:p>
        </w:tc>
      </w:tr>
      <w:tr w14:paraId="110C0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04" w:type="pct"/>
            <w:vMerge w:val="restart"/>
            <w:tcMar>
              <w:top w:w="15" w:type="dxa"/>
              <w:left w:w="15" w:type="dxa"/>
              <w:right w:w="15" w:type="dxa"/>
            </w:tcMar>
            <w:vAlign w:val="center"/>
          </w:tcPr>
          <w:p w14:paraId="0A84B42A">
            <w:pPr>
              <w:spacing w:line="240" w:lineRule="auto"/>
              <w:ind w:firstLine="0" w:firstLineChars="0"/>
              <w:jc w:val="center"/>
              <w:rPr>
                <w:rFonts w:cs="Times New Roman"/>
                <w:sz w:val="24"/>
                <w:szCs w:val="24"/>
              </w:rPr>
            </w:pPr>
            <w:r>
              <w:rPr>
                <w:rFonts w:cs="Times New Roman"/>
                <w:sz w:val="24"/>
                <w:szCs w:val="24"/>
                <w:lang w:val="en-US"/>
              </w:rPr>
              <w:t>浑江（本溪市）控制单元</w:t>
            </w:r>
          </w:p>
        </w:tc>
        <w:tc>
          <w:tcPr>
            <w:tcW w:w="578" w:type="pct"/>
            <w:vAlign w:val="center"/>
          </w:tcPr>
          <w:p w14:paraId="465B39AC">
            <w:pPr>
              <w:spacing w:line="240" w:lineRule="auto"/>
              <w:ind w:firstLine="0" w:firstLineChars="0"/>
              <w:jc w:val="center"/>
              <w:rPr>
                <w:rFonts w:cs="Times New Roman"/>
                <w:sz w:val="24"/>
                <w:szCs w:val="24"/>
              </w:rPr>
            </w:pPr>
            <w:r>
              <w:rPr>
                <w:rFonts w:cs="Times New Roman"/>
                <w:sz w:val="24"/>
                <w:szCs w:val="24"/>
              </w:rPr>
              <w:t>金银库沟门</w:t>
            </w:r>
          </w:p>
        </w:tc>
        <w:tc>
          <w:tcPr>
            <w:tcW w:w="471" w:type="pct"/>
            <w:tcMar>
              <w:top w:w="15" w:type="dxa"/>
              <w:left w:w="15" w:type="dxa"/>
              <w:right w:w="15" w:type="dxa"/>
            </w:tcMar>
            <w:vAlign w:val="center"/>
          </w:tcPr>
          <w:p w14:paraId="20DD06F8">
            <w:pPr>
              <w:spacing w:line="240" w:lineRule="auto"/>
              <w:ind w:firstLine="0" w:firstLineChars="0"/>
              <w:jc w:val="center"/>
              <w:rPr>
                <w:rFonts w:cs="Times New Roman"/>
                <w:sz w:val="24"/>
                <w:szCs w:val="24"/>
              </w:rPr>
            </w:pPr>
            <w:r>
              <w:rPr>
                <w:rFonts w:cs="Times New Roman"/>
                <w:sz w:val="24"/>
                <w:szCs w:val="24"/>
              </w:rPr>
              <w:t>桓仁水库</w:t>
            </w:r>
          </w:p>
        </w:tc>
        <w:tc>
          <w:tcPr>
            <w:tcW w:w="401" w:type="pct"/>
            <w:vAlign w:val="center"/>
          </w:tcPr>
          <w:p w14:paraId="22B12B98">
            <w:pPr>
              <w:spacing w:line="240" w:lineRule="auto"/>
              <w:ind w:firstLine="0" w:firstLineChars="0"/>
              <w:jc w:val="center"/>
              <w:rPr>
                <w:rFonts w:ascii="Times New Roman" w:hAnsi="Times New Roman" w:cs="Times New Roman"/>
                <w:sz w:val="24"/>
                <w:szCs w:val="24"/>
              </w:rPr>
            </w:pPr>
            <w:r>
              <w:rPr>
                <w:rFonts w:hint="eastAsia" w:ascii="Times New Roman" w:hAnsi="Times New Roman" w:cs="Times New Roman"/>
                <w:sz w:val="24"/>
                <w:szCs w:val="24"/>
              </w:rPr>
              <w:t>Ⅱ</w:t>
            </w:r>
            <w:r>
              <w:rPr>
                <w:rFonts w:hint="eastAsia" w:ascii="Times New Roman" w:hAnsi="Times New Roman" w:cs="Times New Roman"/>
                <w:sz w:val="24"/>
                <w:szCs w:val="24"/>
                <w:lang w:eastAsia="zh-CN"/>
              </w:rPr>
              <w:t>类</w:t>
            </w:r>
          </w:p>
        </w:tc>
        <w:tc>
          <w:tcPr>
            <w:tcW w:w="366" w:type="pct"/>
            <w:tcMar>
              <w:top w:w="15" w:type="dxa"/>
              <w:left w:w="15" w:type="dxa"/>
              <w:right w:w="15" w:type="dxa"/>
            </w:tcMar>
            <w:vAlign w:val="center"/>
          </w:tcPr>
          <w:p w14:paraId="7D6B7F3F">
            <w:pPr>
              <w:spacing w:line="240" w:lineRule="auto"/>
              <w:ind w:firstLine="0" w:firstLineChars="0"/>
              <w:jc w:val="center"/>
              <w:rPr>
                <w:rFonts w:cs="Times New Roman"/>
                <w:sz w:val="24"/>
                <w:szCs w:val="24"/>
              </w:rPr>
            </w:pPr>
            <w:r>
              <w:rPr>
                <w:rFonts w:cs="Times New Roman"/>
                <w:sz w:val="24"/>
                <w:szCs w:val="24"/>
              </w:rPr>
              <w:t>桓仁县</w:t>
            </w:r>
          </w:p>
        </w:tc>
        <w:tc>
          <w:tcPr>
            <w:tcW w:w="2579" w:type="pct"/>
            <w:tcMar>
              <w:top w:w="15" w:type="dxa"/>
              <w:left w:w="15" w:type="dxa"/>
              <w:right w:w="15" w:type="dxa"/>
            </w:tcMar>
            <w:vAlign w:val="center"/>
          </w:tcPr>
          <w:p w14:paraId="1678B9A4">
            <w:pPr>
              <w:spacing w:line="240" w:lineRule="auto"/>
              <w:ind w:firstLine="0" w:firstLineChars="0"/>
              <w:jc w:val="left"/>
              <w:rPr>
                <w:rFonts w:cs="Times New Roman"/>
                <w:sz w:val="24"/>
                <w:szCs w:val="24"/>
              </w:rPr>
            </w:pPr>
            <w:r>
              <w:rPr>
                <w:rFonts w:cs="Times New Roman"/>
                <w:sz w:val="24"/>
                <w:szCs w:val="24"/>
              </w:rPr>
              <w:t>二棚甸子镇、古城镇、北甸子乡</w:t>
            </w:r>
          </w:p>
        </w:tc>
      </w:tr>
      <w:tr w14:paraId="6679C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04" w:type="pct"/>
            <w:vMerge w:val="continue"/>
            <w:tcMar>
              <w:top w:w="15" w:type="dxa"/>
              <w:left w:w="15" w:type="dxa"/>
              <w:right w:w="15" w:type="dxa"/>
            </w:tcMar>
            <w:vAlign w:val="center"/>
          </w:tcPr>
          <w:p w14:paraId="7D603E80">
            <w:pPr>
              <w:spacing w:line="240" w:lineRule="auto"/>
              <w:ind w:firstLine="0" w:firstLineChars="0"/>
              <w:jc w:val="center"/>
              <w:rPr>
                <w:rFonts w:cs="Times New Roman"/>
                <w:sz w:val="24"/>
                <w:szCs w:val="24"/>
              </w:rPr>
            </w:pPr>
          </w:p>
        </w:tc>
        <w:tc>
          <w:tcPr>
            <w:tcW w:w="578" w:type="pct"/>
            <w:vAlign w:val="center"/>
          </w:tcPr>
          <w:p w14:paraId="2C299F2C">
            <w:pPr>
              <w:spacing w:line="240" w:lineRule="auto"/>
              <w:ind w:firstLine="0" w:firstLineChars="0"/>
              <w:jc w:val="center"/>
              <w:rPr>
                <w:rFonts w:cs="Times New Roman"/>
                <w:sz w:val="24"/>
                <w:szCs w:val="24"/>
              </w:rPr>
            </w:pPr>
            <w:r>
              <w:rPr>
                <w:rFonts w:cs="Times New Roman"/>
                <w:sz w:val="24"/>
                <w:szCs w:val="24"/>
              </w:rPr>
              <w:t>凤鸣电站</w:t>
            </w:r>
          </w:p>
        </w:tc>
        <w:tc>
          <w:tcPr>
            <w:tcW w:w="471" w:type="pct"/>
            <w:tcMar>
              <w:top w:w="15" w:type="dxa"/>
              <w:left w:w="15" w:type="dxa"/>
              <w:right w:w="15" w:type="dxa"/>
            </w:tcMar>
            <w:vAlign w:val="center"/>
          </w:tcPr>
          <w:p w14:paraId="75DCB9CE">
            <w:pPr>
              <w:spacing w:line="240" w:lineRule="auto"/>
              <w:ind w:firstLine="0" w:firstLineChars="0"/>
              <w:jc w:val="center"/>
              <w:rPr>
                <w:rFonts w:cs="Times New Roman"/>
                <w:sz w:val="24"/>
                <w:szCs w:val="24"/>
              </w:rPr>
            </w:pPr>
            <w:r>
              <w:rPr>
                <w:rFonts w:cs="Times New Roman"/>
                <w:sz w:val="24"/>
                <w:szCs w:val="24"/>
              </w:rPr>
              <w:t>浑江</w:t>
            </w:r>
          </w:p>
        </w:tc>
        <w:tc>
          <w:tcPr>
            <w:tcW w:w="401" w:type="pct"/>
            <w:vAlign w:val="center"/>
          </w:tcPr>
          <w:p w14:paraId="29DF5273">
            <w:pPr>
              <w:spacing w:line="240" w:lineRule="auto"/>
              <w:ind w:firstLine="0" w:firstLineChars="0"/>
              <w:jc w:val="center"/>
              <w:rPr>
                <w:rFonts w:ascii="Times New Roman" w:hAnsi="Times New Roman" w:cs="Times New Roman"/>
                <w:sz w:val="24"/>
                <w:szCs w:val="24"/>
              </w:rPr>
            </w:pPr>
            <w:r>
              <w:rPr>
                <w:rFonts w:hint="eastAsia" w:ascii="Times New Roman" w:hAnsi="Times New Roman" w:cs="Times New Roman"/>
                <w:sz w:val="24"/>
                <w:szCs w:val="24"/>
              </w:rPr>
              <w:t>Ⅱ</w:t>
            </w:r>
            <w:r>
              <w:rPr>
                <w:rFonts w:hint="eastAsia" w:ascii="Times New Roman" w:hAnsi="Times New Roman" w:cs="Times New Roman"/>
                <w:sz w:val="24"/>
                <w:szCs w:val="24"/>
                <w:lang w:eastAsia="zh-CN"/>
              </w:rPr>
              <w:t>类</w:t>
            </w:r>
          </w:p>
        </w:tc>
        <w:tc>
          <w:tcPr>
            <w:tcW w:w="366" w:type="pct"/>
            <w:tcMar>
              <w:top w:w="15" w:type="dxa"/>
              <w:left w:w="15" w:type="dxa"/>
              <w:right w:w="15" w:type="dxa"/>
            </w:tcMar>
            <w:vAlign w:val="center"/>
          </w:tcPr>
          <w:p w14:paraId="1C68329E">
            <w:pPr>
              <w:spacing w:line="240" w:lineRule="auto"/>
              <w:ind w:firstLine="0" w:firstLineChars="0"/>
              <w:jc w:val="center"/>
              <w:rPr>
                <w:rFonts w:cs="Times New Roman"/>
                <w:sz w:val="24"/>
                <w:szCs w:val="24"/>
              </w:rPr>
            </w:pPr>
            <w:r>
              <w:rPr>
                <w:rFonts w:cs="Times New Roman"/>
                <w:sz w:val="24"/>
                <w:szCs w:val="24"/>
              </w:rPr>
              <w:t>桓仁县</w:t>
            </w:r>
          </w:p>
        </w:tc>
        <w:tc>
          <w:tcPr>
            <w:tcW w:w="2579" w:type="pct"/>
            <w:tcMar>
              <w:top w:w="15" w:type="dxa"/>
              <w:left w:w="15" w:type="dxa"/>
              <w:right w:w="15" w:type="dxa"/>
            </w:tcMar>
            <w:vAlign w:val="center"/>
          </w:tcPr>
          <w:p w14:paraId="5DBA1E3B">
            <w:pPr>
              <w:spacing w:line="240" w:lineRule="auto"/>
              <w:ind w:firstLine="0" w:firstLineChars="0"/>
              <w:jc w:val="left"/>
              <w:rPr>
                <w:rFonts w:cs="Times New Roman"/>
                <w:sz w:val="24"/>
                <w:szCs w:val="24"/>
              </w:rPr>
            </w:pPr>
            <w:r>
              <w:rPr>
                <w:rFonts w:cs="Times New Roman"/>
                <w:sz w:val="24"/>
                <w:szCs w:val="24"/>
              </w:rPr>
              <w:t>八卦城街道、桓仁镇、华来镇、黑沟乡</w:t>
            </w:r>
          </w:p>
        </w:tc>
      </w:tr>
      <w:tr w14:paraId="5302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04" w:type="pct"/>
            <w:vMerge w:val="continue"/>
            <w:noWrap/>
            <w:tcMar>
              <w:top w:w="15" w:type="dxa"/>
              <w:left w:w="15" w:type="dxa"/>
              <w:right w:w="15" w:type="dxa"/>
            </w:tcMar>
            <w:vAlign w:val="center"/>
          </w:tcPr>
          <w:p w14:paraId="2110AB00">
            <w:pPr>
              <w:spacing w:line="240" w:lineRule="auto"/>
              <w:ind w:firstLine="0" w:firstLineChars="0"/>
              <w:jc w:val="center"/>
              <w:rPr>
                <w:rFonts w:cs="Times New Roman"/>
                <w:sz w:val="24"/>
                <w:szCs w:val="24"/>
              </w:rPr>
            </w:pPr>
          </w:p>
        </w:tc>
        <w:tc>
          <w:tcPr>
            <w:tcW w:w="578" w:type="pct"/>
            <w:vAlign w:val="center"/>
          </w:tcPr>
          <w:p w14:paraId="755BAAD5">
            <w:pPr>
              <w:spacing w:line="240" w:lineRule="auto"/>
              <w:ind w:firstLine="0" w:firstLineChars="0"/>
              <w:jc w:val="center"/>
              <w:rPr>
                <w:rFonts w:cs="Times New Roman"/>
                <w:sz w:val="24"/>
                <w:szCs w:val="24"/>
              </w:rPr>
            </w:pPr>
            <w:r>
              <w:rPr>
                <w:rFonts w:cs="Times New Roman"/>
                <w:sz w:val="24"/>
                <w:szCs w:val="24"/>
              </w:rPr>
              <w:t>浑江口大桥</w:t>
            </w:r>
          </w:p>
          <w:p w14:paraId="11617B14">
            <w:pPr>
              <w:spacing w:line="240" w:lineRule="auto"/>
              <w:ind w:firstLine="0" w:firstLineChars="0"/>
              <w:jc w:val="center"/>
              <w:rPr>
                <w:rFonts w:cs="Times New Roman"/>
                <w:sz w:val="24"/>
                <w:szCs w:val="24"/>
              </w:rPr>
            </w:pPr>
            <w:r>
              <w:rPr>
                <w:rFonts w:cs="Times New Roman"/>
                <w:b/>
                <w:bCs/>
                <w:sz w:val="24"/>
                <w:szCs w:val="24"/>
              </w:rPr>
              <w:t>（考核丹东市）</w:t>
            </w:r>
          </w:p>
        </w:tc>
        <w:tc>
          <w:tcPr>
            <w:tcW w:w="471" w:type="pct"/>
            <w:noWrap/>
            <w:tcMar>
              <w:top w:w="15" w:type="dxa"/>
              <w:left w:w="15" w:type="dxa"/>
              <w:right w:w="15" w:type="dxa"/>
            </w:tcMar>
            <w:vAlign w:val="center"/>
          </w:tcPr>
          <w:p w14:paraId="481387DC">
            <w:pPr>
              <w:spacing w:line="240" w:lineRule="auto"/>
              <w:ind w:firstLine="0" w:firstLineChars="0"/>
              <w:jc w:val="center"/>
              <w:rPr>
                <w:rFonts w:cs="Times New Roman"/>
                <w:sz w:val="24"/>
                <w:szCs w:val="24"/>
              </w:rPr>
            </w:pPr>
            <w:r>
              <w:rPr>
                <w:rFonts w:cs="Times New Roman"/>
                <w:sz w:val="24"/>
                <w:szCs w:val="24"/>
              </w:rPr>
              <w:t>浑江</w:t>
            </w:r>
          </w:p>
        </w:tc>
        <w:tc>
          <w:tcPr>
            <w:tcW w:w="401" w:type="pct"/>
            <w:vAlign w:val="center"/>
          </w:tcPr>
          <w:p w14:paraId="0C39D4BF">
            <w:pPr>
              <w:spacing w:line="240" w:lineRule="auto"/>
              <w:ind w:firstLine="0" w:firstLineChars="0"/>
              <w:jc w:val="center"/>
              <w:rPr>
                <w:rFonts w:ascii="Times New Roman" w:hAnsi="Times New Roman" w:cs="Times New Roman"/>
                <w:sz w:val="24"/>
                <w:szCs w:val="24"/>
              </w:rPr>
            </w:pPr>
            <w:r>
              <w:rPr>
                <w:rFonts w:hint="eastAsia" w:ascii="Times New Roman" w:hAnsi="Times New Roman" w:cs="Times New Roman"/>
                <w:sz w:val="24"/>
                <w:szCs w:val="24"/>
              </w:rPr>
              <w:t>Ⅲ</w:t>
            </w:r>
            <w:r>
              <w:rPr>
                <w:rFonts w:hint="eastAsia" w:ascii="Times New Roman" w:hAnsi="Times New Roman" w:cs="Times New Roman"/>
                <w:sz w:val="24"/>
                <w:szCs w:val="24"/>
                <w:lang w:eastAsia="zh-CN"/>
              </w:rPr>
              <w:t>类</w:t>
            </w:r>
          </w:p>
        </w:tc>
        <w:tc>
          <w:tcPr>
            <w:tcW w:w="366" w:type="pct"/>
            <w:tcMar>
              <w:top w:w="15" w:type="dxa"/>
              <w:left w:w="15" w:type="dxa"/>
              <w:right w:w="15" w:type="dxa"/>
            </w:tcMar>
            <w:vAlign w:val="center"/>
          </w:tcPr>
          <w:p w14:paraId="2C54E08A">
            <w:pPr>
              <w:spacing w:line="240" w:lineRule="auto"/>
              <w:ind w:firstLine="0" w:firstLineChars="0"/>
              <w:jc w:val="center"/>
              <w:rPr>
                <w:rFonts w:cs="Times New Roman"/>
                <w:sz w:val="24"/>
                <w:szCs w:val="24"/>
              </w:rPr>
            </w:pPr>
            <w:r>
              <w:rPr>
                <w:rFonts w:cs="Times New Roman"/>
                <w:sz w:val="24"/>
                <w:szCs w:val="24"/>
              </w:rPr>
              <w:t>桓仁县</w:t>
            </w:r>
          </w:p>
        </w:tc>
        <w:tc>
          <w:tcPr>
            <w:tcW w:w="2579" w:type="pct"/>
            <w:tcMar>
              <w:top w:w="15" w:type="dxa"/>
              <w:left w:w="15" w:type="dxa"/>
              <w:right w:w="15" w:type="dxa"/>
            </w:tcMar>
            <w:vAlign w:val="center"/>
          </w:tcPr>
          <w:p w14:paraId="50F7B562">
            <w:pPr>
              <w:spacing w:line="240" w:lineRule="auto"/>
              <w:ind w:firstLine="0" w:firstLineChars="0"/>
              <w:jc w:val="left"/>
              <w:rPr>
                <w:rFonts w:cs="Times New Roman"/>
                <w:sz w:val="24"/>
                <w:szCs w:val="24"/>
              </w:rPr>
            </w:pPr>
            <w:r>
              <w:rPr>
                <w:rFonts w:cs="Times New Roman"/>
                <w:sz w:val="24"/>
                <w:szCs w:val="24"/>
              </w:rPr>
              <w:t>沙尖子镇、五里甸子镇</w:t>
            </w:r>
          </w:p>
        </w:tc>
      </w:tr>
      <w:tr w14:paraId="4071A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04" w:type="pct"/>
            <w:vMerge w:val="continue"/>
            <w:noWrap/>
            <w:tcMar>
              <w:top w:w="15" w:type="dxa"/>
              <w:left w:w="15" w:type="dxa"/>
              <w:right w:w="15" w:type="dxa"/>
            </w:tcMar>
            <w:vAlign w:val="center"/>
          </w:tcPr>
          <w:p w14:paraId="261D3E92">
            <w:pPr>
              <w:spacing w:line="240" w:lineRule="auto"/>
              <w:ind w:firstLine="0" w:firstLineChars="0"/>
              <w:jc w:val="center"/>
              <w:rPr>
                <w:rFonts w:cs="Times New Roman"/>
                <w:sz w:val="24"/>
                <w:szCs w:val="24"/>
              </w:rPr>
            </w:pPr>
          </w:p>
        </w:tc>
        <w:tc>
          <w:tcPr>
            <w:tcW w:w="578" w:type="pct"/>
            <w:vAlign w:val="center"/>
          </w:tcPr>
          <w:p w14:paraId="700C4ECE">
            <w:pPr>
              <w:spacing w:line="240" w:lineRule="auto"/>
              <w:ind w:firstLine="0" w:firstLineChars="0"/>
              <w:jc w:val="center"/>
              <w:rPr>
                <w:rFonts w:cs="Times New Roman"/>
                <w:sz w:val="24"/>
                <w:szCs w:val="24"/>
              </w:rPr>
            </w:pPr>
            <w:r>
              <w:rPr>
                <w:rFonts w:cs="Times New Roman"/>
                <w:sz w:val="24"/>
                <w:szCs w:val="24"/>
              </w:rPr>
              <w:t>大顶子沟</w:t>
            </w:r>
          </w:p>
        </w:tc>
        <w:tc>
          <w:tcPr>
            <w:tcW w:w="471" w:type="pct"/>
            <w:noWrap/>
            <w:tcMar>
              <w:top w:w="15" w:type="dxa"/>
              <w:left w:w="15" w:type="dxa"/>
              <w:right w:w="15" w:type="dxa"/>
            </w:tcMar>
            <w:vAlign w:val="center"/>
          </w:tcPr>
          <w:p w14:paraId="4A443572">
            <w:pPr>
              <w:spacing w:line="240" w:lineRule="auto"/>
              <w:ind w:firstLine="0" w:firstLineChars="0"/>
              <w:jc w:val="center"/>
              <w:rPr>
                <w:rFonts w:cs="Times New Roman"/>
                <w:sz w:val="24"/>
                <w:szCs w:val="24"/>
              </w:rPr>
            </w:pPr>
            <w:r>
              <w:rPr>
                <w:rFonts w:cs="Times New Roman"/>
                <w:sz w:val="24"/>
                <w:szCs w:val="24"/>
              </w:rPr>
              <w:t>浑江</w:t>
            </w:r>
          </w:p>
        </w:tc>
        <w:tc>
          <w:tcPr>
            <w:tcW w:w="401" w:type="pct"/>
            <w:vAlign w:val="center"/>
          </w:tcPr>
          <w:p w14:paraId="65BFD2AD">
            <w:pPr>
              <w:spacing w:line="240" w:lineRule="auto"/>
              <w:ind w:firstLine="0" w:firstLineChars="0"/>
              <w:jc w:val="center"/>
              <w:rPr>
                <w:rFonts w:ascii="Times New Roman" w:hAnsi="Times New Roman" w:cs="Times New Roman"/>
                <w:sz w:val="24"/>
                <w:szCs w:val="24"/>
              </w:rPr>
            </w:pPr>
            <w:r>
              <w:rPr>
                <w:rFonts w:hint="eastAsia" w:ascii="Times New Roman" w:hAnsi="Times New Roman" w:cs="Times New Roman"/>
                <w:sz w:val="24"/>
                <w:szCs w:val="24"/>
              </w:rPr>
              <w:t>Ⅱ</w:t>
            </w:r>
            <w:r>
              <w:rPr>
                <w:rFonts w:hint="eastAsia" w:ascii="Times New Roman" w:hAnsi="Times New Roman" w:cs="Times New Roman"/>
                <w:sz w:val="24"/>
                <w:szCs w:val="24"/>
                <w:lang w:eastAsia="zh-CN"/>
              </w:rPr>
              <w:t>类</w:t>
            </w:r>
          </w:p>
        </w:tc>
        <w:tc>
          <w:tcPr>
            <w:tcW w:w="366" w:type="pct"/>
            <w:tcMar>
              <w:top w:w="15" w:type="dxa"/>
              <w:left w:w="15" w:type="dxa"/>
              <w:right w:w="15" w:type="dxa"/>
            </w:tcMar>
            <w:vAlign w:val="center"/>
          </w:tcPr>
          <w:p w14:paraId="0B24EF82">
            <w:pPr>
              <w:spacing w:line="240" w:lineRule="auto"/>
              <w:ind w:firstLine="0" w:firstLineChars="0"/>
              <w:jc w:val="center"/>
              <w:rPr>
                <w:rFonts w:cs="Times New Roman"/>
                <w:sz w:val="24"/>
                <w:szCs w:val="24"/>
              </w:rPr>
            </w:pPr>
            <w:r>
              <w:rPr>
                <w:rFonts w:cs="Times New Roman"/>
                <w:sz w:val="24"/>
                <w:szCs w:val="24"/>
              </w:rPr>
              <w:t>桓仁县</w:t>
            </w:r>
          </w:p>
        </w:tc>
        <w:tc>
          <w:tcPr>
            <w:tcW w:w="2579" w:type="pct"/>
            <w:tcMar>
              <w:top w:w="15" w:type="dxa"/>
              <w:left w:w="15" w:type="dxa"/>
              <w:right w:w="15" w:type="dxa"/>
            </w:tcMar>
            <w:vAlign w:val="center"/>
          </w:tcPr>
          <w:p w14:paraId="5F025220">
            <w:pPr>
              <w:spacing w:line="240" w:lineRule="auto"/>
              <w:ind w:firstLine="0" w:firstLineChars="0"/>
              <w:jc w:val="left"/>
              <w:rPr>
                <w:rFonts w:cs="Times New Roman"/>
                <w:sz w:val="24"/>
                <w:szCs w:val="24"/>
              </w:rPr>
            </w:pPr>
            <w:r>
              <w:rPr>
                <w:rFonts w:cs="Times New Roman"/>
                <w:sz w:val="24"/>
                <w:szCs w:val="24"/>
              </w:rPr>
              <w:t>普乐堡镇、八里甸子镇、雅河朝鲜族乡、向阳乡</w:t>
            </w:r>
          </w:p>
        </w:tc>
      </w:tr>
      <w:tr w14:paraId="75DB1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04" w:type="pct"/>
            <w:vMerge w:val="restart"/>
            <w:tcMar>
              <w:top w:w="15" w:type="dxa"/>
              <w:left w:w="15" w:type="dxa"/>
              <w:right w:w="15" w:type="dxa"/>
            </w:tcMar>
            <w:vAlign w:val="center"/>
          </w:tcPr>
          <w:p w14:paraId="48B26FF3">
            <w:pPr>
              <w:spacing w:line="240" w:lineRule="auto"/>
              <w:ind w:firstLine="0" w:firstLineChars="0"/>
              <w:jc w:val="center"/>
              <w:rPr>
                <w:rFonts w:cs="Times New Roman"/>
                <w:sz w:val="24"/>
                <w:szCs w:val="24"/>
              </w:rPr>
            </w:pPr>
            <w:r>
              <w:rPr>
                <w:rFonts w:cs="Times New Roman"/>
                <w:sz w:val="24"/>
                <w:szCs w:val="24"/>
                <w:lang w:val="en-US"/>
              </w:rPr>
              <w:t>草河（本溪市）控制单元</w:t>
            </w:r>
          </w:p>
        </w:tc>
        <w:tc>
          <w:tcPr>
            <w:tcW w:w="578" w:type="pct"/>
            <w:vAlign w:val="center"/>
          </w:tcPr>
          <w:p w14:paraId="6C35DF82">
            <w:pPr>
              <w:spacing w:line="240" w:lineRule="auto"/>
              <w:ind w:firstLine="0" w:firstLineChars="0"/>
              <w:jc w:val="center"/>
              <w:rPr>
                <w:rFonts w:cs="Times New Roman"/>
                <w:sz w:val="24"/>
                <w:szCs w:val="24"/>
              </w:rPr>
            </w:pPr>
            <w:r>
              <w:rPr>
                <w:rFonts w:cs="Times New Roman"/>
                <w:sz w:val="24"/>
                <w:szCs w:val="24"/>
              </w:rPr>
              <w:t>河南堡</w:t>
            </w:r>
          </w:p>
        </w:tc>
        <w:tc>
          <w:tcPr>
            <w:tcW w:w="471" w:type="pct"/>
            <w:tcMar>
              <w:top w:w="15" w:type="dxa"/>
              <w:left w:w="15" w:type="dxa"/>
              <w:right w:w="15" w:type="dxa"/>
            </w:tcMar>
            <w:vAlign w:val="center"/>
          </w:tcPr>
          <w:p w14:paraId="59DBB125">
            <w:pPr>
              <w:spacing w:line="240" w:lineRule="auto"/>
              <w:ind w:firstLine="0" w:firstLineChars="0"/>
              <w:jc w:val="center"/>
              <w:rPr>
                <w:rFonts w:cs="Times New Roman"/>
                <w:sz w:val="24"/>
                <w:szCs w:val="24"/>
              </w:rPr>
            </w:pPr>
            <w:r>
              <w:rPr>
                <w:rFonts w:cs="Times New Roman"/>
                <w:sz w:val="24"/>
                <w:szCs w:val="24"/>
              </w:rPr>
              <w:t>草河</w:t>
            </w:r>
          </w:p>
        </w:tc>
        <w:tc>
          <w:tcPr>
            <w:tcW w:w="401" w:type="pct"/>
            <w:vAlign w:val="center"/>
          </w:tcPr>
          <w:p w14:paraId="2D2C11DF">
            <w:pPr>
              <w:spacing w:line="240" w:lineRule="auto"/>
              <w:ind w:firstLine="0" w:firstLineChars="0"/>
              <w:jc w:val="center"/>
              <w:rPr>
                <w:rFonts w:ascii="Times New Roman" w:hAnsi="Times New Roman" w:cs="Times New Roman"/>
                <w:sz w:val="24"/>
                <w:szCs w:val="24"/>
              </w:rPr>
            </w:pPr>
            <w:r>
              <w:rPr>
                <w:rFonts w:hint="eastAsia" w:ascii="Times New Roman" w:hAnsi="Times New Roman" w:cs="Times New Roman"/>
                <w:sz w:val="24"/>
                <w:szCs w:val="24"/>
              </w:rPr>
              <w:t>Ⅱ</w:t>
            </w:r>
            <w:r>
              <w:rPr>
                <w:rFonts w:hint="eastAsia" w:ascii="Times New Roman" w:hAnsi="Times New Roman" w:cs="Times New Roman"/>
                <w:sz w:val="24"/>
                <w:szCs w:val="24"/>
                <w:lang w:eastAsia="zh-CN"/>
              </w:rPr>
              <w:t>类</w:t>
            </w:r>
          </w:p>
        </w:tc>
        <w:tc>
          <w:tcPr>
            <w:tcW w:w="366" w:type="pct"/>
            <w:tcMar>
              <w:top w:w="15" w:type="dxa"/>
              <w:left w:w="15" w:type="dxa"/>
              <w:right w:w="15" w:type="dxa"/>
            </w:tcMar>
            <w:vAlign w:val="center"/>
          </w:tcPr>
          <w:p w14:paraId="7A3DF8C4">
            <w:pPr>
              <w:spacing w:line="240" w:lineRule="auto"/>
              <w:ind w:firstLine="0" w:firstLineChars="0"/>
              <w:jc w:val="center"/>
              <w:rPr>
                <w:rFonts w:cs="Times New Roman"/>
                <w:sz w:val="24"/>
                <w:szCs w:val="24"/>
              </w:rPr>
            </w:pPr>
            <w:r>
              <w:rPr>
                <w:rFonts w:cs="Times New Roman"/>
                <w:sz w:val="24"/>
                <w:szCs w:val="24"/>
              </w:rPr>
              <w:t>本溪县</w:t>
            </w:r>
          </w:p>
        </w:tc>
        <w:tc>
          <w:tcPr>
            <w:tcW w:w="2579" w:type="pct"/>
            <w:tcMar>
              <w:top w:w="15" w:type="dxa"/>
              <w:left w:w="15" w:type="dxa"/>
              <w:right w:w="15" w:type="dxa"/>
            </w:tcMar>
            <w:vAlign w:val="center"/>
          </w:tcPr>
          <w:p w14:paraId="186D0BB2">
            <w:pPr>
              <w:spacing w:line="240" w:lineRule="auto"/>
              <w:ind w:firstLine="0" w:firstLineChars="0"/>
              <w:jc w:val="left"/>
              <w:rPr>
                <w:rFonts w:cs="Times New Roman"/>
                <w:sz w:val="24"/>
                <w:szCs w:val="24"/>
              </w:rPr>
            </w:pPr>
            <w:r>
              <w:rPr>
                <w:rFonts w:cs="Times New Roman"/>
                <w:sz w:val="24"/>
                <w:szCs w:val="24"/>
              </w:rPr>
              <w:t>草河掌镇、草河城镇</w:t>
            </w:r>
          </w:p>
        </w:tc>
      </w:tr>
      <w:tr w14:paraId="449A8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04" w:type="pct"/>
            <w:vMerge w:val="continue"/>
            <w:tcMar>
              <w:top w:w="15" w:type="dxa"/>
              <w:left w:w="15" w:type="dxa"/>
              <w:right w:w="15" w:type="dxa"/>
            </w:tcMar>
            <w:vAlign w:val="center"/>
          </w:tcPr>
          <w:p w14:paraId="7A66BE26">
            <w:pPr>
              <w:spacing w:line="240" w:lineRule="auto"/>
              <w:ind w:firstLine="0" w:firstLineChars="0"/>
              <w:jc w:val="center"/>
              <w:rPr>
                <w:rFonts w:cs="Times New Roman"/>
                <w:sz w:val="24"/>
                <w:szCs w:val="24"/>
                <w:lang w:val="en-US"/>
              </w:rPr>
            </w:pPr>
          </w:p>
        </w:tc>
        <w:tc>
          <w:tcPr>
            <w:tcW w:w="578" w:type="pct"/>
            <w:vAlign w:val="center"/>
          </w:tcPr>
          <w:p w14:paraId="25004099">
            <w:pPr>
              <w:spacing w:line="240" w:lineRule="auto"/>
              <w:ind w:firstLine="0" w:firstLineChars="0"/>
              <w:jc w:val="center"/>
              <w:rPr>
                <w:rFonts w:hint="eastAsia" w:cs="Times New Roman"/>
                <w:sz w:val="24"/>
                <w:szCs w:val="24"/>
                <w:lang w:eastAsia="zh-CN"/>
              </w:rPr>
            </w:pPr>
            <w:r>
              <w:rPr>
                <w:rFonts w:hint="eastAsia" w:cs="Times New Roman"/>
                <w:sz w:val="24"/>
                <w:szCs w:val="24"/>
                <w:lang w:eastAsia="zh-CN"/>
              </w:rPr>
              <w:t>草河大桥</w:t>
            </w:r>
          </w:p>
          <w:p w14:paraId="4798C794">
            <w:pPr>
              <w:spacing w:line="240" w:lineRule="auto"/>
              <w:ind w:firstLine="0" w:firstLineChars="0"/>
              <w:jc w:val="center"/>
              <w:rPr>
                <w:rFonts w:hint="eastAsia" w:eastAsia="仿宋" w:cs="Times New Roman"/>
                <w:sz w:val="24"/>
                <w:szCs w:val="24"/>
                <w:lang w:eastAsia="zh-CN"/>
              </w:rPr>
            </w:pPr>
            <w:r>
              <w:rPr>
                <w:rFonts w:hint="eastAsia" w:cs="Times New Roman"/>
                <w:b/>
                <w:bCs/>
                <w:sz w:val="24"/>
                <w:szCs w:val="24"/>
                <w:lang w:eastAsia="zh-CN"/>
              </w:rPr>
              <w:t>（考核丹东市）</w:t>
            </w:r>
          </w:p>
        </w:tc>
        <w:tc>
          <w:tcPr>
            <w:tcW w:w="471" w:type="pct"/>
            <w:tcMar>
              <w:top w:w="15" w:type="dxa"/>
              <w:left w:w="15" w:type="dxa"/>
              <w:right w:w="15" w:type="dxa"/>
            </w:tcMar>
            <w:vAlign w:val="center"/>
          </w:tcPr>
          <w:p w14:paraId="3E357123">
            <w:pPr>
              <w:spacing w:line="240" w:lineRule="auto"/>
              <w:ind w:firstLine="0" w:firstLineChars="0"/>
              <w:jc w:val="center"/>
              <w:rPr>
                <w:rFonts w:hint="eastAsia" w:eastAsia="仿宋" w:cs="Times New Roman"/>
                <w:sz w:val="24"/>
                <w:szCs w:val="24"/>
                <w:lang w:eastAsia="zh-CN"/>
              </w:rPr>
            </w:pPr>
            <w:r>
              <w:rPr>
                <w:rFonts w:hint="eastAsia" w:cs="Times New Roman"/>
                <w:sz w:val="24"/>
                <w:szCs w:val="24"/>
                <w:lang w:eastAsia="zh-CN"/>
              </w:rPr>
              <w:t>草河</w:t>
            </w:r>
          </w:p>
        </w:tc>
        <w:tc>
          <w:tcPr>
            <w:tcW w:w="401" w:type="pct"/>
            <w:vAlign w:val="center"/>
          </w:tcPr>
          <w:p w14:paraId="401BBF83">
            <w:pPr>
              <w:spacing w:line="240" w:lineRule="auto"/>
              <w:ind w:firstLine="0" w:firstLineChars="0"/>
              <w:jc w:val="center"/>
              <w:rPr>
                <w:rFonts w:hint="eastAsia" w:ascii="Times New Roman" w:hAnsi="Times New Roman" w:cs="Times New Roman"/>
                <w:sz w:val="24"/>
                <w:szCs w:val="24"/>
              </w:rPr>
            </w:pPr>
            <w:r>
              <w:rPr>
                <w:rFonts w:hint="eastAsia" w:ascii="Times New Roman" w:hAnsi="Times New Roman" w:cs="Times New Roman"/>
                <w:sz w:val="24"/>
                <w:szCs w:val="24"/>
              </w:rPr>
              <w:t>Ⅲ</w:t>
            </w:r>
            <w:r>
              <w:rPr>
                <w:rFonts w:hint="eastAsia" w:ascii="Times New Roman" w:hAnsi="Times New Roman" w:cs="Times New Roman"/>
                <w:sz w:val="24"/>
                <w:szCs w:val="24"/>
                <w:lang w:eastAsia="zh-CN"/>
              </w:rPr>
              <w:t>类</w:t>
            </w:r>
          </w:p>
        </w:tc>
        <w:tc>
          <w:tcPr>
            <w:tcW w:w="366" w:type="pct"/>
            <w:tcMar>
              <w:top w:w="15" w:type="dxa"/>
              <w:left w:w="15" w:type="dxa"/>
              <w:right w:w="15" w:type="dxa"/>
            </w:tcMar>
            <w:vAlign w:val="center"/>
          </w:tcPr>
          <w:p w14:paraId="7A9C7F74">
            <w:pPr>
              <w:spacing w:line="240" w:lineRule="auto"/>
              <w:ind w:firstLine="0" w:firstLineChars="0"/>
              <w:jc w:val="center"/>
              <w:rPr>
                <w:rFonts w:cs="Times New Roman"/>
                <w:sz w:val="24"/>
                <w:szCs w:val="24"/>
              </w:rPr>
            </w:pPr>
            <w:r>
              <w:rPr>
                <w:rFonts w:cs="Times New Roman"/>
                <w:sz w:val="24"/>
                <w:szCs w:val="24"/>
              </w:rPr>
              <w:t>本溪县</w:t>
            </w:r>
          </w:p>
        </w:tc>
        <w:tc>
          <w:tcPr>
            <w:tcW w:w="2579" w:type="pct"/>
            <w:tcMar>
              <w:top w:w="15" w:type="dxa"/>
              <w:left w:w="15" w:type="dxa"/>
              <w:right w:w="15" w:type="dxa"/>
            </w:tcMar>
            <w:vAlign w:val="center"/>
          </w:tcPr>
          <w:p w14:paraId="106AD585">
            <w:pPr>
              <w:spacing w:line="240" w:lineRule="auto"/>
              <w:ind w:firstLine="0" w:firstLineChars="0"/>
              <w:jc w:val="left"/>
              <w:rPr>
                <w:rFonts w:hint="eastAsia" w:eastAsia="仿宋" w:cs="Times New Roman"/>
                <w:sz w:val="24"/>
                <w:szCs w:val="24"/>
                <w:lang w:eastAsia="zh-CN"/>
              </w:rPr>
            </w:pPr>
            <w:r>
              <w:rPr>
                <w:rFonts w:hint="eastAsia" w:cs="Times New Roman"/>
                <w:sz w:val="24"/>
                <w:szCs w:val="24"/>
                <w:lang w:eastAsia="zh-CN"/>
              </w:rPr>
              <w:t>草河口镇</w:t>
            </w:r>
          </w:p>
        </w:tc>
      </w:tr>
    </w:tbl>
    <w:p w14:paraId="0DC82127">
      <w:pPr>
        <w:ind w:firstLine="560"/>
        <w:rPr>
          <w:rFonts w:hint="eastAsia"/>
          <w:lang w:val="en-US"/>
        </w:rPr>
      </w:pPr>
    </w:p>
    <w:p w14:paraId="4027BA19">
      <w:pPr>
        <w:bidi w:val="0"/>
      </w:pPr>
      <w:r>
        <w:br w:type="page"/>
      </w:r>
    </w:p>
    <w:p w14:paraId="10143600">
      <w:pPr>
        <w:pStyle w:val="4"/>
        <w:keepNext w:val="0"/>
        <w:keepLines w:val="0"/>
        <w:pageBreakBefore w:val="0"/>
        <w:widowControl w:val="0"/>
        <w:kinsoku/>
        <w:wordWrap/>
        <w:overflowPunct/>
        <w:topLinePunct w:val="0"/>
        <w:autoSpaceDE w:val="0"/>
        <w:autoSpaceDN w:val="0"/>
        <w:bidi w:val="0"/>
        <w:adjustRightInd w:val="0"/>
        <w:snapToGrid w:val="0"/>
        <w:spacing w:before="0" w:after="0"/>
        <w:textAlignment w:val="auto"/>
        <w:rPr>
          <w:rFonts w:hint="default"/>
          <w:sz w:val="24"/>
          <w:szCs w:val="24"/>
          <w:lang w:val="en-US" w:eastAsia="zh-CN"/>
        </w:rPr>
      </w:pPr>
      <w:bookmarkStart w:id="207" w:name="_Toc28090"/>
      <w:r>
        <w:rPr>
          <w:rFonts w:hint="eastAsia"/>
          <w:sz w:val="24"/>
          <w:szCs w:val="24"/>
          <w:lang w:val="en-US" w:eastAsia="zh-CN"/>
        </w:rPr>
        <w:t>附表2  目标指标表</w:t>
      </w:r>
      <w:bookmarkEnd w:id="207"/>
    </w:p>
    <w:p w14:paraId="59012C61">
      <w:pPr>
        <w:pStyle w:val="4"/>
        <w:spacing w:after="0"/>
        <w:rPr>
          <w:rFonts w:cs="Times New Roman"/>
          <w:lang w:val="en-US"/>
        </w:rPr>
      </w:pPr>
      <w:bookmarkStart w:id="208" w:name="_Toc21349"/>
      <w:r>
        <w:rPr>
          <w:rFonts w:ascii="Times New Roman" w:hAnsi="Times New Roman" w:cs="Times New Roman"/>
          <w:sz w:val="24"/>
          <w:szCs w:val="24"/>
          <w:lang w:val="en-US"/>
        </w:rPr>
        <w:t>附表2-</w:t>
      </w:r>
      <w:r>
        <w:rPr>
          <w:rFonts w:hint="eastAsia" w:ascii="Times New Roman" w:hAnsi="Times New Roman" w:cs="Times New Roman"/>
          <w:sz w:val="24"/>
          <w:szCs w:val="24"/>
          <w:lang w:val="en-US"/>
        </w:rPr>
        <w:t>1</w:t>
      </w:r>
      <w:r>
        <w:rPr>
          <w:rFonts w:ascii="Times New Roman" w:hAnsi="Times New Roman" w:cs="Times New Roman"/>
          <w:sz w:val="24"/>
          <w:szCs w:val="24"/>
          <w:lang w:val="en-US"/>
        </w:rPr>
        <w:t xml:space="preserve"> 城市集中式饮用水水源目标清单</w:t>
      </w:r>
      <w:bookmarkEnd w:id="208"/>
    </w:p>
    <w:tbl>
      <w:tblPr>
        <w:tblStyle w:val="1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102"/>
        <w:gridCol w:w="1048"/>
        <w:gridCol w:w="1048"/>
        <w:gridCol w:w="1452"/>
        <w:gridCol w:w="1175"/>
        <w:gridCol w:w="1646"/>
        <w:gridCol w:w="1602"/>
        <w:gridCol w:w="2455"/>
        <w:gridCol w:w="1468"/>
        <w:gridCol w:w="1322"/>
        <w:gridCol w:w="857"/>
      </w:tblGrid>
      <w:tr w14:paraId="72B172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35" w:type="pct"/>
            <w:vMerge w:val="restart"/>
            <w:tcBorders>
              <w:top w:val="single" w:color="auto" w:sz="8" w:space="0"/>
              <w:left w:val="single" w:color="auto" w:sz="8" w:space="0"/>
              <w:right w:val="single" w:color="auto" w:sz="4" w:space="0"/>
            </w:tcBorders>
            <w:vAlign w:val="center"/>
          </w:tcPr>
          <w:p w14:paraId="0AAC1DC3">
            <w:pPr>
              <w:pStyle w:val="9"/>
              <w:spacing w:line="240" w:lineRule="auto"/>
              <w:ind w:firstLine="0" w:firstLineChars="0"/>
              <w:jc w:val="center"/>
              <w:rPr>
                <w:rFonts w:ascii="Times New Roman" w:hAnsi="Times New Roman" w:cs="Times New Roman"/>
                <w:b/>
                <w:bCs/>
                <w:sz w:val="24"/>
                <w:szCs w:val="24"/>
              </w:rPr>
            </w:pPr>
            <w:r>
              <w:rPr>
                <w:rFonts w:ascii="Times New Roman" w:hAnsi="Times New Roman" w:cs="Times New Roman"/>
                <w:b/>
                <w:bCs/>
                <w:sz w:val="24"/>
                <w:szCs w:val="24"/>
              </w:rPr>
              <w:t>序号</w:t>
            </w:r>
          </w:p>
        </w:tc>
        <w:tc>
          <w:tcPr>
            <w:tcW w:w="346" w:type="pct"/>
            <w:vMerge w:val="restart"/>
            <w:tcBorders>
              <w:top w:val="single" w:color="auto" w:sz="8" w:space="0"/>
              <w:left w:val="single" w:color="auto" w:sz="4" w:space="0"/>
              <w:right w:val="single" w:color="auto" w:sz="4" w:space="0"/>
            </w:tcBorders>
            <w:vAlign w:val="center"/>
          </w:tcPr>
          <w:p w14:paraId="0E0E49E3">
            <w:pPr>
              <w:pStyle w:val="9"/>
              <w:spacing w:line="240" w:lineRule="auto"/>
              <w:ind w:firstLine="0" w:firstLineChars="0"/>
              <w:jc w:val="center"/>
              <w:rPr>
                <w:rFonts w:ascii="Times New Roman" w:hAnsi="Times New Roman" w:cs="Times New Roman"/>
                <w:b/>
                <w:bCs/>
                <w:sz w:val="24"/>
                <w:szCs w:val="24"/>
              </w:rPr>
            </w:pPr>
            <w:r>
              <w:rPr>
                <w:rFonts w:ascii="Times New Roman" w:hAnsi="Times New Roman" w:cs="Times New Roman"/>
                <w:b/>
                <w:bCs/>
                <w:sz w:val="24"/>
                <w:szCs w:val="24"/>
              </w:rPr>
              <w:t>省份</w:t>
            </w:r>
          </w:p>
        </w:tc>
        <w:tc>
          <w:tcPr>
            <w:tcW w:w="329" w:type="pct"/>
            <w:vMerge w:val="restart"/>
            <w:tcBorders>
              <w:top w:val="single" w:color="auto" w:sz="8" w:space="0"/>
              <w:left w:val="single" w:color="auto" w:sz="4" w:space="0"/>
              <w:right w:val="single" w:color="auto" w:sz="4" w:space="0"/>
            </w:tcBorders>
            <w:vAlign w:val="center"/>
          </w:tcPr>
          <w:p w14:paraId="757AD0D5">
            <w:pPr>
              <w:pStyle w:val="9"/>
              <w:spacing w:line="240" w:lineRule="auto"/>
              <w:ind w:firstLine="0" w:firstLineChars="0"/>
              <w:jc w:val="center"/>
              <w:rPr>
                <w:rFonts w:ascii="Times New Roman" w:hAnsi="Times New Roman" w:cs="Times New Roman"/>
                <w:b/>
                <w:bCs/>
                <w:sz w:val="24"/>
                <w:szCs w:val="24"/>
              </w:rPr>
            </w:pPr>
            <w:r>
              <w:rPr>
                <w:rFonts w:ascii="Times New Roman" w:hAnsi="Times New Roman" w:cs="Times New Roman"/>
                <w:b/>
                <w:bCs/>
                <w:sz w:val="24"/>
                <w:szCs w:val="24"/>
              </w:rPr>
              <w:t>地市</w:t>
            </w:r>
          </w:p>
        </w:tc>
        <w:tc>
          <w:tcPr>
            <w:tcW w:w="329" w:type="pct"/>
            <w:vMerge w:val="restart"/>
            <w:tcBorders>
              <w:top w:val="single" w:color="auto" w:sz="8" w:space="0"/>
              <w:left w:val="single" w:color="auto" w:sz="4" w:space="0"/>
              <w:right w:val="single" w:color="auto" w:sz="4" w:space="0"/>
            </w:tcBorders>
            <w:vAlign w:val="center"/>
          </w:tcPr>
          <w:p w14:paraId="2C3A0AEF">
            <w:pPr>
              <w:pStyle w:val="9"/>
              <w:spacing w:line="240" w:lineRule="auto"/>
              <w:ind w:firstLine="0" w:firstLineChars="0"/>
              <w:jc w:val="center"/>
              <w:rPr>
                <w:rFonts w:ascii="Times New Roman" w:hAnsi="Times New Roman" w:cs="Times New Roman"/>
                <w:b/>
                <w:bCs/>
                <w:sz w:val="24"/>
                <w:szCs w:val="24"/>
              </w:rPr>
            </w:pPr>
            <w:r>
              <w:rPr>
                <w:rFonts w:ascii="Times New Roman" w:hAnsi="Times New Roman" w:cs="Times New Roman"/>
                <w:b/>
                <w:bCs/>
                <w:sz w:val="24"/>
                <w:szCs w:val="24"/>
              </w:rPr>
              <w:t>区县</w:t>
            </w:r>
          </w:p>
        </w:tc>
        <w:tc>
          <w:tcPr>
            <w:tcW w:w="456" w:type="pct"/>
            <w:vMerge w:val="restart"/>
            <w:tcBorders>
              <w:top w:val="single" w:color="auto" w:sz="8" w:space="0"/>
              <w:left w:val="single" w:color="auto" w:sz="4" w:space="0"/>
              <w:right w:val="single" w:color="auto" w:sz="4" w:space="0"/>
            </w:tcBorders>
            <w:vAlign w:val="center"/>
          </w:tcPr>
          <w:p w14:paraId="6E929984">
            <w:pPr>
              <w:pStyle w:val="9"/>
              <w:spacing w:line="240" w:lineRule="auto"/>
              <w:ind w:firstLine="0" w:firstLineChars="0"/>
              <w:jc w:val="center"/>
              <w:rPr>
                <w:rFonts w:ascii="Times New Roman" w:hAnsi="Times New Roman" w:cs="Times New Roman"/>
                <w:b/>
                <w:bCs/>
                <w:sz w:val="24"/>
                <w:szCs w:val="24"/>
              </w:rPr>
            </w:pPr>
            <w:r>
              <w:rPr>
                <w:rFonts w:ascii="Times New Roman" w:hAnsi="Times New Roman" w:cs="Times New Roman"/>
                <w:b/>
                <w:bCs/>
                <w:sz w:val="24"/>
                <w:szCs w:val="24"/>
              </w:rPr>
              <w:t>所属流域</w:t>
            </w:r>
          </w:p>
        </w:tc>
        <w:tc>
          <w:tcPr>
            <w:tcW w:w="369" w:type="pct"/>
            <w:vMerge w:val="restart"/>
            <w:tcBorders>
              <w:top w:val="single" w:color="auto" w:sz="8" w:space="0"/>
              <w:left w:val="single" w:color="auto" w:sz="4" w:space="0"/>
              <w:right w:val="single" w:color="auto" w:sz="4" w:space="0"/>
            </w:tcBorders>
            <w:vAlign w:val="center"/>
          </w:tcPr>
          <w:p w14:paraId="6E905484">
            <w:pPr>
              <w:pStyle w:val="9"/>
              <w:spacing w:line="240" w:lineRule="auto"/>
              <w:ind w:firstLine="0" w:firstLineChars="0"/>
              <w:jc w:val="center"/>
              <w:rPr>
                <w:rFonts w:ascii="Times New Roman" w:hAnsi="Times New Roman" w:cs="Times New Roman"/>
                <w:b/>
                <w:bCs/>
                <w:sz w:val="24"/>
                <w:szCs w:val="24"/>
              </w:rPr>
            </w:pPr>
            <w:r>
              <w:rPr>
                <w:rFonts w:ascii="Times New Roman" w:hAnsi="Times New Roman" w:cs="Times New Roman"/>
                <w:b/>
                <w:bCs/>
                <w:sz w:val="24"/>
                <w:szCs w:val="24"/>
              </w:rPr>
              <w:t>所在水体</w:t>
            </w:r>
          </w:p>
        </w:tc>
        <w:tc>
          <w:tcPr>
            <w:tcW w:w="517" w:type="pct"/>
            <w:vMerge w:val="restart"/>
            <w:tcBorders>
              <w:top w:val="single" w:color="auto" w:sz="8" w:space="0"/>
              <w:left w:val="single" w:color="auto" w:sz="4" w:space="0"/>
              <w:right w:val="single" w:color="auto" w:sz="4" w:space="0"/>
            </w:tcBorders>
            <w:vAlign w:val="center"/>
          </w:tcPr>
          <w:p w14:paraId="625DEE30">
            <w:pPr>
              <w:pStyle w:val="9"/>
              <w:spacing w:line="240" w:lineRule="auto"/>
              <w:ind w:firstLine="0" w:firstLineChars="0"/>
              <w:jc w:val="center"/>
              <w:rPr>
                <w:rFonts w:ascii="Times New Roman" w:hAnsi="Times New Roman" w:cs="Times New Roman"/>
                <w:b/>
                <w:bCs/>
                <w:sz w:val="24"/>
                <w:szCs w:val="24"/>
              </w:rPr>
            </w:pPr>
            <w:r>
              <w:rPr>
                <w:rFonts w:ascii="Times New Roman" w:hAnsi="Times New Roman" w:cs="Times New Roman"/>
                <w:b/>
                <w:bCs/>
                <w:sz w:val="24"/>
                <w:szCs w:val="24"/>
              </w:rPr>
              <w:t>水源地名称</w:t>
            </w:r>
          </w:p>
        </w:tc>
        <w:tc>
          <w:tcPr>
            <w:tcW w:w="503" w:type="pct"/>
            <w:vMerge w:val="restart"/>
            <w:tcBorders>
              <w:top w:val="single" w:color="auto" w:sz="8" w:space="0"/>
              <w:left w:val="single" w:color="auto" w:sz="4" w:space="0"/>
              <w:right w:val="single" w:color="auto" w:sz="4" w:space="0"/>
            </w:tcBorders>
            <w:vAlign w:val="center"/>
          </w:tcPr>
          <w:p w14:paraId="5859F5E2">
            <w:pPr>
              <w:pStyle w:val="9"/>
              <w:spacing w:line="240" w:lineRule="auto"/>
              <w:ind w:firstLine="0" w:firstLineChars="0"/>
              <w:jc w:val="center"/>
              <w:rPr>
                <w:rFonts w:ascii="Times New Roman" w:hAnsi="Times New Roman" w:cs="Times New Roman"/>
                <w:b/>
                <w:bCs/>
                <w:sz w:val="24"/>
                <w:szCs w:val="24"/>
              </w:rPr>
            </w:pPr>
            <w:r>
              <w:rPr>
                <w:rFonts w:ascii="Times New Roman" w:hAnsi="Times New Roman" w:cs="Times New Roman"/>
                <w:b/>
                <w:bCs/>
                <w:sz w:val="24"/>
                <w:szCs w:val="24"/>
              </w:rPr>
              <w:t>水源地类型</w:t>
            </w:r>
          </w:p>
        </w:tc>
        <w:tc>
          <w:tcPr>
            <w:tcW w:w="771" w:type="pct"/>
            <w:vMerge w:val="restart"/>
            <w:tcBorders>
              <w:top w:val="single" w:color="auto" w:sz="8" w:space="0"/>
              <w:left w:val="single" w:color="auto" w:sz="4" w:space="0"/>
              <w:right w:val="single" w:color="auto" w:sz="4" w:space="0"/>
            </w:tcBorders>
            <w:vAlign w:val="center"/>
          </w:tcPr>
          <w:p w14:paraId="2C4E0D7D">
            <w:pPr>
              <w:pStyle w:val="9"/>
              <w:spacing w:line="240" w:lineRule="auto"/>
              <w:ind w:firstLine="0" w:firstLineChars="0"/>
              <w:jc w:val="center"/>
              <w:rPr>
                <w:rFonts w:ascii="Times New Roman" w:hAnsi="Times New Roman" w:cs="Times New Roman"/>
                <w:b/>
                <w:bCs/>
                <w:sz w:val="24"/>
                <w:szCs w:val="24"/>
              </w:rPr>
            </w:pPr>
            <w:r>
              <w:rPr>
                <w:rFonts w:ascii="Times New Roman" w:hAnsi="Times New Roman" w:cs="Times New Roman"/>
                <w:b/>
                <w:bCs/>
                <w:sz w:val="24"/>
                <w:szCs w:val="24"/>
              </w:rPr>
              <w:t>2020年水质现状</w:t>
            </w:r>
          </w:p>
        </w:tc>
        <w:tc>
          <w:tcPr>
            <w:tcW w:w="461" w:type="pct"/>
            <w:vMerge w:val="restart"/>
            <w:tcBorders>
              <w:top w:val="single" w:color="auto" w:sz="8" w:space="0"/>
              <w:left w:val="single" w:color="auto" w:sz="4" w:space="0"/>
              <w:right w:val="single" w:color="auto" w:sz="4" w:space="0"/>
            </w:tcBorders>
            <w:vAlign w:val="center"/>
          </w:tcPr>
          <w:p w14:paraId="235018E8">
            <w:pPr>
              <w:pStyle w:val="9"/>
              <w:spacing w:line="240" w:lineRule="auto"/>
              <w:ind w:firstLine="0" w:firstLineChars="0"/>
              <w:jc w:val="center"/>
              <w:rPr>
                <w:rFonts w:ascii="Times New Roman" w:hAnsi="Times New Roman" w:cs="Times New Roman"/>
                <w:b/>
                <w:bCs/>
                <w:sz w:val="24"/>
                <w:szCs w:val="24"/>
              </w:rPr>
            </w:pPr>
            <w:r>
              <w:rPr>
                <w:rFonts w:ascii="Times New Roman" w:hAnsi="Times New Roman" w:cs="Times New Roman"/>
                <w:b/>
                <w:bCs/>
                <w:sz w:val="24"/>
                <w:szCs w:val="24"/>
              </w:rPr>
              <w:t>2025年水质目标</w:t>
            </w:r>
          </w:p>
        </w:tc>
        <w:tc>
          <w:tcPr>
            <w:tcW w:w="415" w:type="pct"/>
            <w:vMerge w:val="restart"/>
            <w:tcBorders>
              <w:top w:val="single" w:color="auto" w:sz="8" w:space="0"/>
              <w:left w:val="single" w:color="auto" w:sz="4" w:space="0"/>
              <w:right w:val="single" w:color="auto" w:sz="4" w:space="0"/>
            </w:tcBorders>
            <w:vAlign w:val="center"/>
          </w:tcPr>
          <w:p w14:paraId="7C58A35F">
            <w:pPr>
              <w:pStyle w:val="9"/>
              <w:spacing w:line="240" w:lineRule="auto"/>
              <w:ind w:firstLine="0" w:firstLineChars="0"/>
              <w:jc w:val="center"/>
              <w:rPr>
                <w:rFonts w:ascii="Times New Roman" w:hAnsi="Times New Roman" w:cs="Times New Roman"/>
                <w:b/>
                <w:bCs/>
                <w:sz w:val="24"/>
                <w:szCs w:val="24"/>
              </w:rPr>
            </w:pPr>
            <w:r>
              <w:rPr>
                <w:rFonts w:ascii="Times New Roman" w:hAnsi="Times New Roman" w:cs="Times New Roman"/>
                <w:b/>
                <w:bCs/>
                <w:sz w:val="24"/>
                <w:szCs w:val="24"/>
              </w:rPr>
              <w:t>预计达标年度</w:t>
            </w:r>
          </w:p>
        </w:tc>
        <w:tc>
          <w:tcPr>
            <w:tcW w:w="269" w:type="pct"/>
            <w:vMerge w:val="restart"/>
            <w:tcBorders>
              <w:top w:val="single" w:color="auto" w:sz="8" w:space="0"/>
              <w:left w:val="single" w:color="auto" w:sz="4" w:space="0"/>
              <w:right w:val="single" w:color="auto" w:sz="8" w:space="0"/>
            </w:tcBorders>
            <w:vAlign w:val="center"/>
          </w:tcPr>
          <w:p w14:paraId="4A0A142D">
            <w:pPr>
              <w:pStyle w:val="9"/>
              <w:spacing w:line="240" w:lineRule="auto"/>
              <w:ind w:firstLine="0" w:firstLineChars="0"/>
              <w:jc w:val="center"/>
              <w:rPr>
                <w:rFonts w:ascii="Times New Roman" w:hAnsi="Times New Roman" w:cs="Times New Roman"/>
                <w:b/>
                <w:bCs/>
                <w:sz w:val="24"/>
                <w:szCs w:val="24"/>
              </w:rPr>
            </w:pPr>
            <w:r>
              <w:rPr>
                <w:rFonts w:ascii="Times New Roman" w:hAnsi="Times New Roman" w:cs="Times New Roman"/>
                <w:b/>
                <w:bCs/>
                <w:sz w:val="24"/>
                <w:szCs w:val="24"/>
              </w:rPr>
              <w:t>备注</w:t>
            </w:r>
          </w:p>
        </w:tc>
      </w:tr>
      <w:tr w14:paraId="6453C6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235" w:type="pct"/>
            <w:vMerge w:val="continue"/>
            <w:tcBorders>
              <w:left w:val="single" w:color="auto" w:sz="8" w:space="0"/>
              <w:right w:val="single" w:color="auto" w:sz="4" w:space="0"/>
            </w:tcBorders>
            <w:vAlign w:val="center"/>
          </w:tcPr>
          <w:p w14:paraId="18A02318">
            <w:pPr>
              <w:pStyle w:val="9"/>
              <w:spacing w:line="240" w:lineRule="auto"/>
              <w:ind w:firstLine="0" w:firstLineChars="0"/>
              <w:jc w:val="center"/>
              <w:rPr>
                <w:rFonts w:ascii="Times New Roman" w:hAnsi="Times New Roman" w:cs="Times New Roman"/>
                <w:b/>
                <w:bCs/>
                <w:sz w:val="24"/>
                <w:szCs w:val="24"/>
              </w:rPr>
            </w:pPr>
          </w:p>
        </w:tc>
        <w:tc>
          <w:tcPr>
            <w:tcW w:w="346" w:type="pct"/>
            <w:vMerge w:val="continue"/>
            <w:tcBorders>
              <w:left w:val="single" w:color="auto" w:sz="4" w:space="0"/>
              <w:right w:val="single" w:color="auto" w:sz="4" w:space="0"/>
            </w:tcBorders>
            <w:vAlign w:val="center"/>
          </w:tcPr>
          <w:p w14:paraId="1ADE4AB1">
            <w:pPr>
              <w:pStyle w:val="9"/>
              <w:spacing w:line="240" w:lineRule="auto"/>
              <w:ind w:firstLine="0" w:firstLineChars="0"/>
              <w:jc w:val="center"/>
              <w:rPr>
                <w:rFonts w:ascii="Times New Roman" w:hAnsi="Times New Roman" w:cs="Times New Roman"/>
                <w:b/>
                <w:bCs/>
                <w:sz w:val="24"/>
                <w:szCs w:val="24"/>
              </w:rPr>
            </w:pPr>
          </w:p>
        </w:tc>
        <w:tc>
          <w:tcPr>
            <w:tcW w:w="329" w:type="pct"/>
            <w:vMerge w:val="continue"/>
            <w:tcBorders>
              <w:left w:val="single" w:color="auto" w:sz="4" w:space="0"/>
              <w:right w:val="single" w:color="auto" w:sz="4" w:space="0"/>
            </w:tcBorders>
            <w:vAlign w:val="center"/>
          </w:tcPr>
          <w:p w14:paraId="58F6AA5B">
            <w:pPr>
              <w:pStyle w:val="9"/>
              <w:spacing w:line="240" w:lineRule="auto"/>
              <w:ind w:firstLine="0" w:firstLineChars="0"/>
              <w:jc w:val="center"/>
              <w:rPr>
                <w:rFonts w:ascii="Times New Roman" w:hAnsi="Times New Roman" w:cs="Times New Roman"/>
                <w:b/>
                <w:bCs/>
                <w:sz w:val="24"/>
                <w:szCs w:val="24"/>
              </w:rPr>
            </w:pPr>
          </w:p>
        </w:tc>
        <w:tc>
          <w:tcPr>
            <w:tcW w:w="329" w:type="pct"/>
            <w:vMerge w:val="continue"/>
            <w:tcBorders>
              <w:left w:val="single" w:color="auto" w:sz="4" w:space="0"/>
              <w:right w:val="single" w:color="auto" w:sz="4" w:space="0"/>
            </w:tcBorders>
            <w:vAlign w:val="center"/>
          </w:tcPr>
          <w:p w14:paraId="2DE97046">
            <w:pPr>
              <w:pStyle w:val="9"/>
              <w:spacing w:line="240" w:lineRule="auto"/>
              <w:ind w:firstLine="0" w:firstLineChars="0"/>
              <w:jc w:val="center"/>
              <w:rPr>
                <w:rFonts w:ascii="Times New Roman" w:hAnsi="Times New Roman" w:cs="Times New Roman"/>
                <w:b/>
                <w:bCs/>
                <w:sz w:val="24"/>
                <w:szCs w:val="24"/>
              </w:rPr>
            </w:pPr>
          </w:p>
        </w:tc>
        <w:tc>
          <w:tcPr>
            <w:tcW w:w="456" w:type="pct"/>
            <w:vMerge w:val="continue"/>
            <w:tcBorders>
              <w:left w:val="single" w:color="auto" w:sz="4" w:space="0"/>
              <w:right w:val="single" w:color="auto" w:sz="4" w:space="0"/>
            </w:tcBorders>
            <w:vAlign w:val="center"/>
          </w:tcPr>
          <w:p w14:paraId="1A9550B8">
            <w:pPr>
              <w:pStyle w:val="9"/>
              <w:spacing w:line="240" w:lineRule="auto"/>
              <w:ind w:firstLine="0" w:firstLineChars="0"/>
              <w:jc w:val="center"/>
              <w:rPr>
                <w:rFonts w:ascii="Times New Roman" w:hAnsi="Times New Roman" w:cs="Times New Roman"/>
                <w:b/>
                <w:bCs/>
                <w:sz w:val="24"/>
                <w:szCs w:val="24"/>
              </w:rPr>
            </w:pPr>
          </w:p>
        </w:tc>
        <w:tc>
          <w:tcPr>
            <w:tcW w:w="369" w:type="pct"/>
            <w:vMerge w:val="continue"/>
            <w:tcBorders>
              <w:left w:val="single" w:color="auto" w:sz="4" w:space="0"/>
              <w:right w:val="single" w:color="auto" w:sz="4" w:space="0"/>
            </w:tcBorders>
            <w:vAlign w:val="center"/>
          </w:tcPr>
          <w:p w14:paraId="71DA128E">
            <w:pPr>
              <w:pStyle w:val="9"/>
              <w:spacing w:line="240" w:lineRule="auto"/>
              <w:ind w:firstLine="0" w:firstLineChars="0"/>
              <w:jc w:val="center"/>
              <w:rPr>
                <w:rFonts w:ascii="Times New Roman" w:hAnsi="Times New Roman" w:cs="Times New Roman"/>
                <w:b/>
                <w:bCs/>
                <w:sz w:val="24"/>
                <w:szCs w:val="24"/>
              </w:rPr>
            </w:pPr>
          </w:p>
        </w:tc>
        <w:tc>
          <w:tcPr>
            <w:tcW w:w="517" w:type="pct"/>
            <w:vMerge w:val="continue"/>
            <w:tcBorders>
              <w:left w:val="single" w:color="auto" w:sz="4" w:space="0"/>
              <w:right w:val="single" w:color="auto" w:sz="4" w:space="0"/>
            </w:tcBorders>
            <w:vAlign w:val="center"/>
          </w:tcPr>
          <w:p w14:paraId="77A62DAB">
            <w:pPr>
              <w:pStyle w:val="9"/>
              <w:spacing w:line="240" w:lineRule="auto"/>
              <w:ind w:firstLine="0" w:firstLineChars="0"/>
              <w:jc w:val="center"/>
              <w:rPr>
                <w:rFonts w:ascii="Times New Roman" w:hAnsi="Times New Roman" w:cs="Times New Roman"/>
                <w:b/>
                <w:bCs/>
                <w:sz w:val="24"/>
                <w:szCs w:val="24"/>
              </w:rPr>
            </w:pPr>
          </w:p>
        </w:tc>
        <w:tc>
          <w:tcPr>
            <w:tcW w:w="503" w:type="pct"/>
            <w:vMerge w:val="continue"/>
            <w:tcBorders>
              <w:left w:val="single" w:color="auto" w:sz="4" w:space="0"/>
              <w:right w:val="single" w:color="auto" w:sz="4" w:space="0"/>
            </w:tcBorders>
            <w:vAlign w:val="center"/>
          </w:tcPr>
          <w:p w14:paraId="48D9C2F4">
            <w:pPr>
              <w:pStyle w:val="9"/>
              <w:spacing w:line="240" w:lineRule="auto"/>
              <w:ind w:firstLine="0" w:firstLineChars="0"/>
              <w:jc w:val="center"/>
              <w:rPr>
                <w:rFonts w:ascii="Times New Roman" w:hAnsi="Times New Roman" w:cs="Times New Roman"/>
                <w:b/>
                <w:bCs/>
                <w:sz w:val="24"/>
                <w:szCs w:val="24"/>
              </w:rPr>
            </w:pPr>
          </w:p>
        </w:tc>
        <w:tc>
          <w:tcPr>
            <w:tcW w:w="771" w:type="pct"/>
            <w:vMerge w:val="continue"/>
            <w:tcBorders>
              <w:left w:val="single" w:color="auto" w:sz="4" w:space="0"/>
              <w:right w:val="single" w:color="auto" w:sz="4" w:space="0"/>
            </w:tcBorders>
            <w:vAlign w:val="center"/>
          </w:tcPr>
          <w:p w14:paraId="0125F3C2">
            <w:pPr>
              <w:pStyle w:val="9"/>
              <w:spacing w:line="240" w:lineRule="auto"/>
              <w:ind w:firstLine="0" w:firstLineChars="0"/>
              <w:jc w:val="center"/>
              <w:rPr>
                <w:rFonts w:ascii="Times New Roman" w:hAnsi="Times New Roman" w:cs="Times New Roman"/>
                <w:b/>
                <w:bCs/>
                <w:sz w:val="24"/>
                <w:szCs w:val="24"/>
              </w:rPr>
            </w:pPr>
          </w:p>
        </w:tc>
        <w:tc>
          <w:tcPr>
            <w:tcW w:w="461" w:type="pct"/>
            <w:vMerge w:val="continue"/>
            <w:tcBorders>
              <w:left w:val="single" w:color="auto" w:sz="4" w:space="0"/>
              <w:right w:val="single" w:color="auto" w:sz="4" w:space="0"/>
            </w:tcBorders>
            <w:vAlign w:val="center"/>
          </w:tcPr>
          <w:p w14:paraId="1C84F201">
            <w:pPr>
              <w:pStyle w:val="9"/>
              <w:spacing w:line="240" w:lineRule="auto"/>
              <w:ind w:firstLine="0" w:firstLineChars="0"/>
              <w:jc w:val="center"/>
              <w:rPr>
                <w:rFonts w:ascii="Times New Roman" w:hAnsi="Times New Roman" w:cs="Times New Roman"/>
                <w:b/>
                <w:bCs/>
                <w:sz w:val="24"/>
                <w:szCs w:val="24"/>
              </w:rPr>
            </w:pPr>
          </w:p>
        </w:tc>
        <w:tc>
          <w:tcPr>
            <w:tcW w:w="415" w:type="pct"/>
            <w:vMerge w:val="continue"/>
            <w:tcBorders>
              <w:left w:val="single" w:color="auto" w:sz="4" w:space="0"/>
              <w:right w:val="single" w:color="auto" w:sz="4" w:space="0"/>
            </w:tcBorders>
            <w:vAlign w:val="center"/>
          </w:tcPr>
          <w:p w14:paraId="6813CCAB">
            <w:pPr>
              <w:pStyle w:val="9"/>
              <w:spacing w:line="240" w:lineRule="auto"/>
              <w:ind w:firstLine="0" w:firstLineChars="0"/>
              <w:jc w:val="center"/>
              <w:rPr>
                <w:rFonts w:ascii="Times New Roman" w:hAnsi="Times New Roman" w:cs="Times New Roman"/>
                <w:b/>
                <w:bCs/>
                <w:sz w:val="24"/>
                <w:szCs w:val="24"/>
              </w:rPr>
            </w:pPr>
          </w:p>
        </w:tc>
        <w:tc>
          <w:tcPr>
            <w:tcW w:w="269" w:type="pct"/>
            <w:vMerge w:val="continue"/>
            <w:tcBorders>
              <w:left w:val="single" w:color="auto" w:sz="4" w:space="0"/>
              <w:right w:val="single" w:color="auto" w:sz="8" w:space="0"/>
            </w:tcBorders>
            <w:vAlign w:val="center"/>
          </w:tcPr>
          <w:p w14:paraId="1736DB3D">
            <w:pPr>
              <w:pStyle w:val="9"/>
              <w:spacing w:line="240" w:lineRule="auto"/>
              <w:ind w:firstLine="0" w:firstLineChars="0"/>
              <w:jc w:val="center"/>
              <w:rPr>
                <w:rFonts w:ascii="Times New Roman" w:hAnsi="Times New Roman" w:cs="Times New Roman"/>
                <w:b/>
                <w:bCs/>
                <w:sz w:val="24"/>
                <w:szCs w:val="24"/>
              </w:rPr>
            </w:pPr>
          </w:p>
        </w:tc>
      </w:tr>
      <w:tr w14:paraId="052AE4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235" w:type="pct"/>
            <w:tcBorders>
              <w:left w:val="single" w:color="auto" w:sz="8" w:space="0"/>
              <w:right w:val="single" w:color="auto" w:sz="4" w:space="0"/>
            </w:tcBorders>
            <w:vAlign w:val="center"/>
          </w:tcPr>
          <w:p w14:paraId="41BD2A36">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1</w:t>
            </w:r>
          </w:p>
        </w:tc>
        <w:tc>
          <w:tcPr>
            <w:tcW w:w="346" w:type="pct"/>
            <w:tcBorders>
              <w:left w:val="single" w:color="auto" w:sz="4" w:space="0"/>
              <w:right w:val="single" w:color="auto" w:sz="4" w:space="0"/>
            </w:tcBorders>
            <w:vAlign w:val="center"/>
          </w:tcPr>
          <w:p w14:paraId="1EFDECD9">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辽宁省</w:t>
            </w:r>
          </w:p>
        </w:tc>
        <w:tc>
          <w:tcPr>
            <w:tcW w:w="329" w:type="pct"/>
            <w:tcBorders>
              <w:left w:val="single" w:color="auto" w:sz="4" w:space="0"/>
              <w:right w:val="single" w:color="auto" w:sz="4" w:space="0"/>
            </w:tcBorders>
            <w:vAlign w:val="center"/>
          </w:tcPr>
          <w:p w14:paraId="7AF18C40">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本溪市</w:t>
            </w:r>
          </w:p>
        </w:tc>
        <w:tc>
          <w:tcPr>
            <w:tcW w:w="329" w:type="pct"/>
            <w:tcBorders>
              <w:left w:val="single" w:color="auto" w:sz="4" w:space="0"/>
              <w:right w:val="single" w:color="auto" w:sz="4" w:space="0"/>
            </w:tcBorders>
            <w:vAlign w:val="center"/>
          </w:tcPr>
          <w:p w14:paraId="3183BC28">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桓仁县</w:t>
            </w:r>
          </w:p>
        </w:tc>
        <w:tc>
          <w:tcPr>
            <w:tcW w:w="456" w:type="pct"/>
            <w:tcBorders>
              <w:left w:val="single" w:color="auto" w:sz="4" w:space="0"/>
              <w:right w:val="single" w:color="auto" w:sz="4" w:space="0"/>
            </w:tcBorders>
            <w:vAlign w:val="center"/>
          </w:tcPr>
          <w:p w14:paraId="3C8EF66A">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辽河流域</w:t>
            </w:r>
          </w:p>
        </w:tc>
        <w:tc>
          <w:tcPr>
            <w:tcW w:w="369" w:type="pct"/>
            <w:tcBorders>
              <w:left w:val="single" w:color="auto" w:sz="4" w:space="0"/>
              <w:right w:val="single" w:color="auto" w:sz="4" w:space="0"/>
            </w:tcBorders>
            <w:vAlign w:val="center"/>
          </w:tcPr>
          <w:p w14:paraId="4C6DE7DB">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浑江</w:t>
            </w:r>
          </w:p>
        </w:tc>
        <w:tc>
          <w:tcPr>
            <w:tcW w:w="517" w:type="pct"/>
            <w:tcBorders>
              <w:left w:val="single" w:color="auto" w:sz="4" w:space="0"/>
              <w:right w:val="single" w:color="auto" w:sz="4" w:space="0"/>
            </w:tcBorders>
            <w:vAlign w:val="center"/>
          </w:tcPr>
          <w:p w14:paraId="4AD280AD">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桓仁水库</w:t>
            </w:r>
          </w:p>
        </w:tc>
        <w:tc>
          <w:tcPr>
            <w:tcW w:w="503" w:type="pct"/>
            <w:tcBorders>
              <w:left w:val="single" w:color="auto" w:sz="4" w:space="0"/>
              <w:right w:val="single" w:color="auto" w:sz="4" w:space="0"/>
            </w:tcBorders>
            <w:vAlign w:val="center"/>
          </w:tcPr>
          <w:p w14:paraId="0CFC9B12">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湖库</w:t>
            </w:r>
          </w:p>
        </w:tc>
        <w:tc>
          <w:tcPr>
            <w:tcW w:w="771" w:type="pct"/>
            <w:tcBorders>
              <w:left w:val="single" w:color="auto" w:sz="4" w:space="0"/>
              <w:right w:val="single" w:color="auto" w:sz="4" w:space="0"/>
            </w:tcBorders>
            <w:vAlign w:val="center"/>
          </w:tcPr>
          <w:p w14:paraId="52619524">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 3 \* ROMAN </w:instrText>
            </w:r>
            <w:r>
              <w:rPr>
                <w:rFonts w:ascii="Times New Roman" w:hAnsi="Times New Roman" w:cs="Times New Roman"/>
                <w:sz w:val="24"/>
                <w:szCs w:val="24"/>
              </w:rPr>
              <w:fldChar w:fldCharType="separate"/>
            </w:r>
            <w:r>
              <w:rPr>
                <w:rFonts w:ascii="Times New Roman" w:hAnsi="Times New Roman" w:cs="Times New Roman"/>
                <w:sz w:val="24"/>
                <w:szCs w:val="24"/>
              </w:rPr>
              <w:t>III</w:t>
            </w:r>
            <w:r>
              <w:rPr>
                <w:rFonts w:ascii="Times New Roman" w:hAnsi="Times New Roman" w:cs="Times New Roman"/>
                <w:sz w:val="24"/>
                <w:szCs w:val="24"/>
              </w:rPr>
              <w:fldChar w:fldCharType="end"/>
            </w:r>
            <w:r>
              <w:rPr>
                <w:rFonts w:ascii="Times New Roman" w:hAnsi="Times New Roman" w:cs="Times New Roman"/>
                <w:sz w:val="24"/>
                <w:szCs w:val="24"/>
              </w:rPr>
              <w:t>类</w:t>
            </w:r>
          </w:p>
        </w:tc>
        <w:tc>
          <w:tcPr>
            <w:tcW w:w="461" w:type="pct"/>
            <w:tcBorders>
              <w:left w:val="single" w:color="auto" w:sz="4" w:space="0"/>
              <w:right w:val="single" w:color="auto" w:sz="4" w:space="0"/>
            </w:tcBorders>
            <w:vAlign w:val="center"/>
          </w:tcPr>
          <w:p w14:paraId="379B9B46">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 3 \* ROMAN </w:instrText>
            </w:r>
            <w:r>
              <w:rPr>
                <w:rFonts w:ascii="Times New Roman" w:hAnsi="Times New Roman" w:cs="Times New Roman"/>
                <w:sz w:val="24"/>
                <w:szCs w:val="24"/>
              </w:rPr>
              <w:fldChar w:fldCharType="separate"/>
            </w:r>
            <w:r>
              <w:rPr>
                <w:rFonts w:ascii="Times New Roman" w:hAnsi="Times New Roman" w:cs="Times New Roman"/>
                <w:sz w:val="24"/>
                <w:szCs w:val="24"/>
              </w:rPr>
              <w:t>III</w:t>
            </w:r>
            <w:r>
              <w:rPr>
                <w:rFonts w:ascii="Times New Roman" w:hAnsi="Times New Roman" w:cs="Times New Roman"/>
                <w:sz w:val="24"/>
                <w:szCs w:val="24"/>
              </w:rPr>
              <w:fldChar w:fldCharType="end"/>
            </w:r>
            <w:r>
              <w:rPr>
                <w:rFonts w:ascii="Times New Roman" w:hAnsi="Times New Roman" w:cs="Times New Roman"/>
                <w:sz w:val="24"/>
                <w:szCs w:val="24"/>
              </w:rPr>
              <w:t>类</w:t>
            </w:r>
          </w:p>
        </w:tc>
        <w:tc>
          <w:tcPr>
            <w:tcW w:w="415" w:type="pct"/>
            <w:tcBorders>
              <w:left w:val="single" w:color="auto" w:sz="4" w:space="0"/>
              <w:right w:val="single" w:color="auto" w:sz="4" w:space="0"/>
            </w:tcBorders>
            <w:vAlign w:val="center"/>
          </w:tcPr>
          <w:p w14:paraId="64415746">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持续达标</w:t>
            </w:r>
          </w:p>
        </w:tc>
        <w:tc>
          <w:tcPr>
            <w:tcW w:w="269" w:type="pct"/>
            <w:tcBorders>
              <w:left w:val="single" w:color="auto" w:sz="4" w:space="0"/>
              <w:right w:val="single" w:color="auto" w:sz="8" w:space="0"/>
            </w:tcBorders>
            <w:vAlign w:val="center"/>
          </w:tcPr>
          <w:p w14:paraId="15981C53">
            <w:pPr>
              <w:pStyle w:val="9"/>
              <w:spacing w:line="240" w:lineRule="auto"/>
              <w:ind w:firstLine="0" w:firstLineChars="0"/>
              <w:jc w:val="center"/>
              <w:rPr>
                <w:rFonts w:ascii="Times New Roman" w:hAnsi="Times New Roman" w:cs="Times New Roman"/>
                <w:sz w:val="24"/>
                <w:szCs w:val="24"/>
              </w:rPr>
            </w:pPr>
          </w:p>
        </w:tc>
      </w:tr>
      <w:tr w14:paraId="767F1F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235" w:type="pct"/>
            <w:tcBorders>
              <w:left w:val="single" w:color="auto" w:sz="8" w:space="0"/>
              <w:bottom w:val="single" w:color="auto" w:sz="8" w:space="0"/>
              <w:right w:val="single" w:color="auto" w:sz="4" w:space="0"/>
            </w:tcBorders>
            <w:vAlign w:val="center"/>
          </w:tcPr>
          <w:p w14:paraId="229446B2">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2</w:t>
            </w:r>
          </w:p>
        </w:tc>
        <w:tc>
          <w:tcPr>
            <w:tcW w:w="346" w:type="pct"/>
            <w:tcBorders>
              <w:left w:val="single" w:color="auto" w:sz="4" w:space="0"/>
              <w:bottom w:val="single" w:color="auto" w:sz="8" w:space="0"/>
              <w:right w:val="single" w:color="auto" w:sz="4" w:space="0"/>
            </w:tcBorders>
            <w:vAlign w:val="center"/>
          </w:tcPr>
          <w:p w14:paraId="56C59A08">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辽宁省</w:t>
            </w:r>
          </w:p>
        </w:tc>
        <w:tc>
          <w:tcPr>
            <w:tcW w:w="329" w:type="pct"/>
            <w:tcBorders>
              <w:left w:val="single" w:color="auto" w:sz="4" w:space="0"/>
              <w:bottom w:val="single" w:color="auto" w:sz="8" w:space="0"/>
              <w:right w:val="single" w:color="auto" w:sz="4" w:space="0"/>
            </w:tcBorders>
            <w:vAlign w:val="center"/>
          </w:tcPr>
          <w:p w14:paraId="12ADE7F2">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本溪市</w:t>
            </w:r>
          </w:p>
        </w:tc>
        <w:tc>
          <w:tcPr>
            <w:tcW w:w="329" w:type="pct"/>
            <w:tcBorders>
              <w:left w:val="single" w:color="auto" w:sz="4" w:space="0"/>
              <w:bottom w:val="single" w:color="auto" w:sz="8" w:space="0"/>
              <w:right w:val="single" w:color="auto" w:sz="4" w:space="0"/>
            </w:tcBorders>
            <w:vAlign w:val="center"/>
          </w:tcPr>
          <w:p w14:paraId="40740E26">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本溪县</w:t>
            </w:r>
          </w:p>
        </w:tc>
        <w:tc>
          <w:tcPr>
            <w:tcW w:w="456" w:type="pct"/>
            <w:tcBorders>
              <w:left w:val="single" w:color="auto" w:sz="4" w:space="0"/>
              <w:bottom w:val="single" w:color="auto" w:sz="8" w:space="0"/>
              <w:right w:val="single" w:color="auto" w:sz="4" w:space="0"/>
            </w:tcBorders>
            <w:vAlign w:val="center"/>
          </w:tcPr>
          <w:p w14:paraId="4BF7DA09">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辽河流域</w:t>
            </w:r>
          </w:p>
        </w:tc>
        <w:tc>
          <w:tcPr>
            <w:tcW w:w="369" w:type="pct"/>
            <w:tcBorders>
              <w:left w:val="single" w:color="auto" w:sz="4" w:space="0"/>
              <w:bottom w:val="single" w:color="auto" w:sz="8" w:space="0"/>
              <w:right w:val="single" w:color="auto" w:sz="4" w:space="0"/>
            </w:tcBorders>
            <w:vAlign w:val="center"/>
          </w:tcPr>
          <w:p w14:paraId="78C00584">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太子河</w:t>
            </w:r>
          </w:p>
        </w:tc>
        <w:tc>
          <w:tcPr>
            <w:tcW w:w="517" w:type="pct"/>
            <w:tcBorders>
              <w:left w:val="single" w:color="auto" w:sz="4" w:space="0"/>
              <w:bottom w:val="single" w:color="auto" w:sz="8" w:space="0"/>
              <w:right w:val="single" w:color="auto" w:sz="4" w:space="0"/>
            </w:tcBorders>
            <w:vAlign w:val="center"/>
          </w:tcPr>
          <w:p w14:paraId="48399388">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观音阁水库</w:t>
            </w:r>
          </w:p>
        </w:tc>
        <w:tc>
          <w:tcPr>
            <w:tcW w:w="503" w:type="pct"/>
            <w:tcBorders>
              <w:left w:val="single" w:color="auto" w:sz="4" w:space="0"/>
              <w:bottom w:val="single" w:color="auto" w:sz="8" w:space="0"/>
              <w:right w:val="single" w:color="auto" w:sz="4" w:space="0"/>
            </w:tcBorders>
            <w:vAlign w:val="center"/>
          </w:tcPr>
          <w:p w14:paraId="319C0626">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湖库</w:t>
            </w:r>
          </w:p>
        </w:tc>
        <w:tc>
          <w:tcPr>
            <w:tcW w:w="771" w:type="pct"/>
            <w:tcBorders>
              <w:left w:val="single" w:color="auto" w:sz="4" w:space="0"/>
              <w:bottom w:val="single" w:color="auto" w:sz="8" w:space="0"/>
              <w:right w:val="single" w:color="auto" w:sz="4" w:space="0"/>
            </w:tcBorders>
            <w:vAlign w:val="center"/>
          </w:tcPr>
          <w:p w14:paraId="72238774">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 3 \* ROMAN </w:instrText>
            </w:r>
            <w:r>
              <w:rPr>
                <w:rFonts w:ascii="Times New Roman" w:hAnsi="Times New Roman" w:cs="Times New Roman"/>
                <w:sz w:val="24"/>
                <w:szCs w:val="24"/>
              </w:rPr>
              <w:fldChar w:fldCharType="separate"/>
            </w:r>
            <w:r>
              <w:rPr>
                <w:rFonts w:ascii="Times New Roman" w:hAnsi="Times New Roman" w:cs="Times New Roman"/>
                <w:sz w:val="24"/>
                <w:szCs w:val="24"/>
              </w:rPr>
              <w:t>III</w:t>
            </w:r>
            <w:r>
              <w:rPr>
                <w:rFonts w:ascii="Times New Roman" w:hAnsi="Times New Roman" w:cs="Times New Roman"/>
                <w:sz w:val="24"/>
                <w:szCs w:val="24"/>
              </w:rPr>
              <w:fldChar w:fldCharType="end"/>
            </w:r>
            <w:r>
              <w:rPr>
                <w:rFonts w:ascii="Times New Roman" w:hAnsi="Times New Roman" w:cs="Times New Roman"/>
                <w:sz w:val="24"/>
                <w:szCs w:val="24"/>
              </w:rPr>
              <w:t>类</w:t>
            </w:r>
          </w:p>
        </w:tc>
        <w:tc>
          <w:tcPr>
            <w:tcW w:w="461" w:type="pct"/>
            <w:tcBorders>
              <w:left w:val="single" w:color="auto" w:sz="4" w:space="0"/>
              <w:bottom w:val="single" w:color="auto" w:sz="8" w:space="0"/>
              <w:right w:val="single" w:color="auto" w:sz="4" w:space="0"/>
            </w:tcBorders>
            <w:vAlign w:val="center"/>
          </w:tcPr>
          <w:p w14:paraId="4B82206C">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 3 \* ROMAN </w:instrText>
            </w:r>
            <w:r>
              <w:rPr>
                <w:rFonts w:ascii="Times New Roman" w:hAnsi="Times New Roman" w:cs="Times New Roman"/>
                <w:sz w:val="24"/>
                <w:szCs w:val="24"/>
              </w:rPr>
              <w:fldChar w:fldCharType="separate"/>
            </w:r>
            <w:r>
              <w:rPr>
                <w:rFonts w:ascii="Times New Roman" w:hAnsi="Times New Roman" w:cs="Times New Roman"/>
                <w:sz w:val="24"/>
                <w:szCs w:val="24"/>
              </w:rPr>
              <w:t>III</w:t>
            </w:r>
            <w:r>
              <w:rPr>
                <w:rFonts w:ascii="Times New Roman" w:hAnsi="Times New Roman" w:cs="Times New Roman"/>
                <w:sz w:val="24"/>
                <w:szCs w:val="24"/>
              </w:rPr>
              <w:fldChar w:fldCharType="end"/>
            </w:r>
            <w:r>
              <w:rPr>
                <w:rFonts w:ascii="Times New Roman" w:hAnsi="Times New Roman" w:cs="Times New Roman"/>
                <w:sz w:val="24"/>
                <w:szCs w:val="24"/>
              </w:rPr>
              <w:t>类</w:t>
            </w:r>
          </w:p>
        </w:tc>
        <w:tc>
          <w:tcPr>
            <w:tcW w:w="415" w:type="pct"/>
            <w:tcBorders>
              <w:left w:val="single" w:color="auto" w:sz="4" w:space="0"/>
              <w:bottom w:val="single" w:color="auto" w:sz="8" w:space="0"/>
              <w:right w:val="single" w:color="auto" w:sz="4" w:space="0"/>
            </w:tcBorders>
            <w:vAlign w:val="center"/>
          </w:tcPr>
          <w:p w14:paraId="268F2050">
            <w:pPr>
              <w:pStyle w:val="9"/>
              <w:spacing w:line="240" w:lineRule="auto"/>
              <w:ind w:firstLine="0" w:firstLineChars="0"/>
              <w:jc w:val="center"/>
              <w:rPr>
                <w:rFonts w:ascii="Times New Roman" w:hAnsi="Times New Roman" w:cs="Times New Roman"/>
                <w:sz w:val="24"/>
                <w:szCs w:val="24"/>
              </w:rPr>
            </w:pPr>
            <w:r>
              <w:rPr>
                <w:rFonts w:ascii="Times New Roman" w:hAnsi="Times New Roman" w:cs="Times New Roman"/>
                <w:sz w:val="24"/>
                <w:szCs w:val="24"/>
              </w:rPr>
              <w:t>持续达标</w:t>
            </w:r>
          </w:p>
        </w:tc>
        <w:tc>
          <w:tcPr>
            <w:tcW w:w="269" w:type="pct"/>
            <w:tcBorders>
              <w:left w:val="single" w:color="auto" w:sz="4" w:space="0"/>
              <w:bottom w:val="single" w:color="auto" w:sz="8" w:space="0"/>
              <w:right w:val="single" w:color="auto" w:sz="8" w:space="0"/>
            </w:tcBorders>
            <w:vAlign w:val="center"/>
          </w:tcPr>
          <w:p w14:paraId="1F271DC2">
            <w:pPr>
              <w:pStyle w:val="9"/>
              <w:spacing w:line="240" w:lineRule="auto"/>
              <w:ind w:firstLine="0" w:firstLineChars="0"/>
              <w:jc w:val="center"/>
              <w:rPr>
                <w:rFonts w:ascii="Times New Roman" w:hAnsi="Times New Roman" w:cs="Times New Roman"/>
                <w:sz w:val="24"/>
                <w:szCs w:val="24"/>
              </w:rPr>
            </w:pPr>
          </w:p>
        </w:tc>
      </w:tr>
    </w:tbl>
    <w:p w14:paraId="57B13A0E">
      <w:pPr>
        <w:ind w:firstLine="560"/>
        <w:rPr>
          <w:rFonts w:cs="Times New Roman"/>
          <w:lang w:val="en-US"/>
        </w:rPr>
      </w:pPr>
    </w:p>
    <w:p w14:paraId="21EA7E8E">
      <w:pPr>
        <w:ind w:firstLine="560"/>
        <w:rPr>
          <w:rFonts w:cs="Times New Roman"/>
          <w:lang w:val="en-US"/>
        </w:rPr>
      </w:pPr>
    </w:p>
    <w:p w14:paraId="3F4DC494">
      <w:pPr>
        <w:pStyle w:val="4"/>
        <w:spacing w:after="0"/>
        <w:rPr>
          <w:rFonts w:cs="Times New Roman"/>
        </w:rPr>
      </w:pPr>
      <w:bookmarkStart w:id="209" w:name="_Toc34298230"/>
      <w:bookmarkStart w:id="210" w:name="_Toc2442"/>
      <w:bookmarkStart w:id="211" w:name="_Toc25420"/>
      <w:bookmarkStart w:id="212" w:name="_Toc14824"/>
      <w:bookmarkStart w:id="213" w:name="_Toc23258"/>
      <w:bookmarkStart w:id="214" w:name="_Toc56803198"/>
      <w:bookmarkStart w:id="215" w:name="_Toc19478"/>
      <w:r>
        <w:rPr>
          <w:rFonts w:ascii="Times New Roman" w:hAnsi="Times New Roman" w:cs="Times New Roman"/>
          <w:sz w:val="24"/>
          <w:szCs w:val="24"/>
          <w:lang w:val="en-US"/>
        </w:rPr>
        <w:t>附表2-</w:t>
      </w:r>
      <w:bookmarkEnd w:id="209"/>
      <w:bookmarkStart w:id="216" w:name="_Toc34298231"/>
      <w:r>
        <w:rPr>
          <w:rFonts w:hint="eastAsia" w:ascii="Times New Roman" w:hAnsi="Times New Roman" w:cs="Times New Roman"/>
          <w:sz w:val="24"/>
          <w:szCs w:val="24"/>
          <w:lang w:val="en-US"/>
        </w:rPr>
        <w:t>2</w:t>
      </w:r>
      <w:r>
        <w:rPr>
          <w:rFonts w:ascii="Times New Roman" w:hAnsi="Times New Roman" w:cs="Times New Roman"/>
          <w:sz w:val="24"/>
          <w:szCs w:val="24"/>
          <w:lang w:val="en-US"/>
        </w:rPr>
        <w:t xml:space="preserve"> 达到生态流量（水位）底线要求的河湖目标清单</w:t>
      </w:r>
      <w:bookmarkEnd w:id="210"/>
      <w:bookmarkEnd w:id="211"/>
      <w:bookmarkEnd w:id="212"/>
      <w:bookmarkEnd w:id="213"/>
      <w:bookmarkEnd w:id="214"/>
      <w:bookmarkEnd w:id="215"/>
      <w:bookmarkEnd w:id="216"/>
    </w:p>
    <w:tbl>
      <w:tblPr>
        <w:tblStyle w:val="1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513"/>
        <w:gridCol w:w="519"/>
        <w:gridCol w:w="528"/>
        <w:gridCol w:w="528"/>
        <w:gridCol w:w="1069"/>
        <w:gridCol w:w="1069"/>
        <w:gridCol w:w="1069"/>
        <w:gridCol w:w="2026"/>
        <w:gridCol w:w="2239"/>
        <w:gridCol w:w="1821"/>
        <w:gridCol w:w="1384"/>
        <w:gridCol w:w="1557"/>
        <w:gridCol w:w="1404"/>
      </w:tblGrid>
      <w:tr w14:paraId="167DDE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atLeast"/>
          <w:tblHeader/>
          <w:jc w:val="center"/>
        </w:trPr>
        <w:tc>
          <w:tcPr>
            <w:tcW w:w="163" w:type="pct"/>
            <w:vMerge w:val="restart"/>
            <w:tcBorders>
              <w:top w:val="single" w:color="auto" w:sz="8" w:space="0"/>
              <w:left w:val="single" w:color="auto" w:sz="8" w:space="0"/>
              <w:bottom w:val="single" w:color="auto" w:sz="4" w:space="0"/>
              <w:right w:val="single" w:color="auto" w:sz="4" w:space="0"/>
            </w:tcBorders>
            <w:vAlign w:val="center"/>
          </w:tcPr>
          <w:p w14:paraId="619BC49D">
            <w:pPr>
              <w:spacing w:line="240" w:lineRule="auto"/>
              <w:ind w:firstLine="0" w:firstLineChars="0"/>
              <w:jc w:val="center"/>
              <w:rPr>
                <w:rFonts w:cs="Times New Roman"/>
                <w:b/>
                <w:bCs/>
                <w:sz w:val="24"/>
                <w:szCs w:val="24"/>
              </w:rPr>
            </w:pPr>
            <w:r>
              <w:rPr>
                <w:rFonts w:cs="Times New Roman"/>
                <w:b/>
                <w:bCs/>
                <w:sz w:val="24"/>
                <w:szCs w:val="24"/>
              </w:rPr>
              <w:t>序号</w:t>
            </w:r>
          </w:p>
        </w:tc>
        <w:tc>
          <w:tcPr>
            <w:tcW w:w="165" w:type="pct"/>
            <w:vMerge w:val="restart"/>
            <w:tcBorders>
              <w:top w:val="single" w:color="auto" w:sz="8" w:space="0"/>
              <w:left w:val="single" w:color="auto" w:sz="4" w:space="0"/>
              <w:bottom w:val="single" w:color="auto" w:sz="4" w:space="0"/>
              <w:right w:val="single" w:color="auto" w:sz="4" w:space="0"/>
            </w:tcBorders>
            <w:vAlign w:val="center"/>
          </w:tcPr>
          <w:p w14:paraId="730948E2">
            <w:pPr>
              <w:spacing w:line="240" w:lineRule="auto"/>
              <w:ind w:firstLine="0" w:firstLineChars="0"/>
              <w:jc w:val="center"/>
              <w:rPr>
                <w:rFonts w:cs="Times New Roman"/>
                <w:b/>
                <w:bCs/>
                <w:sz w:val="24"/>
                <w:szCs w:val="24"/>
              </w:rPr>
            </w:pPr>
            <w:r>
              <w:rPr>
                <w:rFonts w:cs="Times New Roman"/>
                <w:b/>
                <w:bCs/>
                <w:sz w:val="24"/>
                <w:szCs w:val="24"/>
              </w:rPr>
              <w:t>省份</w:t>
            </w:r>
          </w:p>
        </w:tc>
        <w:tc>
          <w:tcPr>
            <w:tcW w:w="168" w:type="pct"/>
            <w:vMerge w:val="restart"/>
            <w:tcBorders>
              <w:top w:val="single" w:color="auto" w:sz="8" w:space="0"/>
              <w:left w:val="single" w:color="auto" w:sz="4" w:space="0"/>
              <w:bottom w:val="single" w:color="auto" w:sz="4" w:space="0"/>
              <w:right w:val="single" w:color="auto" w:sz="4" w:space="0"/>
            </w:tcBorders>
            <w:vAlign w:val="center"/>
          </w:tcPr>
          <w:p w14:paraId="17EEE87A">
            <w:pPr>
              <w:spacing w:line="240" w:lineRule="auto"/>
              <w:ind w:firstLine="0" w:firstLineChars="0"/>
              <w:jc w:val="center"/>
              <w:rPr>
                <w:rFonts w:cs="Times New Roman"/>
                <w:b/>
                <w:bCs/>
                <w:sz w:val="24"/>
                <w:szCs w:val="24"/>
              </w:rPr>
            </w:pPr>
            <w:r>
              <w:rPr>
                <w:rFonts w:cs="Times New Roman"/>
                <w:b/>
                <w:bCs/>
                <w:sz w:val="24"/>
                <w:szCs w:val="24"/>
              </w:rPr>
              <w:t>地市</w:t>
            </w:r>
          </w:p>
        </w:tc>
        <w:tc>
          <w:tcPr>
            <w:tcW w:w="168" w:type="pct"/>
            <w:vMerge w:val="restart"/>
            <w:tcBorders>
              <w:top w:val="single" w:color="auto" w:sz="8" w:space="0"/>
              <w:left w:val="single" w:color="auto" w:sz="4" w:space="0"/>
              <w:bottom w:val="single" w:color="auto" w:sz="4" w:space="0"/>
              <w:right w:val="single" w:color="auto" w:sz="4" w:space="0"/>
            </w:tcBorders>
            <w:vAlign w:val="center"/>
          </w:tcPr>
          <w:p w14:paraId="0461C1FD">
            <w:pPr>
              <w:spacing w:line="240" w:lineRule="auto"/>
              <w:ind w:firstLine="0" w:firstLineChars="0"/>
              <w:jc w:val="center"/>
              <w:rPr>
                <w:rFonts w:cs="Times New Roman"/>
                <w:b/>
                <w:bCs/>
                <w:sz w:val="24"/>
                <w:szCs w:val="24"/>
              </w:rPr>
            </w:pPr>
            <w:r>
              <w:rPr>
                <w:rFonts w:cs="Times New Roman"/>
                <w:b/>
                <w:bCs/>
                <w:sz w:val="24"/>
                <w:szCs w:val="24"/>
              </w:rPr>
              <w:t>区县</w:t>
            </w:r>
          </w:p>
        </w:tc>
        <w:tc>
          <w:tcPr>
            <w:tcW w:w="340" w:type="pct"/>
            <w:vMerge w:val="restart"/>
            <w:tcBorders>
              <w:top w:val="single" w:color="auto" w:sz="8" w:space="0"/>
              <w:left w:val="single" w:color="auto" w:sz="4" w:space="0"/>
              <w:bottom w:val="single" w:color="auto" w:sz="4" w:space="0"/>
              <w:right w:val="single" w:color="auto" w:sz="4" w:space="0"/>
            </w:tcBorders>
            <w:vAlign w:val="center"/>
          </w:tcPr>
          <w:p w14:paraId="0D84A00C">
            <w:pPr>
              <w:spacing w:line="240" w:lineRule="auto"/>
              <w:ind w:firstLine="0" w:firstLineChars="0"/>
              <w:jc w:val="center"/>
              <w:rPr>
                <w:rFonts w:cs="Times New Roman"/>
                <w:b/>
                <w:bCs/>
                <w:sz w:val="24"/>
                <w:szCs w:val="24"/>
              </w:rPr>
            </w:pPr>
            <w:r>
              <w:rPr>
                <w:rFonts w:cs="Times New Roman"/>
                <w:b/>
                <w:bCs/>
                <w:sz w:val="24"/>
                <w:szCs w:val="24"/>
              </w:rPr>
              <w:t>控制单元</w:t>
            </w:r>
          </w:p>
        </w:tc>
        <w:tc>
          <w:tcPr>
            <w:tcW w:w="340" w:type="pct"/>
            <w:vMerge w:val="restart"/>
            <w:tcBorders>
              <w:top w:val="single" w:color="auto" w:sz="8" w:space="0"/>
              <w:left w:val="single" w:color="auto" w:sz="4" w:space="0"/>
              <w:bottom w:val="single" w:color="auto" w:sz="4" w:space="0"/>
              <w:right w:val="single" w:color="auto" w:sz="4" w:space="0"/>
            </w:tcBorders>
            <w:vAlign w:val="center"/>
          </w:tcPr>
          <w:p w14:paraId="74D20DB7">
            <w:pPr>
              <w:spacing w:line="240" w:lineRule="auto"/>
              <w:ind w:firstLine="0" w:firstLineChars="0"/>
              <w:jc w:val="center"/>
              <w:rPr>
                <w:rFonts w:cs="Times New Roman"/>
                <w:b/>
                <w:bCs/>
                <w:sz w:val="24"/>
                <w:szCs w:val="24"/>
              </w:rPr>
            </w:pPr>
            <w:r>
              <w:rPr>
                <w:rFonts w:cs="Times New Roman"/>
                <w:b/>
                <w:bCs/>
                <w:sz w:val="24"/>
                <w:szCs w:val="24"/>
              </w:rPr>
              <w:t>水体名称</w:t>
            </w:r>
          </w:p>
        </w:tc>
        <w:tc>
          <w:tcPr>
            <w:tcW w:w="340" w:type="pct"/>
            <w:vMerge w:val="restart"/>
            <w:tcBorders>
              <w:top w:val="single" w:color="auto" w:sz="8" w:space="0"/>
              <w:left w:val="single" w:color="auto" w:sz="4" w:space="0"/>
              <w:bottom w:val="single" w:color="auto" w:sz="4" w:space="0"/>
              <w:right w:val="single" w:color="auto" w:sz="4" w:space="0"/>
            </w:tcBorders>
            <w:vAlign w:val="center"/>
          </w:tcPr>
          <w:p w14:paraId="6DFC1A70">
            <w:pPr>
              <w:spacing w:line="240" w:lineRule="auto"/>
              <w:ind w:firstLine="0" w:firstLineChars="0"/>
              <w:jc w:val="center"/>
              <w:rPr>
                <w:rFonts w:cs="Times New Roman"/>
                <w:b/>
                <w:bCs/>
                <w:sz w:val="24"/>
                <w:szCs w:val="24"/>
              </w:rPr>
            </w:pPr>
            <w:r>
              <w:rPr>
                <w:rFonts w:cs="Times New Roman"/>
                <w:b/>
                <w:bCs/>
                <w:sz w:val="24"/>
                <w:szCs w:val="24"/>
              </w:rPr>
              <w:t>水体类型</w:t>
            </w:r>
          </w:p>
        </w:tc>
        <w:tc>
          <w:tcPr>
            <w:tcW w:w="1356" w:type="pct"/>
            <w:gridSpan w:val="2"/>
            <w:tcBorders>
              <w:top w:val="single" w:color="auto" w:sz="8" w:space="0"/>
              <w:left w:val="single" w:color="auto" w:sz="4" w:space="0"/>
              <w:bottom w:val="single" w:color="auto" w:sz="4" w:space="0"/>
              <w:right w:val="single" w:color="auto" w:sz="4" w:space="0"/>
            </w:tcBorders>
            <w:vAlign w:val="center"/>
          </w:tcPr>
          <w:p w14:paraId="26A4434E">
            <w:pPr>
              <w:spacing w:line="240" w:lineRule="auto"/>
              <w:ind w:firstLine="0" w:firstLineChars="0"/>
              <w:jc w:val="center"/>
              <w:rPr>
                <w:rFonts w:cs="Times New Roman"/>
                <w:b/>
                <w:bCs/>
                <w:sz w:val="24"/>
                <w:szCs w:val="24"/>
              </w:rPr>
            </w:pPr>
            <w:r>
              <w:rPr>
                <w:rFonts w:cs="Times New Roman"/>
                <w:b/>
                <w:bCs/>
                <w:sz w:val="24"/>
                <w:szCs w:val="24"/>
              </w:rPr>
              <w:t>生态流量（m</w:t>
            </w:r>
            <w:r>
              <w:rPr>
                <w:rFonts w:cs="Times New Roman"/>
                <w:b/>
                <w:bCs/>
                <w:sz w:val="24"/>
                <w:szCs w:val="24"/>
                <w:vertAlign w:val="superscript"/>
              </w:rPr>
              <w:t>3</w:t>
            </w:r>
            <w:r>
              <w:rPr>
                <w:rFonts w:cs="Times New Roman"/>
                <w:b/>
                <w:bCs/>
                <w:sz w:val="24"/>
                <w:szCs w:val="24"/>
              </w:rPr>
              <w:t>/s）</w:t>
            </w:r>
          </w:p>
        </w:tc>
        <w:tc>
          <w:tcPr>
            <w:tcW w:w="1019" w:type="pct"/>
            <w:gridSpan w:val="2"/>
            <w:tcBorders>
              <w:top w:val="single" w:color="auto" w:sz="8" w:space="0"/>
              <w:left w:val="single" w:color="auto" w:sz="4" w:space="0"/>
              <w:bottom w:val="single" w:color="auto" w:sz="4" w:space="0"/>
              <w:right w:val="single" w:color="auto" w:sz="4" w:space="0"/>
            </w:tcBorders>
            <w:vAlign w:val="center"/>
          </w:tcPr>
          <w:p w14:paraId="612977B4">
            <w:pPr>
              <w:spacing w:line="240" w:lineRule="auto"/>
              <w:ind w:firstLine="0" w:firstLineChars="0"/>
              <w:jc w:val="center"/>
              <w:rPr>
                <w:rFonts w:cs="Times New Roman"/>
                <w:b/>
                <w:bCs/>
                <w:sz w:val="24"/>
                <w:szCs w:val="24"/>
              </w:rPr>
            </w:pPr>
            <w:r>
              <w:rPr>
                <w:rFonts w:cs="Times New Roman"/>
                <w:b/>
                <w:bCs/>
                <w:sz w:val="24"/>
                <w:szCs w:val="24"/>
              </w:rPr>
              <w:t>生态水位（m）</w:t>
            </w:r>
          </w:p>
        </w:tc>
        <w:tc>
          <w:tcPr>
            <w:tcW w:w="495" w:type="pct"/>
            <w:vMerge w:val="restart"/>
            <w:tcBorders>
              <w:top w:val="single" w:color="auto" w:sz="8" w:space="0"/>
              <w:left w:val="single" w:color="auto" w:sz="4" w:space="0"/>
              <w:bottom w:val="single" w:color="auto" w:sz="4" w:space="0"/>
              <w:right w:val="single" w:color="auto" w:sz="4" w:space="0"/>
            </w:tcBorders>
            <w:vAlign w:val="center"/>
          </w:tcPr>
          <w:p w14:paraId="141D7E2B">
            <w:pPr>
              <w:spacing w:line="240" w:lineRule="auto"/>
              <w:ind w:firstLine="0" w:firstLineChars="0"/>
              <w:jc w:val="center"/>
              <w:rPr>
                <w:rFonts w:cs="Times New Roman"/>
                <w:b/>
                <w:bCs/>
                <w:sz w:val="24"/>
                <w:szCs w:val="24"/>
              </w:rPr>
            </w:pPr>
            <w:r>
              <w:rPr>
                <w:rFonts w:cs="Times New Roman"/>
                <w:b/>
                <w:bCs/>
                <w:sz w:val="24"/>
                <w:szCs w:val="24"/>
              </w:rPr>
              <w:t>预计达到底线要求的年度</w:t>
            </w:r>
          </w:p>
        </w:tc>
        <w:tc>
          <w:tcPr>
            <w:tcW w:w="446" w:type="pct"/>
            <w:vMerge w:val="restart"/>
            <w:tcBorders>
              <w:top w:val="single" w:color="auto" w:sz="8" w:space="0"/>
              <w:left w:val="single" w:color="auto" w:sz="4" w:space="0"/>
              <w:bottom w:val="single" w:color="auto" w:sz="4" w:space="0"/>
              <w:right w:val="single" w:color="auto" w:sz="8" w:space="0"/>
            </w:tcBorders>
            <w:vAlign w:val="center"/>
          </w:tcPr>
          <w:p w14:paraId="06E1B11F">
            <w:pPr>
              <w:spacing w:line="240" w:lineRule="auto"/>
              <w:ind w:firstLine="0" w:firstLineChars="0"/>
              <w:jc w:val="center"/>
              <w:rPr>
                <w:rFonts w:cs="Times New Roman"/>
                <w:b/>
                <w:bCs/>
                <w:sz w:val="24"/>
                <w:szCs w:val="24"/>
              </w:rPr>
            </w:pPr>
            <w:r>
              <w:rPr>
                <w:rFonts w:cs="Times New Roman"/>
                <w:b/>
                <w:bCs/>
                <w:sz w:val="24"/>
                <w:szCs w:val="24"/>
              </w:rPr>
              <w:t>备注</w:t>
            </w:r>
          </w:p>
        </w:tc>
      </w:tr>
      <w:tr w14:paraId="095BA3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atLeast"/>
          <w:tblHeader/>
          <w:jc w:val="center"/>
        </w:trPr>
        <w:tc>
          <w:tcPr>
            <w:tcW w:w="163" w:type="pct"/>
            <w:vMerge w:val="continue"/>
            <w:tcBorders>
              <w:top w:val="single" w:color="auto" w:sz="8" w:space="0"/>
              <w:left w:val="single" w:color="auto" w:sz="8" w:space="0"/>
              <w:bottom w:val="single" w:color="auto" w:sz="4" w:space="0"/>
              <w:right w:val="single" w:color="auto" w:sz="4" w:space="0"/>
            </w:tcBorders>
            <w:vAlign w:val="center"/>
          </w:tcPr>
          <w:p w14:paraId="54DDE5A9">
            <w:pPr>
              <w:widowControl/>
              <w:spacing w:line="240" w:lineRule="auto"/>
              <w:ind w:firstLine="0" w:firstLineChars="0"/>
              <w:jc w:val="center"/>
              <w:rPr>
                <w:rFonts w:cs="Times New Roman"/>
                <w:b/>
                <w:bCs/>
                <w:sz w:val="24"/>
                <w:szCs w:val="24"/>
              </w:rPr>
            </w:pPr>
          </w:p>
        </w:tc>
        <w:tc>
          <w:tcPr>
            <w:tcW w:w="165" w:type="pct"/>
            <w:vMerge w:val="continue"/>
            <w:tcBorders>
              <w:top w:val="single" w:color="auto" w:sz="8" w:space="0"/>
              <w:left w:val="single" w:color="auto" w:sz="4" w:space="0"/>
              <w:bottom w:val="single" w:color="auto" w:sz="4" w:space="0"/>
              <w:right w:val="single" w:color="auto" w:sz="4" w:space="0"/>
            </w:tcBorders>
            <w:vAlign w:val="center"/>
          </w:tcPr>
          <w:p w14:paraId="724F1CBD">
            <w:pPr>
              <w:widowControl/>
              <w:spacing w:line="240" w:lineRule="auto"/>
              <w:ind w:firstLine="0" w:firstLineChars="0"/>
              <w:jc w:val="center"/>
              <w:rPr>
                <w:rFonts w:cs="Times New Roman"/>
                <w:b/>
                <w:bCs/>
                <w:sz w:val="24"/>
                <w:szCs w:val="24"/>
              </w:rPr>
            </w:pPr>
          </w:p>
        </w:tc>
        <w:tc>
          <w:tcPr>
            <w:tcW w:w="168" w:type="pct"/>
            <w:vMerge w:val="continue"/>
            <w:tcBorders>
              <w:top w:val="single" w:color="auto" w:sz="8" w:space="0"/>
              <w:left w:val="single" w:color="auto" w:sz="4" w:space="0"/>
              <w:bottom w:val="single" w:color="auto" w:sz="4" w:space="0"/>
              <w:right w:val="single" w:color="auto" w:sz="4" w:space="0"/>
            </w:tcBorders>
            <w:vAlign w:val="center"/>
          </w:tcPr>
          <w:p w14:paraId="5513AD33">
            <w:pPr>
              <w:widowControl/>
              <w:spacing w:line="240" w:lineRule="auto"/>
              <w:ind w:firstLine="0" w:firstLineChars="0"/>
              <w:jc w:val="center"/>
              <w:rPr>
                <w:rFonts w:cs="Times New Roman"/>
                <w:b/>
                <w:bCs/>
                <w:sz w:val="24"/>
                <w:szCs w:val="24"/>
              </w:rPr>
            </w:pPr>
          </w:p>
        </w:tc>
        <w:tc>
          <w:tcPr>
            <w:tcW w:w="168" w:type="pct"/>
            <w:vMerge w:val="continue"/>
            <w:tcBorders>
              <w:top w:val="single" w:color="auto" w:sz="8" w:space="0"/>
              <w:left w:val="single" w:color="auto" w:sz="4" w:space="0"/>
              <w:bottom w:val="single" w:color="auto" w:sz="4" w:space="0"/>
              <w:right w:val="single" w:color="auto" w:sz="4" w:space="0"/>
            </w:tcBorders>
            <w:vAlign w:val="center"/>
          </w:tcPr>
          <w:p w14:paraId="039EC56C">
            <w:pPr>
              <w:widowControl/>
              <w:spacing w:line="240" w:lineRule="auto"/>
              <w:ind w:firstLine="0" w:firstLineChars="0"/>
              <w:jc w:val="center"/>
              <w:rPr>
                <w:rFonts w:cs="Times New Roman"/>
                <w:b/>
                <w:bCs/>
                <w:sz w:val="24"/>
                <w:szCs w:val="24"/>
              </w:rPr>
            </w:pPr>
          </w:p>
        </w:tc>
        <w:tc>
          <w:tcPr>
            <w:tcW w:w="340" w:type="pct"/>
            <w:vMerge w:val="continue"/>
            <w:tcBorders>
              <w:top w:val="single" w:color="auto" w:sz="8" w:space="0"/>
              <w:left w:val="single" w:color="auto" w:sz="4" w:space="0"/>
              <w:bottom w:val="single" w:color="auto" w:sz="4" w:space="0"/>
              <w:right w:val="single" w:color="auto" w:sz="4" w:space="0"/>
            </w:tcBorders>
            <w:vAlign w:val="center"/>
          </w:tcPr>
          <w:p w14:paraId="132F3650">
            <w:pPr>
              <w:widowControl/>
              <w:spacing w:line="240" w:lineRule="auto"/>
              <w:ind w:firstLine="0" w:firstLineChars="0"/>
              <w:jc w:val="center"/>
              <w:rPr>
                <w:rFonts w:cs="Times New Roman"/>
                <w:b/>
                <w:bCs/>
                <w:sz w:val="24"/>
                <w:szCs w:val="24"/>
              </w:rPr>
            </w:pPr>
          </w:p>
        </w:tc>
        <w:tc>
          <w:tcPr>
            <w:tcW w:w="340" w:type="pct"/>
            <w:vMerge w:val="continue"/>
            <w:tcBorders>
              <w:top w:val="single" w:color="auto" w:sz="8" w:space="0"/>
              <w:left w:val="single" w:color="auto" w:sz="4" w:space="0"/>
              <w:bottom w:val="single" w:color="auto" w:sz="4" w:space="0"/>
              <w:right w:val="single" w:color="auto" w:sz="4" w:space="0"/>
            </w:tcBorders>
            <w:vAlign w:val="center"/>
          </w:tcPr>
          <w:p w14:paraId="04BCBB8C">
            <w:pPr>
              <w:widowControl/>
              <w:spacing w:line="240" w:lineRule="auto"/>
              <w:ind w:firstLine="0" w:firstLineChars="0"/>
              <w:jc w:val="center"/>
              <w:rPr>
                <w:rFonts w:cs="Times New Roman"/>
                <w:b/>
                <w:bCs/>
                <w:sz w:val="24"/>
                <w:szCs w:val="24"/>
              </w:rPr>
            </w:pPr>
          </w:p>
        </w:tc>
        <w:tc>
          <w:tcPr>
            <w:tcW w:w="340" w:type="pct"/>
            <w:vMerge w:val="continue"/>
            <w:tcBorders>
              <w:top w:val="single" w:color="auto" w:sz="8" w:space="0"/>
              <w:left w:val="single" w:color="auto" w:sz="4" w:space="0"/>
              <w:bottom w:val="single" w:color="auto" w:sz="4" w:space="0"/>
              <w:right w:val="single" w:color="auto" w:sz="4" w:space="0"/>
            </w:tcBorders>
            <w:vAlign w:val="center"/>
          </w:tcPr>
          <w:p w14:paraId="5C639676">
            <w:pPr>
              <w:widowControl/>
              <w:spacing w:line="240" w:lineRule="auto"/>
              <w:ind w:firstLine="0" w:firstLineChars="0"/>
              <w:jc w:val="center"/>
              <w:rPr>
                <w:rFonts w:cs="Times New Roman"/>
                <w:b/>
                <w:bCs/>
                <w:sz w:val="24"/>
                <w:szCs w:val="24"/>
              </w:rPr>
            </w:pPr>
          </w:p>
        </w:tc>
        <w:tc>
          <w:tcPr>
            <w:tcW w:w="644" w:type="pct"/>
            <w:tcBorders>
              <w:top w:val="single" w:color="auto" w:sz="4" w:space="0"/>
              <w:left w:val="single" w:color="auto" w:sz="4" w:space="0"/>
              <w:bottom w:val="single" w:color="auto" w:sz="4" w:space="0"/>
              <w:right w:val="single" w:color="auto" w:sz="4" w:space="0"/>
            </w:tcBorders>
            <w:vAlign w:val="center"/>
          </w:tcPr>
          <w:p w14:paraId="4C8A54B0">
            <w:pPr>
              <w:spacing w:line="240" w:lineRule="auto"/>
              <w:ind w:firstLine="0" w:firstLineChars="0"/>
              <w:jc w:val="center"/>
              <w:rPr>
                <w:rFonts w:cs="Times New Roman"/>
                <w:b/>
                <w:bCs/>
                <w:sz w:val="24"/>
                <w:szCs w:val="24"/>
              </w:rPr>
            </w:pPr>
            <w:r>
              <w:rPr>
                <w:rFonts w:cs="Times New Roman"/>
                <w:b/>
                <w:bCs/>
                <w:sz w:val="24"/>
                <w:szCs w:val="24"/>
              </w:rPr>
              <w:t>2020年下泄流量</w:t>
            </w:r>
          </w:p>
        </w:tc>
        <w:tc>
          <w:tcPr>
            <w:tcW w:w="712" w:type="pct"/>
            <w:tcBorders>
              <w:top w:val="single" w:color="auto" w:sz="4" w:space="0"/>
              <w:left w:val="single" w:color="auto" w:sz="4" w:space="0"/>
              <w:bottom w:val="single" w:color="auto" w:sz="4" w:space="0"/>
              <w:right w:val="single" w:color="auto" w:sz="4" w:space="0"/>
            </w:tcBorders>
            <w:vAlign w:val="center"/>
          </w:tcPr>
          <w:p w14:paraId="58A1E9D6">
            <w:pPr>
              <w:spacing w:line="240" w:lineRule="auto"/>
              <w:ind w:firstLine="0" w:firstLineChars="0"/>
              <w:jc w:val="center"/>
              <w:rPr>
                <w:rFonts w:cs="Times New Roman"/>
                <w:b/>
                <w:bCs/>
                <w:sz w:val="24"/>
                <w:szCs w:val="24"/>
              </w:rPr>
            </w:pPr>
            <w:r>
              <w:rPr>
                <w:rFonts w:cs="Times New Roman"/>
                <w:b/>
                <w:bCs/>
                <w:sz w:val="24"/>
                <w:szCs w:val="24"/>
              </w:rPr>
              <w:t>2025年目标</w:t>
            </w:r>
          </w:p>
        </w:tc>
        <w:tc>
          <w:tcPr>
            <w:tcW w:w="579" w:type="pct"/>
            <w:tcBorders>
              <w:top w:val="single" w:color="auto" w:sz="4" w:space="0"/>
              <w:left w:val="single" w:color="auto" w:sz="4" w:space="0"/>
              <w:bottom w:val="single" w:color="auto" w:sz="4" w:space="0"/>
              <w:right w:val="single" w:color="auto" w:sz="4" w:space="0"/>
            </w:tcBorders>
            <w:vAlign w:val="center"/>
          </w:tcPr>
          <w:p w14:paraId="655451CC">
            <w:pPr>
              <w:spacing w:line="240" w:lineRule="auto"/>
              <w:ind w:firstLine="0" w:firstLineChars="0"/>
              <w:jc w:val="center"/>
              <w:rPr>
                <w:rFonts w:cs="Times New Roman"/>
                <w:b/>
                <w:bCs/>
                <w:sz w:val="24"/>
                <w:szCs w:val="24"/>
              </w:rPr>
            </w:pPr>
            <w:r>
              <w:rPr>
                <w:rFonts w:cs="Times New Roman"/>
                <w:b/>
                <w:bCs/>
                <w:sz w:val="24"/>
                <w:szCs w:val="24"/>
              </w:rPr>
              <w:t>2020年实际水位</w:t>
            </w:r>
          </w:p>
        </w:tc>
        <w:tc>
          <w:tcPr>
            <w:tcW w:w="440" w:type="pct"/>
            <w:tcBorders>
              <w:top w:val="single" w:color="auto" w:sz="4" w:space="0"/>
              <w:left w:val="single" w:color="auto" w:sz="4" w:space="0"/>
              <w:bottom w:val="single" w:color="auto" w:sz="4" w:space="0"/>
              <w:right w:val="single" w:color="auto" w:sz="4" w:space="0"/>
            </w:tcBorders>
            <w:vAlign w:val="center"/>
          </w:tcPr>
          <w:p w14:paraId="42DAB753">
            <w:pPr>
              <w:spacing w:line="240" w:lineRule="auto"/>
              <w:ind w:firstLine="0" w:firstLineChars="0"/>
              <w:jc w:val="center"/>
              <w:rPr>
                <w:rFonts w:cs="Times New Roman"/>
                <w:b/>
                <w:bCs/>
                <w:sz w:val="24"/>
                <w:szCs w:val="24"/>
              </w:rPr>
            </w:pPr>
            <w:r>
              <w:rPr>
                <w:rFonts w:cs="Times New Roman"/>
                <w:b/>
                <w:bCs/>
                <w:sz w:val="24"/>
                <w:szCs w:val="24"/>
              </w:rPr>
              <w:t>2025年目标</w:t>
            </w:r>
          </w:p>
        </w:tc>
        <w:tc>
          <w:tcPr>
            <w:tcW w:w="495" w:type="pct"/>
            <w:vMerge w:val="continue"/>
            <w:tcBorders>
              <w:top w:val="single" w:color="auto" w:sz="8" w:space="0"/>
              <w:left w:val="single" w:color="auto" w:sz="4" w:space="0"/>
              <w:bottom w:val="single" w:color="auto" w:sz="4" w:space="0"/>
              <w:right w:val="single" w:color="auto" w:sz="4" w:space="0"/>
            </w:tcBorders>
            <w:vAlign w:val="center"/>
          </w:tcPr>
          <w:p w14:paraId="7E8E7673">
            <w:pPr>
              <w:widowControl/>
              <w:spacing w:line="240" w:lineRule="auto"/>
              <w:ind w:firstLine="0" w:firstLineChars="0"/>
              <w:jc w:val="center"/>
              <w:rPr>
                <w:rFonts w:cs="Times New Roman"/>
                <w:b/>
                <w:bCs/>
                <w:sz w:val="24"/>
                <w:szCs w:val="24"/>
              </w:rPr>
            </w:pPr>
          </w:p>
        </w:tc>
        <w:tc>
          <w:tcPr>
            <w:tcW w:w="446" w:type="pct"/>
            <w:vMerge w:val="continue"/>
            <w:tcBorders>
              <w:top w:val="single" w:color="auto" w:sz="8" w:space="0"/>
              <w:left w:val="single" w:color="auto" w:sz="4" w:space="0"/>
              <w:bottom w:val="single" w:color="auto" w:sz="4" w:space="0"/>
              <w:right w:val="single" w:color="auto" w:sz="8" w:space="0"/>
            </w:tcBorders>
            <w:vAlign w:val="center"/>
          </w:tcPr>
          <w:p w14:paraId="56B614D4">
            <w:pPr>
              <w:widowControl/>
              <w:spacing w:line="240" w:lineRule="auto"/>
              <w:ind w:firstLine="0" w:firstLineChars="0"/>
              <w:jc w:val="center"/>
              <w:rPr>
                <w:rFonts w:cs="Times New Roman"/>
                <w:b/>
                <w:bCs/>
                <w:sz w:val="24"/>
                <w:szCs w:val="24"/>
              </w:rPr>
            </w:pPr>
          </w:p>
        </w:tc>
      </w:tr>
      <w:tr w14:paraId="796EB0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163" w:type="pct"/>
            <w:tcBorders>
              <w:top w:val="single" w:color="auto" w:sz="4" w:space="0"/>
              <w:left w:val="single" w:color="auto" w:sz="8" w:space="0"/>
              <w:bottom w:val="single" w:color="auto" w:sz="8" w:space="0"/>
              <w:right w:val="single" w:color="auto" w:sz="4" w:space="0"/>
            </w:tcBorders>
            <w:vAlign w:val="center"/>
          </w:tcPr>
          <w:p w14:paraId="1FFFBBDA">
            <w:pPr>
              <w:widowControl/>
              <w:spacing w:line="240" w:lineRule="auto"/>
              <w:ind w:firstLine="0" w:firstLineChars="0"/>
              <w:jc w:val="center"/>
              <w:rPr>
                <w:rFonts w:cs="Times New Roman"/>
                <w:sz w:val="24"/>
                <w:szCs w:val="24"/>
              </w:rPr>
            </w:pPr>
            <w:r>
              <w:rPr>
                <w:rFonts w:cs="Times New Roman"/>
                <w:sz w:val="24"/>
                <w:szCs w:val="24"/>
              </w:rPr>
              <w:t>1</w:t>
            </w:r>
          </w:p>
        </w:tc>
        <w:tc>
          <w:tcPr>
            <w:tcW w:w="165" w:type="pct"/>
            <w:tcBorders>
              <w:top w:val="single" w:color="auto" w:sz="4" w:space="0"/>
              <w:left w:val="single" w:color="auto" w:sz="4" w:space="0"/>
              <w:bottom w:val="single" w:color="auto" w:sz="8" w:space="0"/>
              <w:right w:val="single" w:color="auto" w:sz="4" w:space="0"/>
            </w:tcBorders>
            <w:vAlign w:val="center"/>
          </w:tcPr>
          <w:p w14:paraId="76168B0E">
            <w:pPr>
              <w:widowControl/>
              <w:spacing w:line="240" w:lineRule="auto"/>
              <w:ind w:firstLine="0" w:firstLineChars="0"/>
              <w:jc w:val="center"/>
              <w:rPr>
                <w:rFonts w:cs="Times New Roman"/>
                <w:sz w:val="24"/>
                <w:szCs w:val="24"/>
              </w:rPr>
            </w:pPr>
            <w:r>
              <w:rPr>
                <w:rFonts w:cs="Times New Roman"/>
                <w:sz w:val="24"/>
                <w:szCs w:val="24"/>
              </w:rPr>
              <w:t>辽宁省</w:t>
            </w:r>
          </w:p>
        </w:tc>
        <w:tc>
          <w:tcPr>
            <w:tcW w:w="168" w:type="pct"/>
            <w:tcBorders>
              <w:top w:val="single" w:color="auto" w:sz="4" w:space="0"/>
              <w:left w:val="single" w:color="auto" w:sz="4" w:space="0"/>
              <w:bottom w:val="single" w:color="auto" w:sz="8" w:space="0"/>
              <w:right w:val="single" w:color="auto" w:sz="4" w:space="0"/>
            </w:tcBorders>
            <w:vAlign w:val="center"/>
          </w:tcPr>
          <w:p w14:paraId="69E88232">
            <w:pPr>
              <w:widowControl/>
              <w:spacing w:line="240" w:lineRule="auto"/>
              <w:ind w:firstLine="0" w:firstLineChars="0"/>
              <w:jc w:val="center"/>
              <w:rPr>
                <w:rFonts w:cs="Times New Roman"/>
                <w:sz w:val="24"/>
                <w:szCs w:val="24"/>
              </w:rPr>
            </w:pPr>
            <w:r>
              <w:rPr>
                <w:rFonts w:cs="Times New Roman"/>
                <w:sz w:val="24"/>
                <w:szCs w:val="24"/>
              </w:rPr>
              <w:t>本溪市</w:t>
            </w:r>
          </w:p>
        </w:tc>
        <w:tc>
          <w:tcPr>
            <w:tcW w:w="168" w:type="pct"/>
            <w:tcBorders>
              <w:top w:val="single" w:color="auto" w:sz="4" w:space="0"/>
              <w:left w:val="single" w:color="auto" w:sz="4" w:space="0"/>
              <w:bottom w:val="single" w:color="auto" w:sz="8" w:space="0"/>
              <w:right w:val="single" w:color="auto" w:sz="4" w:space="0"/>
            </w:tcBorders>
            <w:vAlign w:val="center"/>
          </w:tcPr>
          <w:p w14:paraId="7CA4A7E9">
            <w:pPr>
              <w:widowControl/>
              <w:spacing w:line="240" w:lineRule="auto"/>
              <w:ind w:firstLine="0" w:firstLineChars="0"/>
              <w:jc w:val="center"/>
              <w:rPr>
                <w:rFonts w:cs="Times New Roman"/>
                <w:sz w:val="24"/>
                <w:szCs w:val="24"/>
              </w:rPr>
            </w:pPr>
            <w:r>
              <w:rPr>
                <w:rFonts w:cs="Times New Roman"/>
                <w:sz w:val="24"/>
                <w:szCs w:val="24"/>
              </w:rPr>
              <w:t>本溪县</w:t>
            </w:r>
          </w:p>
        </w:tc>
        <w:tc>
          <w:tcPr>
            <w:tcW w:w="340" w:type="pct"/>
            <w:tcBorders>
              <w:top w:val="single" w:color="auto" w:sz="4" w:space="0"/>
              <w:left w:val="single" w:color="auto" w:sz="4" w:space="0"/>
              <w:bottom w:val="single" w:color="auto" w:sz="8" w:space="0"/>
              <w:right w:val="single" w:color="auto" w:sz="4" w:space="0"/>
            </w:tcBorders>
            <w:vAlign w:val="center"/>
          </w:tcPr>
          <w:p w14:paraId="5F24C17B">
            <w:pPr>
              <w:spacing w:line="240" w:lineRule="auto"/>
              <w:ind w:firstLine="0" w:firstLineChars="0"/>
              <w:jc w:val="center"/>
              <w:rPr>
                <w:rFonts w:cs="Times New Roman"/>
                <w:sz w:val="24"/>
                <w:szCs w:val="24"/>
              </w:rPr>
            </w:pPr>
            <w:r>
              <w:rPr>
                <w:rFonts w:cs="Times New Roman"/>
                <w:sz w:val="24"/>
                <w:szCs w:val="24"/>
              </w:rPr>
              <w:t>老官砬子</w:t>
            </w:r>
          </w:p>
        </w:tc>
        <w:tc>
          <w:tcPr>
            <w:tcW w:w="340" w:type="pct"/>
            <w:tcBorders>
              <w:top w:val="single" w:color="auto" w:sz="4" w:space="0"/>
              <w:left w:val="single" w:color="auto" w:sz="4" w:space="0"/>
              <w:bottom w:val="single" w:color="auto" w:sz="8" w:space="0"/>
              <w:right w:val="single" w:color="auto" w:sz="4" w:space="0"/>
            </w:tcBorders>
            <w:vAlign w:val="center"/>
          </w:tcPr>
          <w:p w14:paraId="2EE9887A">
            <w:pPr>
              <w:spacing w:line="240" w:lineRule="auto"/>
              <w:ind w:firstLine="0" w:firstLineChars="0"/>
              <w:jc w:val="center"/>
              <w:rPr>
                <w:rFonts w:cs="Times New Roman"/>
                <w:sz w:val="24"/>
                <w:szCs w:val="24"/>
              </w:rPr>
            </w:pPr>
            <w:r>
              <w:rPr>
                <w:rFonts w:cs="Times New Roman"/>
                <w:sz w:val="24"/>
                <w:szCs w:val="24"/>
              </w:rPr>
              <w:t>太子河</w:t>
            </w:r>
          </w:p>
        </w:tc>
        <w:tc>
          <w:tcPr>
            <w:tcW w:w="340" w:type="pct"/>
            <w:tcBorders>
              <w:top w:val="single" w:color="auto" w:sz="4" w:space="0"/>
              <w:left w:val="single" w:color="auto" w:sz="4" w:space="0"/>
              <w:bottom w:val="single" w:color="auto" w:sz="8" w:space="0"/>
              <w:right w:val="single" w:color="auto" w:sz="4" w:space="0"/>
            </w:tcBorders>
            <w:vAlign w:val="center"/>
          </w:tcPr>
          <w:p w14:paraId="54CEB6CE">
            <w:pPr>
              <w:spacing w:line="240" w:lineRule="auto"/>
              <w:ind w:firstLine="0" w:firstLineChars="0"/>
              <w:jc w:val="center"/>
              <w:rPr>
                <w:rFonts w:cs="Times New Roman"/>
                <w:sz w:val="24"/>
                <w:szCs w:val="24"/>
              </w:rPr>
            </w:pPr>
            <w:r>
              <w:rPr>
                <w:rFonts w:cs="Times New Roman"/>
                <w:sz w:val="24"/>
                <w:szCs w:val="24"/>
              </w:rPr>
              <w:t>河流</w:t>
            </w:r>
          </w:p>
        </w:tc>
        <w:tc>
          <w:tcPr>
            <w:tcW w:w="644" w:type="pct"/>
            <w:tcBorders>
              <w:top w:val="single" w:color="auto" w:sz="4" w:space="0"/>
              <w:left w:val="single" w:color="auto" w:sz="4" w:space="0"/>
              <w:bottom w:val="single" w:color="auto" w:sz="8" w:space="0"/>
              <w:right w:val="single" w:color="auto" w:sz="4" w:space="0"/>
            </w:tcBorders>
            <w:vAlign w:val="center"/>
          </w:tcPr>
          <w:p w14:paraId="2A857334">
            <w:pPr>
              <w:spacing w:line="240" w:lineRule="auto"/>
              <w:ind w:firstLine="0" w:firstLineChars="0"/>
              <w:jc w:val="center"/>
              <w:rPr>
                <w:rFonts w:cs="Times New Roman"/>
                <w:sz w:val="24"/>
                <w:szCs w:val="24"/>
                <w:lang w:val="en-US"/>
              </w:rPr>
            </w:pPr>
            <w:r>
              <w:rPr>
                <w:rFonts w:cs="Times New Roman"/>
                <w:sz w:val="24"/>
                <w:szCs w:val="24"/>
                <w:lang w:val="en-US"/>
              </w:rPr>
              <w:t>4-9</w:t>
            </w:r>
            <w:r>
              <w:rPr>
                <w:rFonts w:cs="Times New Roman"/>
                <w:sz w:val="24"/>
                <w:szCs w:val="24"/>
              </w:rPr>
              <w:t>月</w:t>
            </w:r>
            <w:r>
              <w:rPr>
                <w:rFonts w:cs="Times New Roman"/>
                <w:sz w:val="24"/>
                <w:szCs w:val="24"/>
                <w:lang w:val="en-US"/>
              </w:rPr>
              <w:t>6.66m</w:t>
            </w:r>
            <w:r>
              <w:rPr>
                <w:rFonts w:cs="Times New Roman"/>
                <w:sz w:val="24"/>
                <w:szCs w:val="24"/>
                <w:vertAlign w:val="superscript"/>
                <w:lang w:val="en-US"/>
              </w:rPr>
              <w:t>3</w:t>
            </w:r>
            <w:r>
              <w:rPr>
                <w:rFonts w:cs="Times New Roman"/>
                <w:sz w:val="24"/>
                <w:szCs w:val="24"/>
                <w:lang w:val="en-US"/>
              </w:rPr>
              <w:t>/s；</w:t>
            </w:r>
            <w:r>
              <w:rPr>
                <w:rFonts w:cs="Times New Roman"/>
                <w:sz w:val="24"/>
                <w:szCs w:val="24"/>
              </w:rPr>
              <w:t>其他月份</w:t>
            </w:r>
            <w:r>
              <w:rPr>
                <w:rFonts w:cs="Times New Roman"/>
                <w:sz w:val="24"/>
                <w:szCs w:val="24"/>
                <w:lang w:val="en-US"/>
              </w:rPr>
              <w:t>3.33m</w:t>
            </w:r>
            <w:r>
              <w:rPr>
                <w:rFonts w:cs="Times New Roman"/>
                <w:sz w:val="24"/>
                <w:szCs w:val="24"/>
                <w:vertAlign w:val="superscript"/>
                <w:lang w:val="en-US"/>
              </w:rPr>
              <w:t>3</w:t>
            </w:r>
            <w:r>
              <w:rPr>
                <w:rFonts w:cs="Times New Roman"/>
                <w:sz w:val="24"/>
                <w:szCs w:val="24"/>
                <w:lang w:val="en-US"/>
              </w:rPr>
              <w:t>/s</w:t>
            </w:r>
          </w:p>
        </w:tc>
        <w:tc>
          <w:tcPr>
            <w:tcW w:w="712" w:type="pct"/>
            <w:tcBorders>
              <w:top w:val="single" w:color="auto" w:sz="4" w:space="0"/>
              <w:left w:val="single" w:color="auto" w:sz="4" w:space="0"/>
              <w:bottom w:val="single" w:color="auto" w:sz="8" w:space="0"/>
              <w:right w:val="single" w:color="auto" w:sz="4" w:space="0"/>
            </w:tcBorders>
            <w:vAlign w:val="center"/>
          </w:tcPr>
          <w:p w14:paraId="06027D2A">
            <w:pPr>
              <w:spacing w:line="240" w:lineRule="auto"/>
              <w:ind w:firstLine="0" w:firstLineChars="0"/>
              <w:jc w:val="center"/>
              <w:rPr>
                <w:rFonts w:cs="Times New Roman"/>
                <w:sz w:val="24"/>
                <w:szCs w:val="24"/>
                <w:lang w:val="en-US"/>
              </w:rPr>
            </w:pPr>
            <w:r>
              <w:rPr>
                <w:rFonts w:cs="Times New Roman"/>
                <w:sz w:val="24"/>
                <w:szCs w:val="24"/>
                <w:lang w:val="en-US"/>
              </w:rPr>
              <w:t>4-9</w:t>
            </w:r>
            <w:r>
              <w:rPr>
                <w:rFonts w:cs="Times New Roman"/>
                <w:sz w:val="24"/>
                <w:szCs w:val="24"/>
              </w:rPr>
              <w:t>月</w:t>
            </w:r>
            <w:r>
              <w:rPr>
                <w:rFonts w:cs="Times New Roman"/>
                <w:sz w:val="24"/>
                <w:szCs w:val="24"/>
                <w:lang w:val="en-US"/>
              </w:rPr>
              <w:t>6.66m</w:t>
            </w:r>
            <w:r>
              <w:rPr>
                <w:rFonts w:cs="Times New Roman"/>
                <w:sz w:val="24"/>
                <w:szCs w:val="24"/>
                <w:vertAlign w:val="superscript"/>
                <w:lang w:val="en-US"/>
              </w:rPr>
              <w:t>3</w:t>
            </w:r>
            <w:r>
              <w:rPr>
                <w:rFonts w:cs="Times New Roman"/>
                <w:sz w:val="24"/>
                <w:szCs w:val="24"/>
                <w:lang w:val="en-US"/>
              </w:rPr>
              <w:t>/s；</w:t>
            </w:r>
            <w:r>
              <w:rPr>
                <w:rFonts w:cs="Times New Roman"/>
                <w:sz w:val="24"/>
                <w:szCs w:val="24"/>
              </w:rPr>
              <w:t>其他月份</w:t>
            </w:r>
            <w:r>
              <w:rPr>
                <w:rFonts w:cs="Times New Roman"/>
                <w:sz w:val="24"/>
                <w:szCs w:val="24"/>
                <w:lang w:val="en-US"/>
              </w:rPr>
              <w:t>3.33m</w:t>
            </w:r>
            <w:r>
              <w:rPr>
                <w:rFonts w:cs="Times New Roman"/>
                <w:sz w:val="24"/>
                <w:szCs w:val="24"/>
                <w:vertAlign w:val="superscript"/>
                <w:lang w:val="en-US"/>
              </w:rPr>
              <w:t>3</w:t>
            </w:r>
            <w:r>
              <w:rPr>
                <w:rFonts w:cs="Times New Roman"/>
                <w:sz w:val="24"/>
                <w:szCs w:val="24"/>
                <w:lang w:val="en-US"/>
              </w:rPr>
              <w:t>/s</w:t>
            </w:r>
          </w:p>
        </w:tc>
        <w:tc>
          <w:tcPr>
            <w:tcW w:w="579" w:type="pct"/>
            <w:tcBorders>
              <w:top w:val="single" w:color="auto" w:sz="4" w:space="0"/>
              <w:left w:val="single" w:color="auto" w:sz="4" w:space="0"/>
              <w:bottom w:val="single" w:color="auto" w:sz="8" w:space="0"/>
              <w:right w:val="single" w:color="auto" w:sz="4" w:space="0"/>
            </w:tcBorders>
            <w:vAlign w:val="center"/>
          </w:tcPr>
          <w:p w14:paraId="494BACD5">
            <w:pPr>
              <w:spacing w:line="240" w:lineRule="auto"/>
              <w:ind w:firstLine="0" w:firstLineChars="0"/>
              <w:jc w:val="center"/>
              <w:rPr>
                <w:rFonts w:cs="Times New Roman"/>
                <w:sz w:val="24"/>
                <w:szCs w:val="24"/>
              </w:rPr>
            </w:pPr>
            <w:r>
              <w:rPr>
                <w:rFonts w:cs="Times New Roman"/>
                <w:sz w:val="24"/>
                <w:szCs w:val="24"/>
              </w:rPr>
              <w:t>—</w:t>
            </w:r>
          </w:p>
        </w:tc>
        <w:tc>
          <w:tcPr>
            <w:tcW w:w="440" w:type="pct"/>
            <w:tcBorders>
              <w:top w:val="single" w:color="auto" w:sz="4" w:space="0"/>
              <w:left w:val="single" w:color="auto" w:sz="4" w:space="0"/>
              <w:bottom w:val="single" w:color="auto" w:sz="8" w:space="0"/>
              <w:right w:val="single" w:color="auto" w:sz="4" w:space="0"/>
            </w:tcBorders>
            <w:vAlign w:val="center"/>
          </w:tcPr>
          <w:p w14:paraId="7F1530B8">
            <w:pPr>
              <w:spacing w:line="240" w:lineRule="auto"/>
              <w:ind w:firstLine="0" w:firstLineChars="0"/>
              <w:jc w:val="center"/>
              <w:rPr>
                <w:rFonts w:cs="Times New Roman"/>
                <w:sz w:val="24"/>
                <w:szCs w:val="24"/>
              </w:rPr>
            </w:pPr>
            <w:r>
              <w:rPr>
                <w:rFonts w:cs="Times New Roman"/>
                <w:sz w:val="24"/>
                <w:szCs w:val="24"/>
              </w:rPr>
              <w:t>—</w:t>
            </w:r>
          </w:p>
        </w:tc>
        <w:tc>
          <w:tcPr>
            <w:tcW w:w="495" w:type="pct"/>
            <w:tcBorders>
              <w:top w:val="single" w:color="auto" w:sz="4" w:space="0"/>
              <w:left w:val="single" w:color="auto" w:sz="4" w:space="0"/>
              <w:bottom w:val="single" w:color="auto" w:sz="8" w:space="0"/>
              <w:right w:val="single" w:color="auto" w:sz="4" w:space="0"/>
            </w:tcBorders>
            <w:vAlign w:val="center"/>
          </w:tcPr>
          <w:p w14:paraId="6EEB569B">
            <w:pPr>
              <w:spacing w:line="240" w:lineRule="auto"/>
              <w:ind w:firstLine="0" w:firstLineChars="0"/>
              <w:jc w:val="center"/>
              <w:rPr>
                <w:rFonts w:cs="Times New Roman"/>
                <w:sz w:val="24"/>
                <w:szCs w:val="24"/>
              </w:rPr>
            </w:pPr>
            <w:r>
              <w:rPr>
                <w:rFonts w:cs="Times New Roman"/>
                <w:sz w:val="24"/>
                <w:szCs w:val="24"/>
              </w:rPr>
              <w:t>2025年</w:t>
            </w:r>
          </w:p>
        </w:tc>
        <w:tc>
          <w:tcPr>
            <w:tcW w:w="446" w:type="pct"/>
            <w:tcBorders>
              <w:top w:val="single" w:color="auto" w:sz="4" w:space="0"/>
              <w:left w:val="single" w:color="auto" w:sz="4" w:space="0"/>
              <w:bottom w:val="single" w:color="auto" w:sz="8" w:space="0"/>
              <w:right w:val="single" w:color="auto" w:sz="8" w:space="0"/>
            </w:tcBorders>
            <w:vAlign w:val="center"/>
          </w:tcPr>
          <w:p w14:paraId="11F06228">
            <w:pPr>
              <w:spacing w:line="240" w:lineRule="auto"/>
              <w:ind w:firstLine="0" w:firstLineChars="0"/>
              <w:jc w:val="center"/>
              <w:rPr>
                <w:rFonts w:cs="Times New Roman"/>
                <w:sz w:val="24"/>
                <w:szCs w:val="24"/>
              </w:rPr>
            </w:pPr>
            <w:r>
              <w:rPr>
                <w:rFonts w:cs="Times New Roman"/>
                <w:sz w:val="24"/>
                <w:szCs w:val="24"/>
              </w:rPr>
              <w:t>待与水务部门协商确定</w:t>
            </w:r>
          </w:p>
        </w:tc>
      </w:tr>
    </w:tbl>
    <w:p w14:paraId="6A39A404">
      <w:pPr>
        <w:ind w:left="720" w:hanging="720" w:hangingChars="300"/>
        <w:rPr>
          <w:rFonts w:cs="Times New Roman"/>
          <w:sz w:val="24"/>
          <w:szCs w:val="24"/>
        </w:rPr>
      </w:pPr>
    </w:p>
    <w:p w14:paraId="2E96921C">
      <w:pPr>
        <w:ind w:firstLine="480"/>
        <w:rPr>
          <w:rFonts w:cs="Times New Roman"/>
          <w:sz w:val="24"/>
          <w:szCs w:val="24"/>
        </w:rPr>
      </w:pPr>
    </w:p>
    <w:p w14:paraId="6377BDD0">
      <w:pPr>
        <w:ind w:firstLine="560"/>
        <w:rPr>
          <w:rFonts w:cs="Times New Roman"/>
        </w:rPr>
      </w:pPr>
    </w:p>
    <w:p w14:paraId="2E261821">
      <w:pPr>
        <w:ind w:firstLine="560"/>
        <w:rPr>
          <w:rFonts w:cs="Times New Roman"/>
        </w:rPr>
      </w:pPr>
      <w:r>
        <w:rPr>
          <w:rFonts w:cs="Times New Roman"/>
        </w:rPr>
        <w:br w:type="page"/>
      </w:r>
    </w:p>
    <w:p w14:paraId="25A72243">
      <w:pPr>
        <w:pStyle w:val="4"/>
        <w:spacing w:after="0"/>
        <w:rPr>
          <w:rFonts w:cs="Times New Roman"/>
        </w:rPr>
      </w:pPr>
      <w:bookmarkStart w:id="217" w:name="_Toc240"/>
      <w:bookmarkStart w:id="218" w:name="_Toc26388"/>
      <w:bookmarkStart w:id="219" w:name="_Toc34298232"/>
      <w:bookmarkStart w:id="220" w:name="_Toc31249"/>
      <w:bookmarkStart w:id="221" w:name="_Toc56803199"/>
      <w:bookmarkStart w:id="222" w:name="_Toc18027"/>
      <w:bookmarkStart w:id="223" w:name="_Toc22092"/>
      <w:r>
        <w:rPr>
          <w:rFonts w:ascii="Times New Roman" w:hAnsi="Times New Roman" w:cs="Times New Roman"/>
          <w:sz w:val="24"/>
          <w:szCs w:val="24"/>
          <w:lang w:val="en-US"/>
        </w:rPr>
        <w:t>附表2-</w:t>
      </w:r>
      <w:bookmarkEnd w:id="217"/>
      <w:bookmarkEnd w:id="218"/>
      <w:bookmarkEnd w:id="219"/>
      <w:bookmarkEnd w:id="220"/>
      <w:bookmarkEnd w:id="221"/>
      <w:bookmarkEnd w:id="222"/>
      <w:bookmarkStart w:id="224" w:name="_Toc17383"/>
      <w:r>
        <w:rPr>
          <w:rFonts w:hint="eastAsia" w:ascii="Times New Roman" w:hAnsi="Times New Roman" w:cs="Times New Roman"/>
          <w:sz w:val="24"/>
          <w:szCs w:val="24"/>
          <w:lang w:val="en-US"/>
        </w:rPr>
        <w:t>3</w:t>
      </w:r>
      <w:r>
        <w:rPr>
          <w:rFonts w:ascii="Times New Roman" w:hAnsi="Times New Roman" w:cs="Times New Roman"/>
          <w:sz w:val="24"/>
          <w:szCs w:val="24"/>
          <w:lang w:val="en-US"/>
        </w:rPr>
        <w:t xml:space="preserve"> 重点湖库富营养化控制目标表</w:t>
      </w:r>
      <w:bookmarkEnd w:id="223"/>
      <w:bookmarkEnd w:id="224"/>
    </w:p>
    <w:tbl>
      <w:tblPr>
        <w:tblStyle w:val="1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557"/>
        <w:gridCol w:w="774"/>
        <w:gridCol w:w="862"/>
        <w:gridCol w:w="818"/>
        <w:gridCol w:w="1224"/>
        <w:gridCol w:w="1255"/>
        <w:gridCol w:w="1564"/>
        <w:gridCol w:w="1576"/>
        <w:gridCol w:w="1391"/>
        <w:gridCol w:w="1315"/>
        <w:gridCol w:w="1340"/>
        <w:gridCol w:w="1570"/>
        <w:gridCol w:w="1480"/>
      </w:tblGrid>
      <w:tr w14:paraId="73FC9F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5" w:hRule="atLeast"/>
          <w:tblHeader/>
          <w:jc w:val="center"/>
        </w:trPr>
        <w:tc>
          <w:tcPr>
            <w:tcW w:w="177" w:type="pct"/>
            <w:vMerge w:val="restart"/>
            <w:tcBorders>
              <w:top w:val="single" w:color="auto" w:sz="8" w:space="0"/>
              <w:left w:val="single" w:color="auto" w:sz="8" w:space="0"/>
              <w:bottom w:val="single" w:color="auto" w:sz="4" w:space="0"/>
              <w:right w:val="single" w:color="auto" w:sz="4" w:space="0"/>
            </w:tcBorders>
            <w:vAlign w:val="center"/>
          </w:tcPr>
          <w:p w14:paraId="1C598E25">
            <w:pPr>
              <w:spacing w:line="240" w:lineRule="auto"/>
              <w:ind w:firstLine="0" w:firstLineChars="0"/>
              <w:jc w:val="center"/>
              <w:rPr>
                <w:rFonts w:cs="Times New Roman"/>
                <w:b/>
                <w:bCs/>
                <w:sz w:val="24"/>
                <w:szCs w:val="24"/>
              </w:rPr>
            </w:pPr>
            <w:r>
              <w:rPr>
                <w:rFonts w:cs="Times New Roman"/>
                <w:b/>
                <w:bCs/>
                <w:sz w:val="24"/>
                <w:szCs w:val="24"/>
              </w:rPr>
              <w:t>序号</w:t>
            </w:r>
          </w:p>
        </w:tc>
        <w:tc>
          <w:tcPr>
            <w:tcW w:w="246" w:type="pct"/>
            <w:vMerge w:val="restart"/>
            <w:tcBorders>
              <w:top w:val="single" w:color="auto" w:sz="8" w:space="0"/>
              <w:left w:val="single" w:color="auto" w:sz="4" w:space="0"/>
              <w:bottom w:val="single" w:color="auto" w:sz="4" w:space="0"/>
              <w:right w:val="single" w:color="auto" w:sz="4" w:space="0"/>
            </w:tcBorders>
            <w:vAlign w:val="center"/>
          </w:tcPr>
          <w:p w14:paraId="75C44207">
            <w:pPr>
              <w:spacing w:line="240" w:lineRule="auto"/>
              <w:ind w:firstLine="0" w:firstLineChars="0"/>
              <w:jc w:val="center"/>
              <w:rPr>
                <w:rFonts w:cs="Times New Roman"/>
                <w:b/>
                <w:bCs/>
                <w:sz w:val="24"/>
                <w:szCs w:val="24"/>
              </w:rPr>
            </w:pPr>
            <w:r>
              <w:rPr>
                <w:rFonts w:cs="Times New Roman"/>
                <w:b/>
                <w:bCs/>
                <w:sz w:val="24"/>
                <w:szCs w:val="24"/>
              </w:rPr>
              <w:t>省份</w:t>
            </w:r>
          </w:p>
        </w:tc>
        <w:tc>
          <w:tcPr>
            <w:tcW w:w="274" w:type="pct"/>
            <w:vMerge w:val="restart"/>
            <w:tcBorders>
              <w:top w:val="single" w:color="auto" w:sz="8" w:space="0"/>
              <w:left w:val="single" w:color="auto" w:sz="4" w:space="0"/>
              <w:bottom w:val="single" w:color="auto" w:sz="4" w:space="0"/>
              <w:right w:val="single" w:color="auto" w:sz="4" w:space="0"/>
            </w:tcBorders>
            <w:vAlign w:val="center"/>
          </w:tcPr>
          <w:p w14:paraId="39787D31">
            <w:pPr>
              <w:spacing w:line="240" w:lineRule="auto"/>
              <w:ind w:firstLine="0" w:firstLineChars="0"/>
              <w:jc w:val="center"/>
              <w:rPr>
                <w:rFonts w:cs="Times New Roman"/>
                <w:b/>
                <w:bCs/>
                <w:sz w:val="24"/>
                <w:szCs w:val="24"/>
              </w:rPr>
            </w:pPr>
            <w:r>
              <w:rPr>
                <w:rFonts w:cs="Times New Roman"/>
                <w:b/>
                <w:bCs/>
                <w:sz w:val="24"/>
                <w:szCs w:val="24"/>
              </w:rPr>
              <w:t>地市</w:t>
            </w:r>
          </w:p>
        </w:tc>
        <w:tc>
          <w:tcPr>
            <w:tcW w:w="260" w:type="pct"/>
            <w:vMerge w:val="restart"/>
            <w:tcBorders>
              <w:top w:val="single" w:color="auto" w:sz="8" w:space="0"/>
              <w:left w:val="single" w:color="auto" w:sz="4" w:space="0"/>
              <w:bottom w:val="single" w:color="auto" w:sz="4" w:space="0"/>
              <w:right w:val="single" w:color="auto" w:sz="4" w:space="0"/>
            </w:tcBorders>
            <w:vAlign w:val="center"/>
          </w:tcPr>
          <w:p w14:paraId="6AA9AB58">
            <w:pPr>
              <w:spacing w:line="240" w:lineRule="auto"/>
              <w:ind w:firstLine="0" w:firstLineChars="0"/>
              <w:jc w:val="center"/>
              <w:rPr>
                <w:rFonts w:cs="Times New Roman"/>
                <w:b/>
                <w:bCs/>
                <w:sz w:val="24"/>
                <w:szCs w:val="24"/>
              </w:rPr>
            </w:pPr>
            <w:r>
              <w:rPr>
                <w:rFonts w:cs="Times New Roman"/>
                <w:b/>
                <w:bCs/>
                <w:sz w:val="24"/>
                <w:szCs w:val="24"/>
              </w:rPr>
              <w:t>区县</w:t>
            </w:r>
          </w:p>
        </w:tc>
        <w:tc>
          <w:tcPr>
            <w:tcW w:w="389" w:type="pct"/>
            <w:vMerge w:val="restart"/>
            <w:tcBorders>
              <w:top w:val="single" w:color="auto" w:sz="8" w:space="0"/>
              <w:left w:val="single" w:color="auto" w:sz="4" w:space="0"/>
              <w:bottom w:val="single" w:color="auto" w:sz="4" w:space="0"/>
              <w:right w:val="single" w:color="auto" w:sz="4" w:space="0"/>
            </w:tcBorders>
            <w:vAlign w:val="center"/>
          </w:tcPr>
          <w:p w14:paraId="4CDF7FA6">
            <w:pPr>
              <w:spacing w:line="240" w:lineRule="auto"/>
              <w:ind w:firstLine="0" w:firstLineChars="0"/>
              <w:jc w:val="center"/>
              <w:rPr>
                <w:rFonts w:cs="Times New Roman"/>
                <w:b/>
                <w:bCs/>
                <w:sz w:val="24"/>
                <w:szCs w:val="24"/>
              </w:rPr>
            </w:pPr>
            <w:r>
              <w:rPr>
                <w:rFonts w:cs="Times New Roman"/>
                <w:b/>
                <w:bCs/>
                <w:sz w:val="24"/>
                <w:szCs w:val="24"/>
              </w:rPr>
              <w:t>所属流域</w:t>
            </w:r>
          </w:p>
        </w:tc>
        <w:tc>
          <w:tcPr>
            <w:tcW w:w="399" w:type="pct"/>
            <w:vMerge w:val="restart"/>
            <w:tcBorders>
              <w:top w:val="single" w:color="auto" w:sz="8" w:space="0"/>
              <w:left w:val="single" w:color="auto" w:sz="4" w:space="0"/>
              <w:bottom w:val="single" w:color="auto" w:sz="4" w:space="0"/>
              <w:right w:val="single" w:color="auto" w:sz="4" w:space="0"/>
            </w:tcBorders>
            <w:vAlign w:val="center"/>
          </w:tcPr>
          <w:p w14:paraId="2303E362">
            <w:pPr>
              <w:spacing w:line="240" w:lineRule="auto"/>
              <w:ind w:firstLine="0" w:firstLineChars="0"/>
              <w:jc w:val="center"/>
              <w:rPr>
                <w:rFonts w:cs="Times New Roman"/>
                <w:b/>
                <w:bCs/>
                <w:sz w:val="24"/>
                <w:szCs w:val="24"/>
              </w:rPr>
            </w:pPr>
            <w:r>
              <w:rPr>
                <w:rFonts w:cs="Times New Roman"/>
                <w:b/>
                <w:bCs/>
                <w:sz w:val="24"/>
                <w:szCs w:val="24"/>
              </w:rPr>
              <w:t>控制单元</w:t>
            </w:r>
          </w:p>
        </w:tc>
        <w:tc>
          <w:tcPr>
            <w:tcW w:w="497" w:type="pct"/>
            <w:vMerge w:val="restart"/>
            <w:tcBorders>
              <w:top w:val="single" w:color="auto" w:sz="8" w:space="0"/>
              <w:left w:val="single" w:color="auto" w:sz="4" w:space="0"/>
              <w:bottom w:val="single" w:color="auto" w:sz="4" w:space="0"/>
              <w:right w:val="single" w:color="auto" w:sz="4" w:space="0"/>
            </w:tcBorders>
            <w:vAlign w:val="center"/>
          </w:tcPr>
          <w:p w14:paraId="649324D1">
            <w:pPr>
              <w:spacing w:line="240" w:lineRule="auto"/>
              <w:ind w:firstLine="0" w:firstLineChars="0"/>
              <w:jc w:val="center"/>
              <w:rPr>
                <w:rFonts w:cs="Times New Roman"/>
                <w:b/>
                <w:bCs/>
                <w:sz w:val="24"/>
                <w:szCs w:val="24"/>
              </w:rPr>
            </w:pPr>
            <w:r>
              <w:rPr>
                <w:rFonts w:cs="Times New Roman"/>
                <w:b/>
                <w:bCs/>
                <w:sz w:val="24"/>
                <w:szCs w:val="24"/>
              </w:rPr>
              <w:t>水体名称</w:t>
            </w:r>
          </w:p>
        </w:tc>
        <w:tc>
          <w:tcPr>
            <w:tcW w:w="943" w:type="pct"/>
            <w:gridSpan w:val="2"/>
            <w:tcBorders>
              <w:top w:val="single" w:color="auto" w:sz="8" w:space="0"/>
              <w:left w:val="single" w:color="auto" w:sz="4" w:space="0"/>
              <w:bottom w:val="single" w:color="auto" w:sz="4" w:space="0"/>
              <w:right w:val="single" w:color="auto" w:sz="4" w:space="0"/>
            </w:tcBorders>
            <w:vAlign w:val="center"/>
          </w:tcPr>
          <w:p w14:paraId="38CD586E">
            <w:pPr>
              <w:spacing w:line="240" w:lineRule="auto"/>
              <w:ind w:firstLine="0" w:firstLineChars="0"/>
              <w:jc w:val="center"/>
              <w:rPr>
                <w:rFonts w:cs="Times New Roman"/>
                <w:b/>
                <w:bCs/>
                <w:sz w:val="24"/>
                <w:szCs w:val="24"/>
              </w:rPr>
            </w:pPr>
            <w:r>
              <w:rPr>
                <w:rFonts w:cs="Times New Roman"/>
                <w:b/>
                <w:bCs/>
                <w:sz w:val="24"/>
                <w:szCs w:val="24"/>
              </w:rPr>
              <w:t>富营养化指数</w:t>
            </w:r>
          </w:p>
        </w:tc>
        <w:tc>
          <w:tcPr>
            <w:tcW w:w="844" w:type="pct"/>
            <w:gridSpan w:val="2"/>
            <w:tcBorders>
              <w:top w:val="single" w:color="auto" w:sz="8" w:space="0"/>
              <w:left w:val="single" w:color="auto" w:sz="4" w:space="0"/>
              <w:bottom w:val="single" w:color="auto" w:sz="4" w:space="0"/>
              <w:right w:val="single" w:color="auto" w:sz="4" w:space="0"/>
            </w:tcBorders>
            <w:vAlign w:val="center"/>
          </w:tcPr>
          <w:p w14:paraId="4980F800">
            <w:pPr>
              <w:spacing w:line="240" w:lineRule="auto"/>
              <w:ind w:firstLine="0" w:firstLineChars="0"/>
              <w:jc w:val="center"/>
              <w:rPr>
                <w:rFonts w:cs="Times New Roman"/>
                <w:b/>
                <w:bCs/>
                <w:sz w:val="24"/>
                <w:szCs w:val="24"/>
              </w:rPr>
            </w:pPr>
            <w:r>
              <w:rPr>
                <w:rFonts w:cs="Times New Roman"/>
                <w:b/>
                <w:bCs/>
                <w:sz w:val="24"/>
                <w:szCs w:val="24"/>
              </w:rPr>
              <w:t>叶绿素a（mg/L）</w:t>
            </w:r>
          </w:p>
        </w:tc>
        <w:tc>
          <w:tcPr>
            <w:tcW w:w="499" w:type="pct"/>
            <w:vMerge w:val="restart"/>
            <w:tcBorders>
              <w:top w:val="single" w:color="auto" w:sz="8" w:space="0"/>
              <w:left w:val="single" w:color="auto" w:sz="4" w:space="0"/>
              <w:bottom w:val="single" w:color="auto" w:sz="4" w:space="0"/>
              <w:right w:val="single" w:color="auto" w:sz="4" w:space="0"/>
            </w:tcBorders>
            <w:vAlign w:val="center"/>
          </w:tcPr>
          <w:p w14:paraId="2866F144">
            <w:pPr>
              <w:spacing w:line="240" w:lineRule="auto"/>
              <w:ind w:firstLine="0" w:firstLineChars="0"/>
              <w:jc w:val="center"/>
              <w:rPr>
                <w:rFonts w:cs="Times New Roman"/>
                <w:b/>
                <w:bCs/>
                <w:sz w:val="24"/>
                <w:szCs w:val="24"/>
              </w:rPr>
            </w:pPr>
            <w:r>
              <w:rPr>
                <w:rFonts w:cs="Times New Roman"/>
                <w:b/>
                <w:bCs/>
                <w:sz w:val="24"/>
                <w:szCs w:val="24"/>
              </w:rPr>
              <w:t>预计达到目标要求的年度</w:t>
            </w:r>
          </w:p>
        </w:tc>
        <w:tc>
          <w:tcPr>
            <w:tcW w:w="470" w:type="pct"/>
            <w:vMerge w:val="restart"/>
            <w:tcBorders>
              <w:top w:val="single" w:color="auto" w:sz="8" w:space="0"/>
              <w:left w:val="single" w:color="auto" w:sz="4" w:space="0"/>
              <w:bottom w:val="single" w:color="auto" w:sz="4" w:space="0"/>
              <w:right w:val="single" w:color="auto" w:sz="8" w:space="0"/>
            </w:tcBorders>
            <w:vAlign w:val="center"/>
          </w:tcPr>
          <w:p w14:paraId="301FB736">
            <w:pPr>
              <w:spacing w:line="240" w:lineRule="auto"/>
              <w:ind w:firstLine="0" w:firstLineChars="0"/>
              <w:jc w:val="center"/>
              <w:rPr>
                <w:rFonts w:cs="Times New Roman"/>
                <w:b/>
                <w:bCs/>
                <w:sz w:val="24"/>
                <w:szCs w:val="24"/>
              </w:rPr>
            </w:pPr>
            <w:r>
              <w:rPr>
                <w:rFonts w:cs="Times New Roman"/>
                <w:b/>
                <w:bCs/>
                <w:sz w:val="24"/>
                <w:szCs w:val="24"/>
              </w:rPr>
              <w:t>备注</w:t>
            </w:r>
          </w:p>
        </w:tc>
      </w:tr>
      <w:tr w14:paraId="3709E4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7" w:hRule="atLeast"/>
          <w:tblHeader/>
          <w:jc w:val="center"/>
        </w:trPr>
        <w:tc>
          <w:tcPr>
            <w:tcW w:w="177" w:type="pct"/>
            <w:vMerge w:val="continue"/>
            <w:tcBorders>
              <w:top w:val="single" w:color="auto" w:sz="8" w:space="0"/>
              <w:left w:val="single" w:color="auto" w:sz="8" w:space="0"/>
              <w:bottom w:val="single" w:color="auto" w:sz="4" w:space="0"/>
              <w:right w:val="single" w:color="auto" w:sz="4" w:space="0"/>
            </w:tcBorders>
            <w:vAlign w:val="center"/>
          </w:tcPr>
          <w:p w14:paraId="5D705178">
            <w:pPr>
              <w:widowControl/>
              <w:spacing w:line="240" w:lineRule="auto"/>
              <w:ind w:firstLine="0" w:firstLineChars="0"/>
              <w:jc w:val="left"/>
              <w:rPr>
                <w:rFonts w:cs="Times New Roman"/>
                <w:b/>
                <w:bCs/>
                <w:sz w:val="24"/>
                <w:szCs w:val="24"/>
              </w:rPr>
            </w:pPr>
          </w:p>
        </w:tc>
        <w:tc>
          <w:tcPr>
            <w:tcW w:w="246" w:type="pct"/>
            <w:vMerge w:val="continue"/>
            <w:tcBorders>
              <w:top w:val="single" w:color="auto" w:sz="8" w:space="0"/>
              <w:left w:val="single" w:color="auto" w:sz="4" w:space="0"/>
              <w:bottom w:val="single" w:color="auto" w:sz="4" w:space="0"/>
              <w:right w:val="single" w:color="auto" w:sz="4" w:space="0"/>
            </w:tcBorders>
            <w:vAlign w:val="center"/>
          </w:tcPr>
          <w:p w14:paraId="51A42B68">
            <w:pPr>
              <w:widowControl/>
              <w:spacing w:line="240" w:lineRule="auto"/>
              <w:ind w:firstLine="0" w:firstLineChars="0"/>
              <w:jc w:val="left"/>
              <w:rPr>
                <w:rFonts w:cs="Times New Roman"/>
                <w:b/>
                <w:bCs/>
                <w:sz w:val="24"/>
                <w:szCs w:val="24"/>
              </w:rPr>
            </w:pPr>
          </w:p>
        </w:tc>
        <w:tc>
          <w:tcPr>
            <w:tcW w:w="274" w:type="pct"/>
            <w:vMerge w:val="continue"/>
            <w:tcBorders>
              <w:top w:val="single" w:color="auto" w:sz="8" w:space="0"/>
              <w:left w:val="single" w:color="auto" w:sz="4" w:space="0"/>
              <w:bottom w:val="single" w:color="auto" w:sz="4" w:space="0"/>
              <w:right w:val="single" w:color="auto" w:sz="4" w:space="0"/>
            </w:tcBorders>
            <w:vAlign w:val="center"/>
          </w:tcPr>
          <w:p w14:paraId="38B6496E">
            <w:pPr>
              <w:widowControl/>
              <w:spacing w:line="240" w:lineRule="auto"/>
              <w:ind w:firstLine="0" w:firstLineChars="0"/>
              <w:jc w:val="left"/>
              <w:rPr>
                <w:rFonts w:cs="Times New Roman"/>
                <w:b/>
                <w:bCs/>
                <w:sz w:val="24"/>
                <w:szCs w:val="24"/>
              </w:rPr>
            </w:pPr>
          </w:p>
        </w:tc>
        <w:tc>
          <w:tcPr>
            <w:tcW w:w="260" w:type="pct"/>
            <w:vMerge w:val="continue"/>
            <w:tcBorders>
              <w:top w:val="single" w:color="auto" w:sz="8" w:space="0"/>
              <w:left w:val="single" w:color="auto" w:sz="4" w:space="0"/>
              <w:bottom w:val="single" w:color="auto" w:sz="4" w:space="0"/>
              <w:right w:val="single" w:color="auto" w:sz="4" w:space="0"/>
            </w:tcBorders>
            <w:vAlign w:val="center"/>
          </w:tcPr>
          <w:p w14:paraId="3B08BF89">
            <w:pPr>
              <w:widowControl/>
              <w:spacing w:line="240" w:lineRule="auto"/>
              <w:ind w:firstLine="0" w:firstLineChars="0"/>
              <w:jc w:val="left"/>
              <w:rPr>
                <w:rFonts w:cs="Times New Roman"/>
                <w:b/>
                <w:bCs/>
                <w:sz w:val="24"/>
                <w:szCs w:val="24"/>
              </w:rPr>
            </w:pPr>
          </w:p>
        </w:tc>
        <w:tc>
          <w:tcPr>
            <w:tcW w:w="389" w:type="pct"/>
            <w:vMerge w:val="continue"/>
            <w:tcBorders>
              <w:top w:val="single" w:color="auto" w:sz="8" w:space="0"/>
              <w:left w:val="single" w:color="auto" w:sz="4" w:space="0"/>
              <w:bottom w:val="single" w:color="auto" w:sz="4" w:space="0"/>
              <w:right w:val="single" w:color="auto" w:sz="4" w:space="0"/>
            </w:tcBorders>
            <w:vAlign w:val="center"/>
          </w:tcPr>
          <w:p w14:paraId="438ED789">
            <w:pPr>
              <w:widowControl/>
              <w:spacing w:line="240" w:lineRule="auto"/>
              <w:ind w:firstLine="0" w:firstLineChars="0"/>
              <w:jc w:val="left"/>
              <w:rPr>
                <w:rFonts w:cs="Times New Roman"/>
                <w:b/>
                <w:bCs/>
                <w:sz w:val="24"/>
                <w:szCs w:val="24"/>
              </w:rPr>
            </w:pPr>
          </w:p>
        </w:tc>
        <w:tc>
          <w:tcPr>
            <w:tcW w:w="399" w:type="pct"/>
            <w:vMerge w:val="continue"/>
            <w:tcBorders>
              <w:top w:val="single" w:color="auto" w:sz="8" w:space="0"/>
              <w:left w:val="single" w:color="auto" w:sz="4" w:space="0"/>
              <w:bottom w:val="single" w:color="auto" w:sz="4" w:space="0"/>
              <w:right w:val="single" w:color="auto" w:sz="4" w:space="0"/>
            </w:tcBorders>
            <w:vAlign w:val="center"/>
          </w:tcPr>
          <w:p w14:paraId="6FD33D15">
            <w:pPr>
              <w:widowControl/>
              <w:spacing w:line="240" w:lineRule="auto"/>
              <w:ind w:firstLine="0" w:firstLineChars="0"/>
              <w:jc w:val="left"/>
              <w:rPr>
                <w:rFonts w:cs="Times New Roman"/>
                <w:b/>
                <w:bCs/>
                <w:sz w:val="24"/>
                <w:szCs w:val="24"/>
              </w:rPr>
            </w:pPr>
          </w:p>
        </w:tc>
        <w:tc>
          <w:tcPr>
            <w:tcW w:w="497" w:type="pct"/>
            <w:vMerge w:val="continue"/>
            <w:tcBorders>
              <w:top w:val="single" w:color="auto" w:sz="8" w:space="0"/>
              <w:left w:val="single" w:color="auto" w:sz="4" w:space="0"/>
              <w:bottom w:val="single" w:color="auto" w:sz="4" w:space="0"/>
              <w:right w:val="single" w:color="auto" w:sz="4" w:space="0"/>
            </w:tcBorders>
            <w:vAlign w:val="center"/>
          </w:tcPr>
          <w:p w14:paraId="648BD886">
            <w:pPr>
              <w:widowControl/>
              <w:spacing w:line="240" w:lineRule="auto"/>
              <w:ind w:firstLine="0" w:firstLineChars="0"/>
              <w:jc w:val="left"/>
              <w:rPr>
                <w:rFonts w:cs="Times New Roman"/>
                <w:b/>
                <w:bCs/>
                <w:sz w:val="24"/>
                <w:szCs w:val="24"/>
              </w:rPr>
            </w:pPr>
          </w:p>
        </w:tc>
        <w:tc>
          <w:tcPr>
            <w:tcW w:w="501" w:type="pct"/>
            <w:tcBorders>
              <w:top w:val="single" w:color="auto" w:sz="4" w:space="0"/>
              <w:left w:val="single" w:color="auto" w:sz="4" w:space="0"/>
              <w:bottom w:val="single" w:color="auto" w:sz="4" w:space="0"/>
              <w:right w:val="single" w:color="auto" w:sz="4" w:space="0"/>
            </w:tcBorders>
            <w:vAlign w:val="center"/>
          </w:tcPr>
          <w:p w14:paraId="43009502">
            <w:pPr>
              <w:spacing w:line="240" w:lineRule="auto"/>
              <w:ind w:firstLine="0" w:firstLineChars="0"/>
              <w:jc w:val="center"/>
              <w:rPr>
                <w:rFonts w:cs="Times New Roman"/>
                <w:b/>
                <w:bCs/>
                <w:sz w:val="24"/>
                <w:szCs w:val="24"/>
              </w:rPr>
            </w:pPr>
            <w:r>
              <w:rPr>
                <w:rFonts w:cs="Times New Roman"/>
                <w:b/>
                <w:bCs/>
                <w:sz w:val="24"/>
                <w:szCs w:val="24"/>
              </w:rPr>
              <w:t>2020年现状</w:t>
            </w:r>
          </w:p>
        </w:tc>
        <w:tc>
          <w:tcPr>
            <w:tcW w:w="441" w:type="pct"/>
            <w:tcBorders>
              <w:top w:val="single" w:color="auto" w:sz="4" w:space="0"/>
              <w:left w:val="single" w:color="auto" w:sz="4" w:space="0"/>
              <w:bottom w:val="single" w:color="auto" w:sz="4" w:space="0"/>
              <w:right w:val="single" w:color="auto" w:sz="4" w:space="0"/>
            </w:tcBorders>
            <w:vAlign w:val="center"/>
          </w:tcPr>
          <w:p w14:paraId="16D266BD">
            <w:pPr>
              <w:spacing w:line="240" w:lineRule="auto"/>
              <w:ind w:firstLine="0" w:firstLineChars="0"/>
              <w:jc w:val="center"/>
              <w:rPr>
                <w:rFonts w:cs="Times New Roman"/>
                <w:b/>
                <w:bCs/>
                <w:sz w:val="24"/>
                <w:szCs w:val="24"/>
              </w:rPr>
            </w:pPr>
            <w:r>
              <w:rPr>
                <w:rFonts w:cs="Times New Roman"/>
                <w:b/>
                <w:bCs/>
                <w:sz w:val="24"/>
                <w:szCs w:val="24"/>
              </w:rPr>
              <w:t>2025年目标</w:t>
            </w:r>
          </w:p>
        </w:tc>
        <w:tc>
          <w:tcPr>
            <w:tcW w:w="418" w:type="pct"/>
            <w:tcBorders>
              <w:top w:val="single" w:color="auto" w:sz="4" w:space="0"/>
              <w:left w:val="single" w:color="auto" w:sz="4" w:space="0"/>
              <w:bottom w:val="single" w:color="auto" w:sz="4" w:space="0"/>
              <w:right w:val="single" w:color="auto" w:sz="4" w:space="0"/>
            </w:tcBorders>
            <w:vAlign w:val="center"/>
          </w:tcPr>
          <w:p w14:paraId="27874A7E">
            <w:pPr>
              <w:spacing w:line="240" w:lineRule="auto"/>
              <w:ind w:firstLine="0" w:firstLineChars="0"/>
              <w:jc w:val="center"/>
              <w:rPr>
                <w:rFonts w:cs="Times New Roman"/>
                <w:b/>
                <w:bCs/>
                <w:sz w:val="24"/>
                <w:szCs w:val="24"/>
              </w:rPr>
            </w:pPr>
            <w:r>
              <w:rPr>
                <w:rFonts w:cs="Times New Roman"/>
                <w:b/>
                <w:bCs/>
                <w:sz w:val="24"/>
                <w:szCs w:val="24"/>
              </w:rPr>
              <w:t>2020年现状</w:t>
            </w:r>
          </w:p>
        </w:tc>
        <w:tc>
          <w:tcPr>
            <w:tcW w:w="425" w:type="pct"/>
            <w:tcBorders>
              <w:top w:val="single" w:color="auto" w:sz="4" w:space="0"/>
              <w:left w:val="single" w:color="auto" w:sz="4" w:space="0"/>
              <w:bottom w:val="single" w:color="auto" w:sz="4" w:space="0"/>
              <w:right w:val="single" w:color="auto" w:sz="4" w:space="0"/>
            </w:tcBorders>
            <w:vAlign w:val="center"/>
          </w:tcPr>
          <w:p w14:paraId="358A943E">
            <w:pPr>
              <w:spacing w:line="240" w:lineRule="auto"/>
              <w:ind w:firstLine="0" w:firstLineChars="0"/>
              <w:jc w:val="center"/>
              <w:rPr>
                <w:rFonts w:cs="Times New Roman"/>
                <w:b/>
                <w:bCs/>
                <w:sz w:val="24"/>
                <w:szCs w:val="24"/>
              </w:rPr>
            </w:pPr>
            <w:r>
              <w:rPr>
                <w:rFonts w:cs="Times New Roman"/>
                <w:b/>
                <w:bCs/>
                <w:sz w:val="24"/>
                <w:szCs w:val="24"/>
              </w:rPr>
              <w:t>2025年目标</w:t>
            </w:r>
          </w:p>
        </w:tc>
        <w:tc>
          <w:tcPr>
            <w:tcW w:w="499" w:type="pct"/>
            <w:vMerge w:val="continue"/>
            <w:tcBorders>
              <w:top w:val="single" w:color="auto" w:sz="8" w:space="0"/>
              <w:left w:val="single" w:color="auto" w:sz="4" w:space="0"/>
              <w:bottom w:val="single" w:color="auto" w:sz="4" w:space="0"/>
              <w:right w:val="single" w:color="auto" w:sz="4" w:space="0"/>
            </w:tcBorders>
            <w:vAlign w:val="center"/>
          </w:tcPr>
          <w:p w14:paraId="4B2EA687">
            <w:pPr>
              <w:widowControl/>
              <w:spacing w:line="240" w:lineRule="auto"/>
              <w:ind w:firstLine="0" w:firstLineChars="0"/>
              <w:jc w:val="left"/>
              <w:rPr>
                <w:rFonts w:cs="Times New Roman"/>
                <w:b/>
                <w:bCs/>
                <w:sz w:val="24"/>
                <w:szCs w:val="24"/>
              </w:rPr>
            </w:pPr>
          </w:p>
        </w:tc>
        <w:tc>
          <w:tcPr>
            <w:tcW w:w="470" w:type="pct"/>
            <w:vMerge w:val="continue"/>
            <w:tcBorders>
              <w:top w:val="single" w:color="auto" w:sz="8" w:space="0"/>
              <w:left w:val="single" w:color="auto" w:sz="4" w:space="0"/>
              <w:bottom w:val="single" w:color="auto" w:sz="4" w:space="0"/>
              <w:right w:val="single" w:color="auto" w:sz="8" w:space="0"/>
            </w:tcBorders>
            <w:vAlign w:val="center"/>
          </w:tcPr>
          <w:p w14:paraId="16D37853">
            <w:pPr>
              <w:widowControl/>
              <w:spacing w:line="240" w:lineRule="auto"/>
              <w:ind w:firstLine="0" w:firstLineChars="0"/>
              <w:jc w:val="left"/>
              <w:rPr>
                <w:rFonts w:cs="Times New Roman"/>
                <w:b/>
                <w:bCs/>
                <w:sz w:val="24"/>
                <w:szCs w:val="24"/>
              </w:rPr>
            </w:pPr>
          </w:p>
        </w:tc>
      </w:tr>
      <w:tr w14:paraId="5ADFB8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3" w:hRule="atLeast"/>
          <w:jc w:val="center"/>
        </w:trPr>
        <w:tc>
          <w:tcPr>
            <w:tcW w:w="177" w:type="pct"/>
            <w:tcBorders>
              <w:top w:val="single" w:color="auto" w:sz="4" w:space="0"/>
              <w:left w:val="single" w:color="auto" w:sz="8" w:space="0"/>
              <w:bottom w:val="single" w:color="auto" w:sz="4" w:space="0"/>
              <w:right w:val="single" w:color="auto" w:sz="4" w:space="0"/>
            </w:tcBorders>
            <w:vAlign w:val="center"/>
          </w:tcPr>
          <w:p w14:paraId="37F16242">
            <w:pPr>
              <w:widowControl/>
              <w:spacing w:line="240" w:lineRule="auto"/>
              <w:ind w:firstLine="0" w:firstLineChars="0"/>
              <w:jc w:val="center"/>
              <w:rPr>
                <w:rFonts w:cs="Times New Roman"/>
                <w:sz w:val="24"/>
                <w:szCs w:val="24"/>
              </w:rPr>
            </w:pPr>
            <w:r>
              <w:rPr>
                <w:rFonts w:cs="Times New Roman"/>
                <w:sz w:val="24"/>
                <w:szCs w:val="24"/>
              </w:rPr>
              <w:t>1</w:t>
            </w:r>
          </w:p>
        </w:tc>
        <w:tc>
          <w:tcPr>
            <w:tcW w:w="246" w:type="pct"/>
            <w:tcBorders>
              <w:top w:val="single" w:color="auto" w:sz="4" w:space="0"/>
              <w:left w:val="single" w:color="auto" w:sz="4" w:space="0"/>
              <w:bottom w:val="single" w:color="auto" w:sz="4" w:space="0"/>
              <w:right w:val="single" w:color="auto" w:sz="4" w:space="0"/>
            </w:tcBorders>
            <w:vAlign w:val="center"/>
          </w:tcPr>
          <w:p w14:paraId="1CF4A635">
            <w:pPr>
              <w:widowControl/>
              <w:spacing w:line="240" w:lineRule="auto"/>
              <w:ind w:firstLine="0" w:firstLineChars="0"/>
              <w:jc w:val="center"/>
              <w:rPr>
                <w:rFonts w:cs="Times New Roman"/>
                <w:sz w:val="24"/>
                <w:szCs w:val="24"/>
              </w:rPr>
            </w:pPr>
            <w:r>
              <w:rPr>
                <w:rFonts w:cs="Times New Roman"/>
                <w:sz w:val="24"/>
                <w:szCs w:val="24"/>
              </w:rPr>
              <w:t>辽宁省</w:t>
            </w:r>
          </w:p>
        </w:tc>
        <w:tc>
          <w:tcPr>
            <w:tcW w:w="274" w:type="pct"/>
            <w:tcBorders>
              <w:top w:val="single" w:color="auto" w:sz="4" w:space="0"/>
              <w:left w:val="single" w:color="auto" w:sz="4" w:space="0"/>
              <w:bottom w:val="single" w:color="auto" w:sz="4" w:space="0"/>
              <w:right w:val="single" w:color="auto" w:sz="4" w:space="0"/>
            </w:tcBorders>
            <w:vAlign w:val="center"/>
          </w:tcPr>
          <w:p w14:paraId="03C3ED9E">
            <w:pPr>
              <w:widowControl/>
              <w:spacing w:line="240" w:lineRule="auto"/>
              <w:ind w:firstLine="0" w:firstLineChars="0"/>
              <w:jc w:val="center"/>
              <w:rPr>
                <w:rFonts w:cs="Times New Roman"/>
                <w:sz w:val="24"/>
                <w:szCs w:val="24"/>
              </w:rPr>
            </w:pPr>
            <w:r>
              <w:rPr>
                <w:rFonts w:cs="Times New Roman"/>
                <w:sz w:val="24"/>
                <w:szCs w:val="24"/>
              </w:rPr>
              <w:t>本溪市</w:t>
            </w:r>
          </w:p>
        </w:tc>
        <w:tc>
          <w:tcPr>
            <w:tcW w:w="260" w:type="pct"/>
            <w:tcBorders>
              <w:top w:val="single" w:color="auto" w:sz="4" w:space="0"/>
              <w:left w:val="single" w:color="auto" w:sz="4" w:space="0"/>
              <w:bottom w:val="single" w:color="auto" w:sz="4" w:space="0"/>
              <w:right w:val="single" w:color="auto" w:sz="4" w:space="0"/>
            </w:tcBorders>
            <w:vAlign w:val="center"/>
          </w:tcPr>
          <w:p w14:paraId="0993F2CF">
            <w:pPr>
              <w:widowControl/>
              <w:spacing w:line="240" w:lineRule="auto"/>
              <w:ind w:firstLine="0" w:firstLineChars="0"/>
              <w:jc w:val="center"/>
              <w:rPr>
                <w:rFonts w:cs="Times New Roman"/>
                <w:sz w:val="24"/>
                <w:szCs w:val="24"/>
              </w:rPr>
            </w:pPr>
            <w:r>
              <w:rPr>
                <w:rFonts w:cs="Times New Roman"/>
                <w:sz w:val="24"/>
                <w:szCs w:val="24"/>
              </w:rPr>
              <w:t>桓仁县</w:t>
            </w:r>
          </w:p>
        </w:tc>
        <w:tc>
          <w:tcPr>
            <w:tcW w:w="389" w:type="pct"/>
            <w:tcBorders>
              <w:top w:val="single" w:color="auto" w:sz="4" w:space="0"/>
              <w:left w:val="single" w:color="auto" w:sz="4" w:space="0"/>
              <w:bottom w:val="single" w:color="auto" w:sz="4" w:space="0"/>
              <w:right w:val="single" w:color="auto" w:sz="4" w:space="0"/>
            </w:tcBorders>
            <w:vAlign w:val="center"/>
          </w:tcPr>
          <w:p w14:paraId="08F07D83">
            <w:pPr>
              <w:spacing w:line="240" w:lineRule="auto"/>
              <w:ind w:firstLine="0" w:firstLineChars="0"/>
              <w:jc w:val="center"/>
              <w:rPr>
                <w:rFonts w:cs="Times New Roman"/>
                <w:sz w:val="24"/>
                <w:szCs w:val="24"/>
              </w:rPr>
            </w:pPr>
            <w:r>
              <w:rPr>
                <w:rFonts w:cs="Times New Roman"/>
                <w:sz w:val="24"/>
                <w:szCs w:val="24"/>
              </w:rPr>
              <w:t>鸭绿江</w:t>
            </w:r>
          </w:p>
        </w:tc>
        <w:tc>
          <w:tcPr>
            <w:tcW w:w="399" w:type="pct"/>
            <w:tcBorders>
              <w:top w:val="single" w:color="auto" w:sz="4" w:space="0"/>
              <w:left w:val="single" w:color="auto" w:sz="4" w:space="0"/>
              <w:bottom w:val="single" w:color="auto" w:sz="4" w:space="0"/>
              <w:right w:val="single" w:color="auto" w:sz="4" w:space="0"/>
            </w:tcBorders>
            <w:vAlign w:val="center"/>
          </w:tcPr>
          <w:p w14:paraId="037C2D91">
            <w:pPr>
              <w:spacing w:line="240" w:lineRule="auto"/>
              <w:ind w:firstLine="0" w:firstLineChars="0"/>
              <w:jc w:val="center"/>
              <w:rPr>
                <w:rFonts w:cs="Times New Roman"/>
                <w:sz w:val="24"/>
                <w:szCs w:val="24"/>
              </w:rPr>
            </w:pPr>
            <w:r>
              <w:rPr>
                <w:rFonts w:cs="Times New Roman"/>
                <w:sz w:val="24"/>
                <w:szCs w:val="24"/>
              </w:rPr>
              <w:t>金银库沟门</w:t>
            </w:r>
          </w:p>
        </w:tc>
        <w:tc>
          <w:tcPr>
            <w:tcW w:w="497" w:type="pct"/>
            <w:tcBorders>
              <w:top w:val="single" w:color="auto" w:sz="4" w:space="0"/>
              <w:left w:val="single" w:color="auto" w:sz="4" w:space="0"/>
              <w:bottom w:val="single" w:color="auto" w:sz="4" w:space="0"/>
              <w:right w:val="single" w:color="auto" w:sz="4" w:space="0"/>
            </w:tcBorders>
            <w:vAlign w:val="center"/>
          </w:tcPr>
          <w:p w14:paraId="4939FB4A">
            <w:pPr>
              <w:spacing w:line="240" w:lineRule="auto"/>
              <w:ind w:firstLine="0" w:firstLineChars="0"/>
              <w:jc w:val="center"/>
              <w:rPr>
                <w:rFonts w:cs="Times New Roman"/>
                <w:sz w:val="24"/>
                <w:szCs w:val="24"/>
              </w:rPr>
            </w:pPr>
            <w:r>
              <w:rPr>
                <w:rFonts w:cs="Times New Roman"/>
                <w:sz w:val="24"/>
                <w:szCs w:val="24"/>
              </w:rPr>
              <w:t>桓仁水库</w:t>
            </w:r>
          </w:p>
        </w:tc>
        <w:tc>
          <w:tcPr>
            <w:tcW w:w="501" w:type="pct"/>
            <w:tcBorders>
              <w:top w:val="single" w:color="auto" w:sz="4" w:space="0"/>
              <w:left w:val="single" w:color="auto" w:sz="4" w:space="0"/>
              <w:bottom w:val="single" w:color="auto" w:sz="4" w:space="0"/>
              <w:right w:val="single" w:color="auto" w:sz="4" w:space="0"/>
            </w:tcBorders>
            <w:vAlign w:val="center"/>
          </w:tcPr>
          <w:p w14:paraId="3F3F92DE">
            <w:pPr>
              <w:widowControl/>
              <w:ind w:firstLine="0" w:firstLineChars="0"/>
              <w:jc w:val="center"/>
              <w:textAlignment w:val="center"/>
              <w:rPr>
                <w:rFonts w:cs="Times New Roman"/>
                <w:sz w:val="24"/>
                <w:szCs w:val="24"/>
              </w:rPr>
            </w:pPr>
            <w:r>
              <w:rPr>
                <w:rFonts w:cs="Times New Roman"/>
                <w:sz w:val="24"/>
                <w:szCs w:val="24"/>
                <w:lang w:val="en-US"/>
              </w:rPr>
              <w:t>44.89</w:t>
            </w:r>
          </w:p>
        </w:tc>
        <w:tc>
          <w:tcPr>
            <w:tcW w:w="441" w:type="pct"/>
            <w:tcBorders>
              <w:top w:val="single" w:color="auto" w:sz="4" w:space="0"/>
              <w:left w:val="single" w:color="auto" w:sz="4" w:space="0"/>
              <w:bottom w:val="single" w:color="auto" w:sz="4" w:space="0"/>
              <w:right w:val="single" w:color="auto" w:sz="4" w:space="0"/>
            </w:tcBorders>
            <w:vAlign w:val="center"/>
          </w:tcPr>
          <w:p w14:paraId="06DBC5B2">
            <w:pPr>
              <w:spacing w:line="240" w:lineRule="auto"/>
              <w:ind w:firstLine="0" w:firstLineChars="0"/>
              <w:jc w:val="center"/>
              <w:rPr>
                <w:rFonts w:cs="Times New Roman"/>
                <w:sz w:val="24"/>
                <w:szCs w:val="24"/>
              </w:rPr>
            </w:pPr>
            <w:r>
              <w:rPr>
                <w:rFonts w:cs="Times New Roman"/>
                <w:sz w:val="24"/>
                <w:szCs w:val="24"/>
              </w:rPr>
              <w:t>不上升</w:t>
            </w:r>
          </w:p>
        </w:tc>
        <w:tc>
          <w:tcPr>
            <w:tcW w:w="418" w:type="pct"/>
            <w:tcBorders>
              <w:top w:val="single" w:color="auto" w:sz="4" w:space="0"/>
              <w:left w:val="single" w:color="auto" w:sz="4" w:space="0"/>
              <w:bottom w:val="single" w:color="auto" w:sz="4" w:space="0"/>
              <w:right w:val="single" w:color="auto" w:sz="4" w:space="0"/>
            </w:tcBorders>
            <w:vAlign w:val="center"/>
          </w:tcPr>
          <w:p w14:paraId="25C246A8">
            <w:pPr>
              <w:spacing w:line="240" w:lineRule="auto"/>
              <w:ind w:firstLine="0" w:firstLineChars="0"/>
              <w:jc w:val="center"/>
              <w:rPr>
                <w:rFonts w:cs="Times New Roman"/>
                <w:sz w:val="24"/>
                <w:szCs w:val="24"/>
              </w:rPr>
            </w:pPr>
            <w:r>
              <w:rPr>
                <w:rFonts w:cs="Times New Roman"/>
                <w:sz w:val="24"/>
                <w:szCs w:val="24"/>
                <w:lang w:val="en-US"/>
              </w:rPr>
              <w:t>0.01001</w:t>
            </w:r>
          </w:p>
        </w:tc>
        <w:tc>
          <w:tcPr>
            <w:tcW w:w="425" w:type="pct"/>
            <w:tcBorders>
              <w:top w:val="single" w:color="auto" w:sz="4" w:space="0"/>
              <w:left w:val="single" w:color="auto" w:sz="4" w:space="0"/>
              <w:bottom w:val="single" w:color="auto" w:sz="4" w:space="0"/>
              <w:right w:val="single" w:color="auto" w:sz="4" w:space="0"/>
            </w:tcBorders>
            <w:vAlign w:val="center"/>
          </w:tcPr>
          <w:p w14:paraId="65F752B2">
            <w:pPr>
              <w:spacing w:line="240" w:lineRule="auto"/>
              <w:ind w:firstLine="0" w:firstLineChars="0"/>
              <w:jc w:val="center"/>
              <w:rPr>
                <w:rFonts w:cs="Times New Roman"/>
                <w:sz w:val="24"/>
                <w:szCs w:val="24"/>
              </w:rPr>
            </w:pPr>
            <w:r>
              <w:rPr>
                <w:rFonts w:cs="Times New Roman"/>
                <w:sz w:val="24"/>
                <w:szCs w:val="24"/>
              </w:rPr>
              <w:t>—</w:t>
            </w:r>
          </w:p>
        </w:tc>
        <w:tc>
          <w:tcPr>
            <w:tcW w:w="499" w:type="pct"/>
            <w:tcBorders>
              <w:top w:val="single" w:color="auto" w:sz="4" w:space="0"/>
              <w:left w:val="single" w:color="auto" w:sz="4" w:space="0"/>
              <w:bottom w:val="single" w:color="auto" w:sz="4" w:space="0"/>
              <w:right w:val="single" w:color="auto" w:sz="4" w:space="0"/>
            </w:tcBorders>
            <w:vAlign w:val="center"/>
          </w:tcPr>
          <w:p w14:paraId="4815A9EE">
            <w:pPr>
              <w:spacing w:line="240" w:lineRule="auto"/>
              <w:ind w:firstLine="0" w:firstLineChars="0"/>
              <w:jc w:val="center"/>
              <w:rPr>
                <w:rFonts w:cs="Times New Roman"/>
                <w:sz w:val="24"/>
                <w:szCs w:val="24"/>
              </w:rPr>
            </w:pPr>
            <w:r>
              <w:rPr>
                <w:rFonts w:cs="Times New Roman"/>
                <w:sz w:val="24"/>
                <w:szCs w:val="24"/>
              </w:rPr>
              <w:t>—</w:t>
            </w:r>
          </w:p>
        </w:tc>
        <w:tc>
          <w:tcPr>
            <w:tcW w:w="470" w:type="pct"/>
            <w:tcBorders>
              <w:top w:val="single" w:color="auto" w:sz="4" w:space="0"/>
              <w:left w:val="single" w:color="auto" w:sz="4" w:space="0"/>
              <w:bottom w:val="single" w:color="auto" w:sz="4" w:space="0"/>
              <w:right w:val="single" w:color="auto" w:sz="8" w:space="0"/>
            </w:tcBorders>
            <w:vAlign w:val="center"/>
          </w:tcPr>
          <w:p w14:paraId="2AF440E6">
            <w:pPr>
              <w:spacing w:line="240" w:lineRule="auto"/>
              <w:ind w:firstLine="0" w:firstLineChars="0"/>
              <w:jc w:val="center"/>
              <w:rPr>
                <w:rFonts w:cs="Times New Roman"/>
                <w:sz w:val="24"/>
                <w:szCs w:val="24"/>
              </w:rPr>
            </w:pPr>
            <w:r>
              <w:rPr>
                <w:rFonts w:cs="Times New Roman"/>
                <w:sz w:val="24"/>
                <w:szCs w:val="24"/>
              </w:rPr>
              <w:t>富营养化风险有效控制</w:t>
            </w:r>
          </w:p>
        </w:tc>
      </w:tr>
      <w:tr w14:paraId="20179D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0" w:hRule="atLeast"/>
          <w:jc w:val="center"/>
        </w:trPr>
        <w:tc>
          <w:tcPr>
            <w:tcW w:w="177" w:type="pct"/>
            <w:tcBorders>
              <w:top w:val="single" w:color="auto" w:sz="4" w:space="0"/>
              <w:left w:val="single" w:color="auto" w:sz="8" w:space="0"/>
              <w:bottom w:val="single" w:color="auto" w:sz="8" w:space="0"/>
              <w:right w:val="single" w:color="auto" w:sz="4" w:space="0"/>
            </w:tcBorders>
            <w:vAlign w:val="center"/>
          </w:tcPr>
          <w:p w14:paraId="2C81FD1D">
            <w:pPr>
              <w:spacing w:line="240" w:lineRule="auto"/>
              <w:ind w:firstLine="0" w:firstLineChars="0"/>
              <w:jc w:val="center"/>
              <w:rPr>
                <w:rFonts w:cs="Times New Roman"/>
                <w:sz w:val="24"/>
                <w:szCs w:val="24"/>
              </w:rPr>
            </w:pPr>
            <w:r>
              <w:rPr>
                <w:rFonts w:cs="Times New Roman"/>
                <w:sz w:val="24"/>
                <w:szCs w:val="24"/>
              </w:rPr>
              <w:t>2</w:t>
            </w:r>
          </w:p>
        </w:tc>
        <w:tc>
          <w:tcPr>
            <w:tcW w:w="246" w:type="pct"/>
            <w:tcBorders>
              <w:top w:val="single" w:color="auto" w:sz="4" w:space="0"/>
              <w:left w:val="single" w:color="auto" w:sz="4" w:space="0"/>
              <w:bottom w:val="single" w:color="auto" w:sz="8" w:space="0"/>
              <w:right w:val="single" w:color="auto" w:sz="4" w:space="0"/>
            </w:tcBorders>
            <w:vAlign w:val="center"/>
          </w:tcPr>
          <w:p w14:paraId="1DE7A1DD">
            <w:pPr>
              <w:widowControl/>
              <w:spacing w:line="240" w:lineRule="auto"/>
              <w:ind w:firstLine="0" w:firstLineChars="0"/>
              <w:jc w:val="center"/>
              <w:rPr>
                <w:rFonts w:cs="Times New Roman"/>
                <w:sz w:val="24"/>
                <w:szCs w:val="24"/>
              </w:rPr>
            </w:pPr>
            <w:r>
              <w:rPr>
                <w:rFonts w:cs="Times New Roman"/>
                <w:sz w:val="24"/>
                <w:szCs w:val="24"/>
              </w:rPr>
              <w:t>辽宁省</w:t>
            </w:r>
          </w:p>
        </w:tc>
        <w:tc>
          <w:tcPr>
            <w:tcW w:w="274" w:type="pct"/>
            <w:tcBorders>
              <w:top w:val="single" w:color="auto" w:sz="4" w:space="0"/>
              <w:left w:val="single" w:color="auto" w:sz="4" w:space="0"/>
              <w:bottom w:val="single" w:color="auto" w:sz="8" w:space="0"/>
              <w:right w:val="single" w:color="auto" w:sz="4" w:space="0"/>
            </w:tcBorders>
            <w:vAlign w:val="center"/>
          </w:tcPr>
          <w:p w14:paraId="669AD036">
            <w:pPr>
              <w:widowControl/>
              <w:spacing w:line="240" w:lineRule="auto"/>
              <w:ind w:firstLine="0" w:firstLineChars="0"/>
              <w:jc w:val="center"/>
              <w:rPr>
                <w:rFonts w:cs="Times New Roman"/>
                <w:sz w:val="24"/>
                <w:szCs w:val="24"/>
              </w:rPr>
            </w:pPr>
            <w:r>
              <w:rPr>
                <w:rFonts w:cs="Times New Roman"/>
                <w:sz w:val="24"/>
                <w:szCs w:val="24"/>
              </w:rPr>
              <w:t>本溪市</w:t>
            </w:r>
          </w:p>
        </w:tc>
        <w:tc>
          <w:tcPr>
            <w:tcW w:w="260" w:type="pct"/>
            <w:tcBorders>
              <w:top w:val="single" w:color="auto" w:sz="4" w:space="0"/>
              <w:left w:val="single" w:color="auto" w:sz="4" w:space="0"/>
              <w:bottom w:val="single" w:color="auto" w:sz="8" w:space="0"/>
              <w:right w:val="single" w:color="auto" w:sz="4" w:space="0"/>
            </w:tcBorders>
            <w:vAlign w:val="center"/>
          </w:tcPr>
          <w:p w14:paraId="2D387415">
            <w:pPr>
              <w:spacing w:line="240" w:lineRule="auto"/>
              <w:ind w:firstLine="0" w:firstLineChars="0"/>
              <w:jc w:val="center"/>
              <w:rPr>
                <w:rFonts w:cs="Times New Roman"/>
                <w:sz w:val="24"/>
                <w:szCs w:val="24"/>
              </w:rPr>
            </w:pPr>
            <w:r>
              <w:rPr>
                <w:rFonts w:cs="Times New Roman"/>
                <w:sz w:val="24"/>
                <w:szCs w:val="24"/>
              </w:rPr>
              <w:t>本溪县</w:t>
            </w:r>
          </w:p>
        </w:tc>
        <w:tc>
          <w:tcPr>
            <w:tcW w:w="389" w:type="pct"/>
            <w:tcBorders>
              <w:top w:val="single" w:color="auto" w:sz="4" w:space="0"/>
              <w:left w:val="single" w:color="auto" w:sz="4" w:space="0"/>
              <w:bottom w:val="single" w:color="auto" w:sz="8" w:space="0"/>
              <w:right w:val="single" w:color="auto" w:sz="4" w:space="0"/>
            </w:tcBorders>
            <w:vAlign w:val="center"/>
          </w:tcPr>
          <w:p w14:paraId="18C4DA4D">
            <w:pPr>
              <w:spacing w:line="240" w:lineRule="auto"/>
              <w:ind w:firstLine="0" w:firstLineChars="0"/>
              <w:jc w:val="center"/>
              <w:rPr>
                <w:rFonts w:cs="Times New Roman"/>
                <w:sz w:val="24"/>
                <w:szCs w:val="24"/>
              </w:rPr>
            </w:pPr>
            <w:r>
              <w:rPr>
                <w:rFonts w:cs="Times New Roman"/>
                <w:sz w:val="24"/>
                <w:szCs w:val="24"/>
              </w:rPr>
              <w:t>辽河</w:t>
            </w:r>
          </w:p>
        </w:tc>
        <w:tc>
          <w:tcPr>
            <w:tcW w:w="399" w:type="pct"/>
            <w:tcBorders>
              <w:top w:val="single" w:color="auto" w:sz="4" w:space="0"/>
              <w:left w:val="single" w:color="auto" w:sz="4" w:space="0"/>
              <w:bottom w:val="single" w:color="auto" w:sz="8" w:space="0"/>
              <w:right w:val="single" w:color="auto" w:sz="4" w:space="0"/>
            </w:tcBorders>
            <w:vAlign w:val="center"/>
          </w:tcPr>
          <w:p w14:paraId="41086725">
            <w:pPr>
              <w:spacing w:line="240" w:lineRule="auto"/>
              <w:ind w:firstLine="0" w:firstLineChars="0"/>
              <w:jc w:val="center"/>
              <w:rPr>
                <w:rFonts w:cs="Times New Roman"/>
                <w:sz w:val="24"/>
                <w:szCs w:val="24"/>
              </w:rPr>
            </w:pPr>
            <w:r>
              <w:rPr>
                <w:rFonts w:cs="Times New Roman"/>
                <w:sz w:val="24"/>
                <w:szCs w:val="24"/>
              </w:rPr>
              <w:t>赛梨寨</w:t>
            </w:r>
          </w:p>
        </w:tc>
        <w:tc>
          <w:tcPr>
            <w:tcW w:w="497" w:type="pct"/>
            <w:tcBorders>
              <w:top w:val="single" w:color="auto" w:sz="4" w:space="0"/>
              <w:left w:val="single" w:color="auto" w:sz="4" w:space="0"/>
              <w:bottom w:val="single" w:color="auto" w:sz="8" w:space="0"/>
              <w:right w:val="single" w:color="auto" w:sz="4" w:space="0"/>
            </w:tcBorders>
            <w:vAlign w:val="center"/>
          </w:tcPr>
          <w:p w14:paraId="68EDDFFE">
            <w:pPr>
              <w:spacing w:line="240" w:lineRule="auto"/>
              <w:ind w:firstLine="0" w:firstLineChars="0"/>
              <w:jc w:val="center"/>
              <w:rPr>
                <w:rFonts w:cs="Times New Roman"/>
                <w:sz w:val="24"/>
                <w:szCs w:val="24"/>
              </w:rPr>
            </w:pPr>
            <w:r>
              <w:rPr>
                <w:rFonts w:cs="Times New Roman"/>
                <w:sz w:val="24"/>
                <w:szCs w:val="24"/>
              </w:rPr>
              <w:t>观音阁水库</w:t>
            </w:r>
          </w:p>
        </w:tc>
        <w:tc>
          <w:tcPr>
            <w:tcW w:w="501" w:type="pct"/>
            <w:tcBorders>
              <w:top w:val="single" w:color="auto" w:sz="4" w:space="0"/>
              <w:left w:val="single" w:color="auto" w:sz="4" w:space="0"/>
              <w:bottom w:val="single" w:color="auto" w:sz="8" w:space="0"/>
              <w:right w:val="single" w:color="auto" w:sz="4" w:space="0"/>
            </w:tcBorders>
            <w:vAlign w:val="center"/>
          </w:tcPr>
          <w:p w14:paraId="4E239C8D">
            <w:pPr>
              <w:widowControl/>
              <w:ind w:firstLine="0" w:firstLineChars="0"/>
              <w:jc w:val="center"/>
              <w:textAlignment w:val="center"/>
              <w:rPr>
                <w:rFonts w:cs="Times New Roman"/>
                <w:sz w:val="24"/>
                <w:szCs w:val="24"/>
              </w:rPr>
            </w:pPr>
            <w:r>
              <w:rPr>
                <w:rFonts w:cs="Times New Roman"/>
                <w:sz w:val="24"/>
                <w:szCs w:val="24"/>
                <w:lang w:val="en-US"/>
              </w:rPr>
              <w:t>36.42</w:t>
            </w:r>
          </w:p>
        </w:tc>
        <w:tc>
          <w:tcPr>
            <w:tcW w:w="441" w:type="pct"/>
            <w:tcBorders>
              <w:top w:val="single" w:color="auto" w:sz="4" w:space="0"/>
              <w:left w:val="single" w:color="auto" w:sz="4" w:space="0"/>
              <w:bottom w:val="single" w:color="auto" w:sz="8" w:space="0"/>
              <w:right w:val="single" w:color="auto" w:sz="4" w:space="0"/>
            </w:tcBorders>
            <w:vAlign w:val="center"/>
          </w:tcPr>
          <w:p w14:paraId="7D833FC5">
            <w:pPr>
              <w:widowControl/>
              <w:spacing w:line="240" w:lineRule="auto"/>
              <w:ind w:firstLine="0" w:firstLineChars="0"/>
              <w:jc w:val="center"/>
              <w:rPr>
                <w:rFonts w:cs="Times New Roman"/>
                <w:sz w:val="24"/>
                <w:szCs w:val="24"/>
              </w:rPr>
            </w:pPr>
            <w:r>
              <w:rPr>
                <w:rFonts w:cs="Times New Roman"/>
                <w:sz w:val="24"/>
                <w:szCs w:val="24"/>
              </w:rPr>
              <w:t>不上升</w:t>
            </w:r>
          </w:p>
        </w:tc>
        <w:tc>
          <w:tcPr>
            <w:tcW w:w="418" w:type="pct"/>
            <w:tcBorders>
              <w:top w:val="single" w:color="auto" w:sz="4" w:space="0"/>
              <w:left w:val="single" w:color="auto" w:sz="4" w:space="0"/>
              <w:bottom w:val="single" w:color="auto" w:sz="8" w:space="0"/>
              <w:right w:val="single" w:color="auto" w:sz="4" w:space="0"/>
            </w:tcBorders>
            <w:vAlign w:val="center"/>
          </w:tcPr>
          <w:p w14:paraId="1BAE2792">
            <w:pPr>
              <w:spacing w:line="240" w:lineRule="auto"/>
              <w:ind w:firstLine="0" w:firstLineChars="0"/>
              <w:jc w:val="center"/>
              <w:rPr>
                <w:rFonts w:cs="Times New Roman"/>
                <w:sz w:val="24"/>
                <w:szCs w:val="24"/>
              </w:rPr>
            </w:pPr>
            <w:r>
              <w:rPr>
                <w:rFonts w:cs="Times New Roman"/>
                <w:sz w:val="24"/>
                <w:szCs w:val="24"/>
                <w:lang w:val="en-US"/>
              </w:rPr>
              <w:t>0.00213</w:t>
            </w:r>
          </w:p>
        </w:tc>
        <w:tc>
          <w:tcPr>
            <w:tcW w:w="425" w:type="pct"/>
            <w:tcBorders>
              <w:top w:val="single" w:color="auto" w:sz="4" w:space="0"/>
              <w:left w:val="single" w:color="auto" w:sz="4" w:space="0"/>
              <w:bottom w:val="single" w:color="auto" w:sz="8" w:space="0"/>
              <w:right w:val="single" w:color="auto" w:sz="4" w:space="0"/>
            </w:tcBorders>
            <w:vAlign w:val="center"/>
          </w:tcPr>
          <w:p w14:paraId="341AFB17">
            <w:pPr>
              <w:spacing w:line="240" w:lineRule="auto"/>
              <w:ind w:firstLine="0" w:firstLineChars="0"/>
              <w:jc w:val="center"/>
              <w:rPr>
                <w:rFonts w:cs="Times New Roman"/>
                <w:sz w:val="24"/>
                <w:szCs w:val="24"/>
              </w:rPr>
            </w:pPr>
            <w:r>
              <w:rPr>
                <w:rFonts w:cs="Times New Roman"/>
                <w:sz w:val="24"/>
                <w:szCs w:val="24"/>
              </w:rPr>
              <w:t>—</w:t>
            </w:r>
          </w:p>
        </w:tc>
        <w:tc>
          <w:tcPr>
            <w:tcW w:w="499" w:type="pct"/>
            <w:tcBorders>
              <w:top w:val="single" w:color="auto" w:sz="4" w:space="0"/>
              <w:left w:val="single" w:color="auto" w:sz="4" w:space="0"/>
              <w:bottom w:val="single" w:color="auto" w:sz="8" w:space="0"/>
              <w:right w:val="single" w:color="auto" w:sz="4" w:space="0"/>
            </w:tcBorders>
            <w:vAlign w:val="center"/>
          </w:tcPr>
          <w:p w14:paraId="0BD368F5">
            <w:pPr>
              <w:spacing w:line="240" w:lineRule="auto"/>
              <w:ind w:firstLine="0" w:firstLineChars="0"/>
              <w:jc w:val="center"/>
              <w:rPr>
                <w:rFonts w:cs="Times New Roman"/>
                <w:sz w:val="24"/>
                <w:szCs w:val="24"/>
              </w:rPr>
            </w:pPr>
            <w:r>
              <w:rPr>
                <w:rFonts w:cs="Times New Roman"/>
                <w:sz w:val="24"/>
                <w:szCs w:val="24"/>
              </w:rPr>
              <w:t>—</w:t>
            </w:r>
          </w:p>
        </w:tc>
        <w:tc>
          <w:tcPr>
            <w:tcW w:w="470" w:type="pct"/>
            <w:tcBorders>
              <w:top w:val="single" w:color="auto" w:sz="4" w:space="0"/>
              <w:left w:val="single" w:color="auto" w:sz="4" w:space="0"/>
              <w:bottom w:val="single" w:color="auto" w:sz="8" w:space="0"/>
              <w:right w:val="single" w:color="auto" w:sz="8" w:space="0"/>
            </w:tcBorders>
            <w:vAlign w:val="center"/>
          </w:tcPr>
          <w:p w14:paraId="11FFD666">
            <w:pPr>
              <w:spacing w:line="240" w:lineRule="auto"/>
              <w:ind w:firstLine="0" w:firstLineChars="0"/>
              <w:jc w:val="center"/>
              <w:rPr>
                <w:rFonts w:cs="Times New Roman"/>
                <w:sz w:val="24"/>
                <w:szCs w:val="24"/>
              </w:rPr>
            </w:pPr>
            <w:r>
              <w:rPr>
                <w:rFonts w:cs="Times New Roman"/>
                <w:sz w:val="24"/>
                <w:szCs w:val="24"/>
              </w:rPr>
              <w:t>富营养化风险有效控制</w:t>
            </w:r>
          </w:p>
        </w:tc>
      </w:tr>
    </w:tbl>
    <w:p w14:paraId="612E46EF">
      <w:pPr>
        <w:ind w:firstLine="560"/>
        <w:rPr>
          <w:rFonts w:cs="Times New Roman"/>
        </w:rPr>
      </w:pPr>
      <w:bookmarkStart w:id="225" w:name="_Toc34298234"/>
      <w:bookmarkStart w:id="226" w:name="_Toc1923"/>
      <w:bookmarkStart w:id="227" w:name="_Toc14107"/>
      <w:bookmarkStart w:id="228" w:name="_Toc56803200"/>
      <w:bookmarkStart w:id="229" w:name="_Toc7202"/>
      <w:bookmarkStart w:id="230" w:name="_Toc10986"/>
    </w:p>
    <w:p w14:paraId="11F1328E">
      <w:pPr>
        <w:pStyle w:val="4"/>
        <w:spacing w:after="0"/>
        <w:rPr>
          <w:rFonts w:cs="Times New Roman"/>
          <w:spacing w:val="60"/>
          <w:szCs w:val="28"/>
        </w:rPr>
      </w:pPr>
      <w:bookmarkStart w:id="231" w:name="_Toc15605"/>
      <w:r>
        <w:rPr>
          <w:rFonts w:ascii="Times New Roman" w:hAnsi="Times New Roman" w:cs="Times New Roman"/>
          <w:sz w:val="24"/>
          <w:szCs w:val="24"/>
          <w:lang w:val="en-US"/>
        </w:rPr>
        <w:t>附表2-</w:t>
      </w:r>
      <w:bookmarkEnd w:id="225"/>
      <w:bookmarkStart w:id="232" w:name="_Toc34298235"/>
      <w:r>
        <w:rPr>
          <w:rFonts w:hint="eastAsia" w:ascii="Times New Roman" w:hAnsi="Times New Roman" w:cs="Times New Roman"/>
          <w:sz w:val="24"/>
          <w:szCs w:val="24"/>
          <w:lang w:val="en-US"/>
        </w:rPr>
        <w:t>4</w:t>
      </w:r>
      <w:r>
        <w:rPr>
          <w:rFonts w:ascii="Times New Roman" w:hAnsi="Times New Roman" w:cs="Times New Roman"/>
          <w:sz w:val="24"/>
          <w:szCs w:val="24"/>
          <w:lang w:val="en-US"/>
        </w:rPr>
        <w:t xml:space="preserve"> 河湖生态缓冲带修复的水体清单</w:t>
      </w:r>
      <w:bookmarkEnd w:id="226"/>
      <w:bookmarkEnd w:id="227"/>
      <w:bookmarkEnd w:id="228"/>
      <w:bookmarkEnd w:id="229"/>
      <w:bookmarkEnd w:id="230"/>
      <w:bookmarkEnd w:id="231"/>
      <w:bookmarkEnd w:id="232"/>
    </w:p>
    <w:tbl>
      <w:tblPr>
        <w:tblStyle w:val="19"/>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209"/>
        <w:gridCol w:w="1209"/>
        <w:gridCol w:w="1209"/>
        <w:gridCol w:w="1210"/>
        <w:gridCol w:w="1210"/>
        <w:gridCol w:w="1364"/>
        <w:gridCol w:w="1052"/>
        <w:gridCol w:w="1210"/>
        <w:gridCol w:w="1210"/>
        <w:gridCol w:w="1210"/>
        <w:gridCol w:w="1210"/>
        <w:gridCol w:w="1210"/>
        <w:gridCol w:w="1210"/>
      </w:tblGrid>
      <w:tr w14:paraId="652750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atLeast"/>
          <w:tblHeader/>
          <w:jc w:val="center"/>
        </w:trPr>
        <w:tc>
          <w:tcPr>
            <w:tcW w:w="384" w:type="pct"/>
            <w:tcBorders>
              <w:top w:val="single" w:color="auto" w:sz="8" w:space="0"/>
              <w:left w:val="single" w:color="auto" w:sz="8" w:space="0"/>
              <w:right w:val="single" w:color="auto" w:sz="4" w:space="0"/>
            </w:tcBorders>
            <w:vAlign w:val="center"/>
          </w:tcPr>
          <w:p w14:paraId="158831BB">
            <w:pPr>
              <w:spacing w:line="240" w:lineRule="auto"/>
              <w:ind w:firstLine="0" w:firstLineChars="0"/>
              <w:jc w:val="center"/>
              <w:rPr>
                <w:rFonts w:cs="Times New Roman"/>
                <w:b/>
                <w:bCs/>
                <w:sz w:val="24"/>
                <w:szCs w:val="24"/>
              </w:rPr>
            </w:pPr>
            <w:r>
              <w:rPr>
                <w:rFonts w:cs="Times New Roman"/>
                <w:b/>
                <w:bCs/>
                <w:sz w:val="24"/>
                <w:szCs w:val="24"/>
              </w:rPr>
              <w:t>序号</w:t>
            </w:r>
          </w:p>
        </w:tc>
        <w:tc>
          <w:tcPr>
            <w:tcW w:w="384" w:type="pct"/>
            <w:tcBorders>
              <w:top w:val="single" w:color="auto" w:sz="8" w:space="0"/>
              <w:left w:val="single" w:color="auto" w:sz="4" w:space="0"/>
              <w:right w:val="single" w:color="auto" w:sz="4" w:space="0"/>
            </w:tcBorders>
            <w:vAlign w:val="center"/>
          </w:tcPr>
          <w:p w14:paraId="239C8F6C">
            <w:pPr>
              <w:spacing w:line="240" w:lineRule="auto"/>
              <w:ind w:firstLine="0" w:firstLineChars="0"/>
              <w:jc w:val="center"/>
              <w:rPr>
                <w:rFonts w:cs="Times New Roman"/>
                <w:b/>
                <w:bCs/>
                <w:sz w:val="24"/>
                <w:szCs w:val="24"/>
              </w:rPr>
            </w:pPr>
            <w:r>
              <w:rPr>
                <w:rFonts w:cs="Times New Roman"/>
                <w:b/>
                <w:bCs/>
                <w:sz w:val="24"/>
                <w:szCs w:val="24"/>
              </w:rPr>
              <w:t>省份</w:t>
            </w:r>
          </w:p>
        </w:tc>
        <w:tc>
          <w:tcPr>
            <w:tcW w:w="384" w:type="pct"/>
            <w:tcBorders>
              <w:top w:val="single" w:color="auto" w:sz="8" w:space="0"/>
              <w:left w:val="single" w:color="auto" w:sz="4" w:space="0"/>
              <w:right w:val="single" w:color="auto" w:sz="4" w:space="0"/>
            </w:tcBorders>
            <w:vAlign w:val="center"/>
          </w:tcPr>
          <w:p w14:paraId="388375E1">
            <w:pPr>
              <w:spacing w:line="240" w:lineRule="auto"/>
              <w:ind w:firstLine="0" w:firstLineChars="0"/>
              <w:jc w:val="center"/>
              <w:rPr>
                <w:rFonts w:cs="Times New Roman"/>
                <w:b/>
                <w:bCs/>
                <w:sz w:val="24"/>
                <w:szCs w:val="24"/>
              </w:rPr>
            </w:pPr>
            <w:r>
              <w:rPr>
                <w:rFonts w:cs="Times New Roman"/>
                <w:b/>
                <w:bCs/>
                <w:sz w:val="24"/>
                <w:szCs w:val="24"/>
              </w:rPr>
              <w:t>地市</w:t>
            </w:r>
          </w:p>
        </w:tc>
        <w:tc>
          <w:tcPr>
            <w:tcW w:w="384" w:type="pct"/>
            <w:tcBorders>
              <w:top w:val="single" w:color="auto" w:sz="8" w:space="0"/>
              <w:left w:val="single" w:color="auto" w:sz="4" w:space="0"/>
              <w:right w:val="single" w:color="auto" w:sz="4" w:space="0"/>
            </w:tcBorders>
            <w:vAlign w:val="center"/>
          </w:tcPr>
          <w:p w14:paraId="62FD02DC">
            <w:pPr>
              <w:spacing w:line="240" w:lineRule="auto"/>
              <w:ind w:firstLine="0" w:firstLineChars="0"/>
              <w:jc w:val="center"/>
              <w:rPr>
                <w:rFonts w:cs="Times New Roman"/>
                <w:b/>
                <w:bCs/>
                <w:sz w:val="24"/>
                <w:szCs w:val="24"/>
              </w:rPr>
            </w:pPr>
            <w:r>
              <w:rPr>
                <w:rFonts w:cs="Times New Roman"/>
                <w:b/>
                <w:bCs/>
                <w:sz w:val="24"/>
                <w:szCs w:val="24"/>
              </w:rPr>
              <w:t>区县</w:t>
            </w:r>
          </w:p>
        </w:tc>
        <w:tc>
          <w:tcPr>
            <w:tcW w:w="384" w:type="pct"/>
            <w:tcBorders>
              <w:top w:val="single" w:color="auto" w:sz="8" w:space="0"/>
              <w:left w:val="single" w:color="auto" w:sz="4" w:space="0"/>
              <w:right w:val="single" w:color="auto" w:sz="4" w:space="0"/>
            </w:tcBorders>
            <w:vAlign w:val="center"/>
          </w:tcPr>
          <w:p w14:paraId="0F847F4D">
            <w:pPr>
              <w:spacing w:line="240" w:lineRule="auto"/>
              <w:ind w:firstLine="0" w:firstLineChars="0"/>
              <w:jc w:val="center"/>
              <w:rPr>
                <w:rFonts w:cs="Times New Roman"/>
                <w:b/>
                <w:bCs/>
                <w:sz w:val="24"/>
                <w:szCs w:val="24"/>
              </w:rPr>
            </w:pPr>
            <w:r>
              <w:rPr>
                <w:rFonts w:cs="Times New Roman"/>
                <w:b/>
                <w:bCs/>
                <w:sz w:val="24"/>
                <w:szCs w:val="24"/>
              </w:rPr>
              <w:t>控制单元</w:t>
            </w:r>
          </w:p>
        </w:tc>
        <w:tc>
          <w:tcPr>
            <w:tcW w:w="433" w:type="pct"/>
            <w:tcBorders>
              <w:top w:val="single" w:color="auto" w:sz="8" w:space="0"/>
              <w:left w:val="single" w:color="auto" w:sz="4" w:space="0"/>
              <w:right w:val="single" w:color="auto" w:sz="4" w:space="0"/>
            </w:tcBorders>
            <w:vAlign w:val="center"/>
          </w:tcPr>
          <w:p w14:paraId="5EC9F6D1">
            <w:pPr>
              <w:spacing w:line="240" w:lineRule="auto"/>
              <w:ind w:firstLine="0" w:firstLineChars="0"/>
              <w:jc w:val="center"/>
              <w:rPr>
                <w:rFonts w:cs="Times New Roman"/>
                <w:b/>
                <w:bCs/>
                <w:sz w:val="24"/>
                <w:szCs w:val="24"/>
              </w:rPr>
            </w:pPr>
            <w:r>
              <w:rPr>
                <w:rFonts w:cs="Times New Roman"/>
                <w:b/>
                <w:bCs/>
                <w:sz w:val="24"/>
                <w:szCs w:val="24"/>
              </w:rPr>
              <w:t>水体名称</w:t>
            </w:r>
          </w:p>
        </w:tc>
        <w:tc>
          <w:tcPr>
            <w:tcW w:w="334" w:type="pct"/>
            <w:tcBorders>
              <w:top w:val="single" w:color="auto" w:sz="8" w:space="0"/>
              <w:left w:val="single" w:color="auto" w:sz="4" w:space="0"/>
              <w:right w:val="single" w:color="auto" w:sz="4" w:space="0"/>
            </w:tcBorders>
            <w:vAlign w:val="center"/>
          </w:tcPr>
          <w:p w14:paraId="771FF77F">
            <w:pPr>
              <w:spacing w:line="240" w:lineRule="auto"/>
              <w:ind w:firstLine="0" w:firstLineChars="0"/>
              <w:jc w:val="center"/>
              <w:rPr>
                <w:rFonts w:cs="Times New Roman"/>
                <w:b/>
                <w:bCs/>
                <w:sz w:val="24"/>
                <w:szCs w:val="24"/>
              </w:rPr>
            </w:pPr>
            <w:r>
              <w:rPr>
                <w:rFonts w:cs="Times New Roman"/>
                <w:b/>
                <w:bCs/>
                <w:sz w:val="24"/>
                <w:szCs w:val="24"/>
              </w:rPr>
              <w:t>水体类型</w:t>
            </w:r>
          </w:p>
        </w:tc>
        <w:tc>
          <w:tcPr>
            <w:tcW w:w="384" w:type="pct"/>
            <w:tcBorders>
              <w:top w:val="single" w:color="auto" w:sz="8" w:space="0"/>
              <w:left w:val="single" w:color="auto" w:sz="4" w:space="0"/>
              <w:right w:val="single" w:color="auto" w:sz="4" w:space="0"/>
            </w:tcBorders>
            <w:vAlign w:val="center"/>
          </w:tcPr>
          <w:p w14:paraId="79A37AAD">
            <w:pPr>
              <w:spacing w:line="240" w:lineRule="auto"/>
              <w:ind w:firstLine="0" w:firstLineChars="0"/>
              <w:jc w:val="center"/>
              <w:rPr>
                <w:rFonts w:cs="Times New Roman"/>
                <w:b/>
                <w:bCs/>
                <w:sz w:val="24"/>
                <w:szCs w:val="24"/>
              </w:rPr>
            </w:pPr>
            <w:r>
              <w:rPr>
                <w:rFonts w:cs="Times New Roman"/>
                <w:b/>
                <w:bCs/>
                <w:sz w:val="24"/>
                <w:szCs w:val="24"/>
              </w:rPr>
              <w:t>经度</w:t>
            </w:r>
          </w:p>
        </w:tc>
        <w:tc>
          <w:tcPr>
            <w:tcW w:w="384" w:type="pct"/>
            <w:tcBorders>
              <w:top w:val="single" w:color="auto" w:sz="8" w:space="0"/>
              <w:left w:val="single" w:color="auto" w:sz="4" w:space="0"/>
              <w:right w:val="single" w:color="auto" w:sz="4" w:space="0"/>
            </w:tcBorders>
            <w:vAlign w:val="center"/>
          </w:tcPr>
          <w:p w14:paraId="2AA5A419">
            <w:pPr>
              <w:spacing w:line="240" w:lineRule="auto"/>
              <w:ind w:firstLine="0" w:firstLineChars="0"/>
              <w:jc w:val="center"/>
              <w:rPr>
                <w:rFonts w:cs="Times New Roman"/>
                <w:b/>
                <w:bCs/>
                <w:sz w:val="24"/>
                <w:szCs w:val="24"/>
              </w:rPr>
            </w:pPr>
            <w:r>
              <w:rPr>
                <w:rFonts w:cs="Times New Roman"/>
                <w:b/>
                <w:bCs/>
                <w:sz w:val="24"/>
                <w:szCs w:val="24"/>
              </w:rPr>
              <w:t>纬度</w:t>
            </w:r>
          </w:p>
        </w:tc>
        <w:tc>
          <w:tcPr>
            <w:tcW w:w="384" w:type="pct"/>
            <w:tcBorders>
              <w:top w:val="single" w:color="auto" w:sz="8" w:space="0"/>
              <w:left w:val="single" w:color="auto" w:sz="4" w:space="0"/>
              <w:right w:val="single" w:color="auto" w:sz="4" w:space="0"/>
            </w:tcBorders>
            <w:vAlign w:val="center"/>
          </w:tcPr>
          <w:p w14:paraId="401A7E48">
            <w:pPr>
              <w:spacing w:line="240" w:lineRule="auto"/>
              <w:ind w:firstLine="0" w:firstLineChars="0"/>
              <w:jc w:val="center"/>
              <w:rPr>
                <w:rFonts w:cs="Times New Roman"/>
                <w:b/>
                <w:bCs/>
                <w:sz w:val="24"/>
                <w:szCs w:val="24"/>
              </w:rPr>
            </w:pPr>
            <w:r>
              <w:rPr>
                <w:rFonts w:cs="Times New Roman"/>
                <w:b/>
                <w:bCs/>
                <w:sz w:val="24"/>
                <w:szCs w:val="24"/>
              </w:rPr>
              <w:t>修复长度（km）</w:t>
            </w:r>
          </w:p>
        </w:tc>
        <w:tc>
          <w:tcPr>
            <w:tcW w:w="384" w:type="pct"/>
            <w:tcBorders>
              <w:top w:val="single" w:color="auto" w:sz="8" w:space="0"/>
              <w:left w:val="single" w:color="auto" w:sz="4" w:space="0"/>
              <w:right w:val="single" w:color="auto" w:sz="4" w:space="0"/>
            </w:tcBorders>
            <w:vAlign w:val="center"/>
          </w:tcPr>
          <w:p w14:paraId="7C152F2D">
            <w:pPr>
              <w:spacing w:line="240" w:lineRule="auto"/>
              <w:ind w:firstLine="0" w:firstLineChars="0"/>
              <w:jc w:val="center"/>
              <w:rPr>
                <w:rFonts w:cs="Times New Roman"/>
                <w:b/>
                <w:bCs/>
                <w:sz w:val="24"/>
                <w:szCs w:val="24"/>
              </w:rPr>
            </w:pPr>
            <w:r>
              <w:rPr>
                <w:rFonts w:cs="Times New Roman"/>
                <w:b/>
                <w:bCs/>
                <w:sz w:val="24"/>
                <w:szCs w:val="24"/>
              </w:rPr>
              <w:t>宽度（m）</w:t>
            </w:r>
          </w:p>
        </w:tc>
        <w:tc>
          <w:tcPr>
            <w:tcW w:w="384" w:type="pct"/>
            <w:tcBorders>
              <w:top w:val="single" w:color="auto" w:sz="8" w:space="0"/>
              <w:left w:val="single" w:color="auto" w:sz="4" w:space="0"/>
              <w:right w:val="single" w:color="auto" w:sz="4" w:space="0"/>
            </w:tcBorders>
            <w:vAlign w:val="center"/>
          </w:tcPr>
          <w:p w14:paraId="7D56FE0B">
            <w:pPr>
              <w:spacing w:line="240" w:lineRule="auto"/>
              <w:ind w:firstLine="0" w:firstLineChars="0"/>
              <w:jc w:val="center"/>
              <w:rPr>
                <w:rFonts w:cs="Times New Roman"/>
                <w:b/>
                <w:bCs/>
                <w:sz w:val="24"/>
                <w:szCs w:val="24"/>
              </w:rPr>
            </w:pPr>
            <w:r>
              <w:rPr>
                <w:rFonts w:cs="Times New Roman"/>
                <w:b/>
                <w:bCs/>
                <w:sz w:val="24"/>
                <w:szCs w:val="24"/>
              </w:rPr>
              <w:t>预计完成</w:t>
            </w:r>
          </w:p>
          <w:p w14:paraId="64DE357F">
            <w:pPr>
              <w:spacing w:line="240" w:lineRule="auto"/>
              <w:ind w:firstLine="0" w:firstLineChars="0"/>
              <w:jc w:val="center"/>
              <w:rPr>
                <w:rFonts w:cs="Times New Roman"/>
                <w:b/>
                <w:bCs/>
                <w:sz w:val="24"/>
                <w:szCs w:val="24"/>
              </w:rPr>
            </w:pPr>
            <w:r>
              <w:rPr>
                <w:rFonts w:cs="Times New Roman"/>
                <w:b/>
                <w:bCs/>
                <w:sz w:val="24"/>
                <w:szCs w:val="24"/>
              </w:rPr>
              <w:t>年度</w:t>
            </w:r>
          </w:p>
        </w:tc>
        <w:tc>
          <w:tcPr>
            <w:tcW w:w="384" w:type="pct"/>
            <w:tcBorders>
              <w:top w:val="single" w:color="auto" w:sz="8" w:space="0"/>
              <w:left w:val="single" w:color="auto" w:sz="4" w:space="0"/>
              <w:right w:val="single" w:color="auto" w:sz="8" w:space="0"/>
            </w:tcBorders>
            <w:vAlign w:val="center"/>
          </w:tcPr>
          <w:p w14:paraId="414FAF08">
            <w:pPr>
              <w:spacing w:line="240" w:lineRule="auto"/>
              <w:ind w:firstLine="0" w:firstLineChars="0"/>
              <w:jc w:val="center"/>
              <w:rPr>
                <w:rFonts w:cs="Times New Roman"/>
                <w:b/>
                <w:bCs/>
                <w:sz w:val="24"/>
                <w:szCs w:val="24"/>
              </w:rPr>
            </w:pPr>
            <w:r>
              <w:rPr>
                <w:rFonts w:cs="Times New Roman"/>
                <w:b/>
                <w:bCs/>
                <w:sz w:val="24"/>
                <w:szCs w:val="24"/>
              </w:rPr>
              <w:t>备注</w:t>
            </w:r>
          </w:p>
        </w:tc>
      </w:tr>
      <w:tr w14:paraId="2353D1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384" w:type="pct"/>
            <w:tcBorders>
              <w:left w:val="single" w:color="auto" w:sz="8" w:space="0"/>
              <w:right w:val="single" w:color="auto" w:sz="4" w:space="0"/>
            </w:tcBorders>
            <w:vAlign w:val="center"/>
          </w:tcPr>
          <w:p w14:paraId="7A5512F0">
            <w:pPr>
              <w:widowControl/>
              <w:spacing w:line="240" w:lineRule="auto"/>
              <w:ind w:firstLine="0" w:firstLineChars="0"/>
              <w:jc w:val="center"/>
              <w:rPr>
                <w:rFonts w:cs="Times New Roman"/>
                <w:sz w:val="24"/>
                <w:szCs w:val="24"/>
              </w:rPr>
            </w:pPr>
            <w:r>
              <w:rPr>
                <w:rFonts w:cs="Times New Roman"/>
                <w:sz w:val="24"/>
                <w:szCs w:val="24"/>
              </w:rPr>
              <w:t>1</w:t>
            </w:r>
          </w:p>
        </w:tc>
        <w:tc>
          <w:tcPr>
            <w:tcW w:w="384" w:type="pct"/>
            <w:tcBorders>
              <w:left w:val="single" w:color="auto" w:sz="4" w:space="0"/>
              <w:right w:val="single" w:color="auto" w:sz="4" w:space="0"/>
            </w:tcBorders>
            <w:vAlign w:val="center"/>
          </w:tcPr>
          <w:p w14:paraId="748F47BB">
            <w:pPr>
              <w:widowControl/>
              <w:spacing w:line="240" w:lineRule="auto"/>
              <w:ind w:firstLine="0" w:firstLineChars="0"/>
              <w:jc w:val="center"/>
              <w:rPr>
                <w:rFonts w:cs="Times New Roman"/>
                <w:sz w:val="24"/>
                <w:szCs w:val="24"/>
              </w:rPr>
            </w:pPr>
            <w:r>
              <w:rPr>
                <w:rFonts w:cs="Times New Roman"/>
                <w:sz w:val="24"/>
                <w:szCs w:val="24"/>
              </w:rPr>
              <w:t>辽宁省</w:t>
            </w:r>
          </w:p>
        </w:tc>
        <w:tc>
          <w:tcPr>
            <w:tcW w:w="384" w:type="pct"/>
            <w:tcBorders>
              <w:left w:val="single" w:color="auto" w:sz="4" w:space="0"/>
              <w:right w:val="single" w:color="auto" w:sz="4" w:space="0"/>
            </w:tcBorders>
            <w:vAlign w:val="center"/>
          </w:tcPr>
          <w:p w14:paraId="6B801DCC">
            <w:pPr>
              <w:widowControl/>
              <w:spacing w:line="240" w:lineRule="auto"/>
              <w:ind w:firstLine="0" w:firstLineChars="0"/>
              <w:jc w:val="center"/>
              <w:rPr>
                <w:rFonts w:cs="Times New Roman"/>
                <w:sz w:val="24"/>
                <w:szCs w:val="24"/>
              </w:rPr>
            </w:pPr>
            <w:r>
              <w:rPr>
                <w:rFonts w:cs="Times New Roman"/>
                <w:sz w:val="24"/>
                <w:szCs w:val="24"/>
              </w:rPr>
              <w:t>本溪市</w:t>
            </w:r>
          </w:p>
        </w:tc>
        <w:tc>
          <w:tcPr>
            <w:tcW w:w="384" w:type="pct"/>
            <w:tcBorders>
              <w:left w:val="single" w:color="auto" w:sz="4" w:space="0"/>
              <w:right w:val="single" w:color="auto" w:sz="4" w:space="0"/>
            </w:tcBorders>
            <w:vAlign w:val="center"/>
          </w:tcPr>
          <w:p w14:paraId="58F309BF">
            <w:pPr>
              <w:widowControl/>
              <w:spacing w:line="240" w:lineRule="auto"/>
              <w:ind w:firstLine="0" w:firstLineChars="0"/>
              <w:jc w:val="center"/>
              <w:rPr>
                <w:rFonts w:cs="Times New Roman"/>
                <w:sz w:val="24"/>
                <w:szCs w:val="24"/>
              </w:rPr>
            </w:pPr>
            <w:r>
              <w:rPr>
                <w:rFonts w:cs="Times New Roman"/>
                <w:sz w:val="24"/>
                <w:szCs w:val="24"/>
              </w:rPr>
              <w:t>明山区</w:t>
            </w:r>
          </w:p>
        </w:tc>
        <w:tc>
          <w:tcPr>
            <w:tcW w:w="384" w:type="pct"/>
            <w:tcBorders>
              <w:left w:val="single" w:color="auto" w:sz="4" w:space="0"/>
              <w:right w:val="single" w:color="auto" w:sz="4" w:space="0"/>
            </w:tcBorders>
            <w:vAlign w:val="center"/>
          </w:tcPr>
          <w:p w14:paraId="395EB590">
            <w:pPr>
              <w:spacing w:line="240" w:lineRule="auto"/>
              <w:ind w:firstLine="0" w:firstLineChars="0"/>
              <w:jc w:val="center"/>
              <w:rPr>
                <w:rFonts w:cs="Times New Roman"/>
                <w:sz w:val="24"/>
                <w:szCs w:val="24"/>
              </w:rPr>
            </w:pPr>
            <w:r>
              <w:rPr>
                <w:rFonts w:cs="Times New Roman"/>
                <w:sz w:val="24"/>
                <w:szCs w:val="24"/>
              </w:rPr>
              <w:t>兴安</w:t>
            </w:r>
          </w:p>
        </w:tc>
        <w:tc>
          <w:tcPr>
            <w:tcW w:w="433" w:type="pct"/>
            <w:tcBorders>
              <w:left w:val="single" w:color="auto" w:sz="4" w:space="0"/>
              <w:right w:val="single" w:color="auto" w:sz="4" w:space="0"/>
            </w:tcBorders>
            <w:vAlign w:val="center"/>
          </w:tcPr>
          <w:p w14:paraId="577E891B">
            <w:pPr>
              <w:spacing w:line="240" w:lineRule="auto"/>
              <w:ind w:firstLine="0" w:firstLineChars="0"/>
              <w:jc w:val="center"/>
              <w:rPr>
                <w:rFonts w:cs="Times New Roman"/>
                <w:sz w:val="24"/>
                <w:szCs w:val="24"/>
              </w:rPr>
            </w:pPr>
            <w:r>
              <w:rPr>
                <w:rFonts w:cs="Times New Roman"/>
                <w:sz w:val="24"/>
                <w:szCs w:val="24"/>
              </w:rPr>
              <w:t>太子河</w:t>
            </w:r>
          </w:p>
        </w:tc>
        <w:tc>
          <w:tcPr>
            <w:tcW w:w="334" w:type="pct"/>
            <w:tcBorders>
              <w:left w:val="single" w:color="auto" w:sz="4" w:space="0"/>
              <w:right w:val="single" w:color="auto" w:sz="4" w:space="0"/>
            </w:tcBorders>
            <w:vAlign w:val="center"/>
          </w:tcPr>
          <w:p w14:paraId="186E56B0">
            <w:pPr>
              <w:spacing w:line="240" w:lineRule="auto"/>
              <w:ind w:firstLine="0" w:firstLineChars="0"/>
              <w:jc w:val="center"/>
              <w:rPr>
                <w:rFonts w:cs="Times New Roman"/>
                <w:sz w:val="24"/>
                <w:szCs w:val="24"/>
              </w:rPr>
            </w:pPr>
            <w:r>
              <w:rPr>
                <w:rFonts w:cs="Times New Roman"/>
                <w:sz w:val="24"/>
                <w:szCs w:val="24"/>
              </w:rPr>
              <w:t>河流</w:t>
            </w:r>
          </w:p>
        </w:tc>
        <w:tc>
          <w:tcPr>
            <w:tcW w:w="384" w:type="pct"/>
            <w:tcBorders>
              <w:left w:val="single" w:color="auto" w:sz="4" w:space="0"/>
              <w:right w:val="single" w:color="auto" w:sz="4" w:space="0"/>
            </w:tcBorders>
            <w:vAlign w:val="center"/>
          </w:tcPr>
          <w:p w14:paraId="56F007E9">
            <w:pPr>
              <w:spacing w:line="240" w:lineRule="auto"/>
              <w:ind w:firstLine="0" w:firstLineChars="0"/>
              <w:jc w:val="center"/>
              <w:rPr>
                <w:rFonts w:cs="Times New Roman"/>
                <w:sz w:val="24"/>
                <w:szCs w:val="24"/>
              </w:rPr>
            </w:pPr>
            <w:r>
              <w:rPr>
                <w:rFonts w:cs="Times New Roman"/>
                <w:sz w:val="24"/>
                <w:szCs w:val="24"/>
              </w:rPr>
              <w:t>123.8478</w:t>
            </w:r>
          </w:p>
        </w:tc>
        <w:tc>
          <w:tcPr>
            <w:tcW w:w="384" w:type="pct"/>
            <w:tcBorders>
              <w:left w:val="single" w:color="auto" w:sz="4" w:space="0"/>
              <w:right w:val="single" w:color="auto" w:sz="4" w:space="0"/>
            </w:tcBorders>
            <w:vAlign w:val="center"/>
          </w:tcPr>
          <w:p w14:paraId="4E7810C3">
            <w:pPr>
              <w:spacing w:line="240" w:lineRule="auto"/>
              <w:ind w:firstLine="0" w:firstLineChars="0"/>
              <w:jc w:val="center"/>
              <w:rPr>
                <w:rFonts w:cs="Times New Roman"/>
                <w:sz w:val="24"/>
                <w:szCs w:val="24"/>
              </w:rPr>
            </w:pPr>
            <w:r>
              <w:rPr>
                <w:rFonts w:cs="Times New Roman"/>
                <w:sz w:val="24"/>
                <w:szCs w:val="24"/>
              </w:rPr>
              <w:t>41.3398</w:t>
            </w:r>
          </w:p>
        </w:tc>
        <w:tc>
          <w:tcPr>
            <w:tcW w:w="384" w:type="pct"/>
            <w:tcBorders>
              <w:left w:val="single" w:color="auto" w:sz="4" w:space="0"/>
              <w:right w:val="single" w:color="auto" w:sz="4" w:space="0"/>
            </w:tcBorders>
            <w:vAlign w:val="center"/>
          </w:tcPr>
          <w:p w14:paraId="3DD8A90D">
            <w:pPr>
              <w:spacing w:line="240" w:lineRule="auto"/>
              <w:ind w:firstLine="0" w:firstLineChars="0"/>
              <w:jc w:val="center"/>
              <w:rPr>
                <w:rFonts w:cs="Times New Roman"/>
                <w:sz w:val="24"/>
                <w:szCs w:val="24"/>
                <w:lang w:val="en-US"/>
              </w:rPr>
            </w:pPr>
            <w:r>
              <w:rPr>
                <w:rFonts w:cs="Times New Roman"/>
                <w:sz w:val="24"/>
                <w:szCs w:val="24"/>
                <w:lang w:val="en-US"/>
              </w:rPr>
              <w:t>8.7</w:t>
            </w:r>
          </w:p>
        </w:tc>
        <w:tc>
          <w:tcPr>
            <w:tcW w:w="384" w:type="pct"/>
            <w:tcBorders>
              <w:left w:val="single" w:color="auto" w:sz="4" w:space="0"/>
              <w:right w:val="single" w:color="auto" w:sz="4" w:space="0"/>
            </w:tcBorders>
            <w:vAlign w:val="center"/>
          </w:tcPr>
          <w:p w14:paraId="3AA9E245">
            <w:pPr>
              <w:spacing w:line="240" w:lineRule="auto"/>
              <w:ind w:firstLine="0" w:firstLineChars="0"/>
              <w:jc w:val="center"/>
              <w:rPr>
                <w:rFonts w:cs="Times New Roman"/>
                <w:sz w:val="24"/>
                <w:szCs w:val="24"/>
              </w:rPr>
            </w:pPr>
            <w:r>
              <w:rPr>
                <w:rFonts w:cs="Times New Roman"/>
                <w:sz w:val="24"/>
                <w:szCs w:val="24"/>
              </w:rPr>
              <w:t>—</w:t>
            </w:r>
          </w:p>
        </w:tc>
        <w:tc>
          <w:tcPr>
            <w:tcW w:w="384" w:type="pct"/>
            <w:tcBorders>
              <w:left w:val="single" w:color="auto" w:sz="4" w:space="0"/>
              <w:right w:val="single" w:color="auto" w:sz="4" w:space="0"/>
            </w:tcBorders>
            <w:vAlign w:val="center"/>
          </w:tcPr>
          <w:p w14:paraId="58BC8778">
            <w:pPr>
              <w:spacing w:line="240" w:lineRule="auto"/>
              <w:ind w:firstLine="0" w:firstLineChars="0"/>
              <w:jc w:val="center"/>
              <w:rPr>
                <w:rFonts w:cs="Times New Roman"/>
                <w:sz w:val="24"/>
                <w:szCs w:val="24"/>
              </w:rPr>
            </w:pPr>
            <w:r>
              <w:rPr>
                <w:rFonts w:cs="Times New Roman"/>
                <w:sz w:val="24"/>
                <w:szCs w:val="24"/>
              </w:rPr>
              <w:t>202</w:t>
            </w:r>
            <w:r>
              <w:rPr>
                <w:rFonts w:cs="Times New Roman"/>
                <w:sz w:val="24"/>
                <w:szCs w:val="24"/>
                <w:lang w:val="en-US"/>
              </w:rPr>
              <w:t>4</w:t>
            </w:r>
            <w:r>
              <w:rPr>
                <w:rFonts w:cs="Times New Roman"/>
                <w:sz w:val="24"/>
                <w:szCs w:val="24"/>
              </w:rPr>
              <w:t>年</w:t>
            </w:r>
          </w:p>
        </w:tc>
        <w:tc>
          <w:tcPr>
            <w:tcW w:w="384" w:type="pct"/>
            <w:tcBorders>
              <w:left w:val="single" w:color="auto" w:sz="4" w:space="0"/>
              <w:right w:val="single" w:color="auto" w:sz="8" w:space="0"/>
            </w:tcBorders>
            <w:vAlign w:val="center"/>
          </w:tcPr>
          <w:p w14:paraId="6681266D">
            <w:pPr>
              <w:spacing w:line="240" w:lineRule="auto"/>
              <w:ind w:firstLine="0" w:firstLineChars="0"/>
              <w:jc w:val="center"/>
              <w:rPr>
                <w:rFonts w:cs="Times New Roman"/>
                <w:sz w:val="24"/>
                <w:szCs w:val="24"/>
              </w:rPr>
            </w:pPr>
          </w:p>
        </w:tc>
      </w:tr>
      <w:tr w14:paraId="7A49A0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384" w:type="pct"/>
            <w:tcBorders>
              <w:left w:val="single" w:color="auto" w:sz="8" w:space="0"/>
              <w:right w:val="single" w:color="auto" w:sz="4" w:space="0"/>
            </w:tcBorders>
            <w:vAlign w:val="center"/>
          </w:tcPr>
          <w:p w14:paraId="766DCA43">
            <w:pPr>
              <w:widowControl/>
              <w:spacing w:line="240" w:lineRule="auto"/>
              <w:ind w:firstLine="0" w:firstLineChars="0"/>
              <w:jc w:val="center"/>
              <w:rPr>
                <w:rFonts w:cs="Times New Roman"/>
                <w:sz w:val="24"/>
                <w:szCs w:val="24"/>
              </w:rPr>
            </w:pPr>
            <w:r>
              <w:rPr>
                <w:rFonts w:cs="Times New Roman"/>
                <w:sz w:val="24"/>
                <w:szCs w:val="24"/>
              </w:rPr>
              <w:t>2</w:t>
            </w:r>
          </w:p>
        </w:tc>
        <w:tc>
          <w:tcPr>
            <w:tcW w:w="384" w:type="pct"/>
            <w:tcBorders>
              <w:left w:val="single" w:color="auto" w:sz="4" w:space="0"/>
              <w:right w:val="single" w:color="auto" w:sz="4" w:space="0"/>
            </w:tcBorders>
            <w:vAlign w:val="center"/>
          </w:tcPr>
          <w:p w14:paraId="6167431D">
            <w:pPr>
              <w:widowControl/>
              <w:spacing w:line="240" w:lineRule="auto"/>
              <w:ind w:firstLine="0" w:firstLineChars="0"/>
              <w:jc w:val="center"/>
              <w:rPr>
                <w:rFonts w:cs="Times New Roman"/>
                <w:sz w:val="24"/>
                <w:szCs w:val="24"/>
              </w:rPr>
            </w:pPr>
            <w:r>
              <w:rPr>
                <w:rFonts w:cs="Times New Roman"/>
                <w:sz w:val="24"/>
                <w:szCs w:val="24"/>
              </w:rPr>
              <w:t>辽宁省</w:t>
            </w:r>
          </w:p>
        </w:tc>
        <w:tc>
          <w:tcPr>
            <w:tcW w:w="384" w:type="pct"/>
            <w:tcBorders>
              <w:left w:val="single" w:color="auto" w:sz="4" w:space="0"/>
              <w:right w:val="single" w:color="auto" w:sz="4" w:space="0"/>
            </w:tcBorders>
            <w:vAlign w:val="center"/>
          </w:tcPr>
          <w:p w14:paraId="5E780E18">
            <w:pPr>
              <w:widowControl/>
              <w:spacing w:line="240" w:lineRule="auto"/>
              <w:ind w:firstLine="0" w:firstLineChars="0"/>
              <w:jc w:val="center"/>
              <w:rPr>
                <w:rFonts w:cs="Times New Roman"/>
                <w:sz w:val="24"/>
                <w:szCs w:val="24"/>
              </w:rPr>
            </w:pPr>
            <w:r>
              <w:rPr>
                <w:rFonts w:cs="Times New Roman"/>
                <w:sz w:val="24"/>
                <w:szCs w:val="24"/>
              </w:rPr>
              <w:t>本溪市</w:t>
            </w:r>
          </w:p>
        </w:tc>
        <w:tc>
          <w:tcPr>
            <w:tcW w:w="384" w:type="pct"/>
            <w:tcBorders>
              <w:left w:val="single" w:color="auto" w:sz="4" w:space="0"/>
              <w:right w:val="single" w:color="auto" w:sz="4" w:space="0"/>
            </w:tcBorders>
            <w:vAlign w:val="center"/>
          </w:tcPr>
          <w:p w14:paraId="65ABE31A">
            <w:pPr>
              <w:widowControl/>
              <w:spacing w:line="240" w:lineRule="auto"/>
              <w:ind w:firstLine="0" w:firstLineChars="0"/>
              <w:jc w:val="center"/>
              <w:rPr>
                <w:rFonts w:cs="Times New Roman"/>
                <w:sz w:val="24"/>
                <w:szCs w:val="24"/>
              </w:rPr>
            </w:pPr>
            <w:r>
              <w:rPr>
                <w:rFonts w:cs="Times New Roman"/>
                <w:sz w:val="24"/>
                <w:szCs w:val="24"/>
              </w:rPr>
              <w:t>高新区</w:t>
            </w:r>
          </w:p>
        </w:tc>
        <w:tc>
          <w:tcPr>
            <w:tcW w:w="384" w:type="pct"/>
            <w:tcBorders>
              <w:left w:val="single" w:color="auto" w:sz="4" w:space="0"/>
              <w:right w:val="single" w:color="auto" w:sz="4" w:space="0"/>
            </w:tcBorders>
            <w:vAlign w:val="center"/>
          </w:tcPr>
          <w:p w14:paraId="6C22AD1E">
            <w:pPr>
              <w:spacing w:line="240" w:lineRule="auto"/>
              <w:ind w:firstLine="0" w:firstLineChars="0"/>
              <w:jc w:val="center"/>
              <w:rPr>
                <w:rFonts w:cs="Times New Roman"/>
                <w:sz w:val="24"/>
                <w:szCs w:val="24"/>
              </w:rPr>
            </w:pPr>
            <w:r>
              <w:rPr>
                <w:rFonts w:cs="Times New Roman"/>
                <w:sz w:val="24"/>
                <w:szCs w:val="24"/>
              </w:rPr>
              <w:t>姚千户桥</w:t>
            </w:r>
          </w:p>
        </w:tc>
        <w:tc>
          <w:tcPr>
            <w:tcW w:w="433" w:type="pct"/>
            <w:tcBorders>
              <w:left w:val="single" w:color="auto" w:sz="4" w:space="0"/>
              <w:right w:val="single" w:color="auto" w:sz="4" w:space="0"/>
            </w:tcBorders>
            <w:vAlign w:val="center"/>
          </w:tcPr>
          <w:p w14:paraId="14E8A779">
            <w:pPr>
              <w:spacing w:line="240" w:lineRule="auto"/>
              <w:ind w:firstLine="0" w:firstLineChars="0"/>
              <w:jc w:val="center"/>
              <w:rPr>
                <w:rFonts w:cs="Times New Roman"/>
                <w:sz w:val="24"/>
                <w:szCs w:val="24"/>
              </w:rPr>
            </w:pPr>
            <w:r>
              <w:rPr>
                <w:rFonts w:cs="Times New Roman"/>
                <w:sz w:val="24"/>
                <w:szCs w:val="24"/>
              </w:rPr>
              <w:t>北沙河</w:t>
            </w:r>
          </w:p>
        </w:tc>
        <w:tc>
          <w:tcPr>
            <w:tcW w:w="334" w:type="pct"/>
            <w:tcBorders>
              <w:left w:val="single" w:color="auto" w:sz="4" w:space="0"/>
              <w:right w:val="single" w:color="auto" w:sz="4" w:space="0"/>
            </w:tcBorders>
            <w:vAlign w:val="center"/>
          </w:tcPr>
          <w:p w14:paraId="57BD02BD">
            <w:pPr>
              <w:spacing w:line="240" w:lineRule="auto"/>
              <w:ind w:firstLine="0" w:firstLineChars="0"/>
              <w:jc w:val="center"/>
              <w:rPr>
                <w:rFonts w:cs="Times New Roman"/>
                <w:sz w:val="24"/>
                <w:szCs w:val="24"/>
              </w:rPr>
            </w:pPr>
            <w:r>
              <w:rPr>
                <w:rFonts w:cs="Times New Roman"/>
                <w:sz w:val="24"/>
                <w:szCs w:val="24"/>
              </w:rPr>
              <w:t>河流</w:t>
            </w:r>
          </w:p>
        </w:tc>
        <w:tc>
          <w:tcPr>
            <w:tcW w:w="384" w:type="pct"/>
            <w:tcBorders>
              <w:left w:val="single" w:color="auto" w:sz="4" w:space="0"/>
              <w:right w:val="single" w:color="auto" w:sz="4" w:space="0"/>
            </w:tcBorders>
            <w:vAlign w:val="center"/>
          </w:tcPr>
          <w:p w14:paraId="09400CF7">
            <w:pPr>
              <w:spacing w:line="240" w:lineRule="auto"/>
              <w:ind w:firstLine="0" w:firstLineChars="0"/>
              <w:jc w:val="center"/>
              <w:rPr>
                <w:rFonts w:cs="Times New Roman"/>
                <w:sz w:val="24"/>
                <w:szCs w:val="24"/>
              </w:rPr>
            </w:pPr>
            <w:r>
              <w:rPr>
                <w:rFonts w:cs="Times New Roman"/>
                <w:sz w:val="24"/>
                <w:szCs w:val="24"/>
              </w:rPr>
              <w:t>123.7439</w:t>
            </w:r>
          </w:p>
        </w:tc>
        <w:tc>
          <w:tcPr>
            <w:tcW w:w="384" w:type="pct"/>
            <w:tcBorders>
              <w:left w:val="single" w:color="auto" w:sz="4" w:space="0"/>
              <w:right w:val="single" w:color="auto" w:sz="4" w:space="0"/>
            </w:tcBorders>
            <w:vAlign w:val="center"/>
          </w:tcPr>
          <w:p w14:paraId="46AFA28E">
            <w:pPr>
              <w:spacing w:line="240" w:lineRule="auto"/>
              <w:ind w:firstLine="0" w:firstLineChars="0"/>
              <w:jc w:val="center"/>
              <w:rPr>
                <w:rFonts w:cs="Times New Roman"/>
                <w:sz w:val="24"/>
                <w:szCs w:val="24"/>
              </w:rPr>
            </w:pPr>
            <w:r>
              <w:rPr>
                <w:rFonts w:cs="Times New Roman"/>
                <w:sz w:val="24"/>
                <w:szCs w:val="24"/>
              </w:rPr>
              <w:t>41.5024</w:t>
            </w:r>
          </w:p>
        </w:tc>
        <w:tc>
          <w:tcPr>
            <w:tcW w:w="384" w:type="pct"/>
            <w:tcBorders>
              <w:left w:val="single" w:color="auto" w:sz="4" w:space="0"/>
              <w:right w:val="single" w:color="auto" w:sz="4" w:space="0"/>
            </w:tcBorders>
            <w:vAlign w:val="center"/>
          </w:tcPr>
          <w:p w14:paraId="5E6A682A">
            <w:pPr>
              <w:spacing w:line="240" w:lineRule="auto"/>
              <w:ind w:firstLine="0" w:firstLineChars="0"/>
              <w:jc w:val="center"/>
              <w:rPr>
                <w:rFonts w:cs="Times New Roman"/>
                <w:sz w:val="24"/>
                <w:szCs w:val="24"/>
              </w:rPr>
            </w:pPr>
            <w:r>
              <w:rPr>
                <w:rFonts w:cs="Times New Roman"/>
                <w:sz w:val="24"/>
                <w:szCs w:val="24"/>
              </w:rPr>
              <w:t>20</w:t>
            </w:r>
          </w:p>
        </w:tc>
        <w:tc>
          <w:tcPr>
            <w:tcW w:w="384" w:type="pct"/>
            <w:tcBorders>
              <w:left w:val="single" w:color="auto" w:sz="4" w:space="0"/>
              <w:right w:val="single" w:color="auto" w:sz="4" w:space="0"/>
            </w:tcBorders>
            <w:vAlign w:val="center"/>
          </w:tcPr>
          <w:p w14:paraId="7017A528">
            <w:pPr>
              <w:spacing w:line="240" w:lineRule="auto"/>
              <w:ind w:firstLine="0" w:firstLineChars="0"/>
              <w:jc w:val="center"/>
              <w:rPr>
                <w:rFonts w:cs="Times New Roman"/>
                <w:sz w:val="24"/>
                <w:szCs w:val="24"/>
              </w:rPr>
            </w:pPr>
            <w:r>
              <w:rPr>
                <w:rFonts w:cs="Times New Roman"/>
                <w:sz w:val="24"/>
                <w:szCs w:val="24"/>
              </w:rPr>
              <w:t>—</w:t>
            </w:r>
          </w:p>
        </w:tc>
        <w:tc>
          <w:tcPr>
            <w:tcW w:w="384" w:type="pct"/>
            <w:tcBorders>
              <w:left w:val="single" w:color="auto" w:sz="4" w:space="0"/>
              <w:right w:val="single" w:color="auto" w:sz="4" w:space="0"/>
            </w:tcBorders>
            <w:vAlign w:val="center"/>
          </w:tcPr>
          <w:p w14:paraId="1CCE84C2">
            <w:pPr>
              <w:spacing w:line="240" w:lineRule="auto"/>
              <w:ind w:firstLine="0" w:firstLineChars="0"/>
              <w:jc w:val="center"/>
              <w:rPr>
                <w:rFonts w:cs="Times New Roman"/>
                <w:sz w:val="24"/>
                <w:szCs w:val="24"/>
              </w:rPr>
            </w:pPr>
            <w:r>
              <w:rPr>
                <w:rFonts w:cs="Times New Roman"/>
                <w:sz w:val="24"/>
                <w:szCs w:val="24"/>
              </w:rPr>
              <w:t>2025年</w:t>
            </w:r>
          </w:p>
        </w:tc>
        <w:tc>
          <w:tcPr>
            <w:tcW w:w="384" w:type="pct"/>
            <w:tcBorders>
              <w:left w:val="single" w:color="auto" w:sz="4" w:space="0"/>
              <w:right w:val="single" w:color="auto" w:sz="8" w:space="0"/>
            </w:tcBorders>
            <w:vAlign w:val="center"/>
          </w:tcPr>
          <w:p w14:paraId="5756D574">
            <w:pPr>
              <w:spacing w:line="240" w:lineRule="auto"/>
              <w:ind w:firstLine="0" w:firstLineChars="0"/>
              <w:jc w:val="center"/>
              <w:rPr>
                <w:rFonts w:cs="Times New Roman"/>
                <w:sz w:val="24"/>
                <w:szCs w:val="24"/>
              </w:rPr>
            </w:pPr>
          </w:p>
        </w:tc>
      </w:tr>
      <w:tr w14:paraId="5C3F46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384" w:type="pct"/>
            <w:tcBorders>
              <w:left w:val="single" w:color="auto" w:sz="8" w:space="0"/>
              <w:bottom w:val="single" w:color="auto" w:sz="8" w:space="0"/>
              <w:right w:val="single" w:color="auto" w:sz="4" w:space="0"/>
            </w:tcBorders>
            <w:vAlign w:val="center"/>
          </w:tcPr>
          <w:p w14:paraId="1B1A8A18">
            <w:pPr>
              <w:spacing w:line="240" w:lineRule="auto"/>
              <w:ind w:firstLine="0" w:firstLineChars="0"/>
              <w:jc w:val="center"/>
              <w:rPr>
                <w:rFonts w:cs="Times New Roman"/>
                <w:sz w:val="24"/>
                <w:szCs w:val="24"/>
              </w:rPr>
            </w:pPr>
            <w:r>
              <w:rPr>
                <w:rFonts w:cs="Times New Roman"/>
                <w:sz w:val="24"/>
                <w:szCs w:val="24"/>
              </w:rPr>
              <w:t>3</w:t>
            </w:r>
          </w:p>
        </w:tc>
        <w:tc>
          <w:tcPr>
            <w:tcW w:w="384" w:type="pct"/>
            <w:tcBorders>
              <w:left w:val="single" w:color="auto" w:sz="4" w:space="0"/>
              <w:bottom w:val="single" w:color="auto" w:sz="8" w:space="0"/>
              <w:right w:val="single" w:color="auto" w:sz="4" w:space="0"/>
            </w:tcBorders>
            <w:vAlign w:val="center"/>
          </w:tcPr>
          <w:p w14:paraId="3BA04FB0">
            <w:pPr>
              <w:widowControl/>
              <w:spacing w:line="240" w:lineRule="auto"/>
              <w:ind w:firstLine="0" w:firstLineChars="0"/>
              <w:jc w:val="center"/>
              <w:rPr>
                <w:rFonts w:cs="Times New Roman"/>
                <w:sz w:val="24"/>
                <w:szCs w:val="24"/>
              </w:rPr>
            </w:pPr>
            <w:r>
              <w:rPr>
                <w:rFonts w:cs="Times New Roman"/>
                <w:sz w:val="24"/>
                <w:szCs w:val="24"/>
              </w:rPr>
              <w:t>辽宁省</w:t>
            </w:r>
          </w:p>
        </w:tc>
        <w:tc>
          <w:tcPr>
            <w:tcW w:w="384" w:type="pct"/>
            <w:tcBorders>
              <w:left w:val="single" w:color="auto" w:sz="4" w:space="0"/>
              <w:bottom w:val="single" w:color="auto" w:sz="8" w:space="0"/>
              <w:right w:val="single" w:color="auto" w:sz="4" w:space="0"/>
            </w:tcBorders>
            <w:vAlign w:val="center"/>
          </w:tcPr>
          <w:p w14:paraId="281E10E5">
            <w:pPr>
              <w:widowControl/>
              <w:spacing w:line="240" w:lineRule="auto"/>
              <w:ind w:firstLine="0" w:firstLineChars="0"/>
              <w:jc w:val="center"/>
              <w:rPr>
                <w:rFonts w:cs="Times New Roman"/>
                <w:sz w:val="24"/>
                <w:szCs w:val="24"/>
              </w:rPr>
            </w:pPr>
            <w:r>
              <w:rPr>
                <w:rFonts w:cs="Times New Roman"/>
                <w:sz w:val="24"/>
                <w:szCs w:val="24"/>
              </w:rPr>
              <w:t>本溪市</w:t>
            </w:r>
          </w:p>
        </w:tc>
        <w:tc>
          <w:tcPr>
            <w:tcW w:w="384" w:type="pct"/>
            <w:tcBorders>
              <w:left w:val="single" w:color="auto" w:sz="4" w:space="0"/>
              <w:bottom w:val="single" w:color="auto" w:sz="8" w:space="0"/>
              <w:right w:val="single" w:color="auto" w:sz="4" w:space="0"/>
            </w:tcBorders>
            <w:vAlign w:val="center"/>
          </w:tcPr>
          <w:p w14:paraId="34C49065">
            <w:pPr>
              <w:spacing w:line="240" w:lineRule="auto"/>
              <w:ind w:firstLine="0" w:firstLineChars="0"/>
              <w:jc w:val="center"/>
              <w:rPr>
                <w:rFonts w:cs="Times New Roman"/>
                <w:sz w:val="24"/>
                <w:szCs w:val="24"/>
              </w:rPr>
            </w:pPr>
            <w:r>
              <w:rPr>
                <w:rFonts w:cs="Times New Roman"/>
                <w:sz w:val="24"/>
                <w:szCs w:val="24"/>
              </w:rPr>
              <w:t>本溪县</w:t>
            </w:r>
          </w:p>
        </w:tc>
        <w:tc>
          <w:tcPr>
            <w:tcW w:w="384" w:type="pct"/>
            <w:tcBorders>
              <w:left w:val="single" w:color="auto" w:sz="4" w:space="0"/>
              <w:bottom w:val="single" w:color="auto" w:sz="8" w:space="0"/>
              <w:right w:val="single" w:color="auto" w:sz="4" w:space="0"/>
            </w:tcBorders>
            <w:vAlign w:val="center"/>
          </w:tcPr>
          <w:p w14:paraId="12B512FB">
            <w:pPr>
              <w:spacing w:line="240" w:lineRule="auto"/>
              <w:ind w:firstLine="0" w:firstLineChars="0"/>
              <w:jc w:val="center"/>
              <w:rPr>
                <w:rFonts w:cs="Times New Roman"/>
                <w:sz w:val="24"/>
                <w:szCs w:val="24"/>
              </w:rPr>
            </w:pPr>
            <w:r>
              <w:rPr>
                <w:rFonts w:cs="Times New Roman"/>
                <w:sz w:val="24"/>
                <w:szCs w:val="24"/>
              </w:rPr>
              <w:t>赛梨寨</w:t>
            </w:r>
          </w:p>
        </w:tc>
        <w:tc>
          <w:tcPr>
            <w:tcW w:w="433" w:type="pct"/>
            <w:tcBorders>
              <w:left w:val="single" w:color="auto" w:sz="4" w:space="0"/>
              <w:bottom w:val="single" w:color="auto" w:sz="8" w:space="0"/>
              <w:right w:val="single" w:color="auto" w:sz="4" w:space="0"/>
            </w:tcBorders>
            <w:vAlign w:val="center"/>
          </w:tcPr>
          <w:p w14:paraId="6C7CA2DF">
            <w:pPr>
              <w:spacing w:line="240" w:lineRule="auto"/>
              <w:ind w:firstLine="0" w:firstLineChars="0"/>
              <w:jc w:val="center"/>
              <w:rPr>
                <w:rFonts w:cs="Times New Roman"/>
                <w:sz w:val="24"/>
                <w:szCs w:val="24"/>
              </w:rPr>
            </w:pPr>
            <w:r>
              <w:rPr>
                <w:rFonts w:cs="Times New Roman"/>
                <w:sz w:val="24"/>
                <w:szCs w:val="24"/>
              </w:rPr>
              <w:t>观音阁水库</w:t>
            </w:r>
          </w:p>
        </w:tc>
        <w:tc>
          <w:tcPr>
            <w:tcW w:w="334" w:type="pct"/>
            <w:tcBorders>
              <w:left w:val="single" w:color="auto" w:sz="4" w:space="0"/>
              <w:bottom w:val="single" w:color="auto" w:sz="8" w:space="0"/>
              <w:right w:val="single" w:color="auto" w:sz="4" w:space="0"/>
            </w:tcBorders>
            <w:vAlign w:val="center"/>
          </w:tcPr>
          <w:p w14:paraId="24C21501">
            <w:pPr>
              <w:spacing w:line="240" w:lineRule="auto"/>
              <w:ind w:firstLine="0" w:firstLineChars="0"/>
              <w:jc w:val="center"/>
              <w:rPr>
                <w:rFonts w:cs="Times New Roman"/>
                <w:sz w:val="24"/>
                <w:szCs w:val="24"/>
              </w:rPr>
            </w:pPr>
            <w:r>
              <w:rPr>
                <w:rFonts w:cs="Times New Roman"/>
                <w:sz w:val="24"/>
                <w:szCs w:val="24"/>
              </w:rPr>
              <w:t>湖库</w:t>
            </w:r>
          </w:p>
        </w:tc>
        <w:tc>
          <w:tcPr>
            <w:tcW w:w="384" w:type="pct"/>
            <w:tcBorders>
              <w:left w:val="single" w:color="auto" w:sz="4" w:space="0"/>
              <w:bottom w:val="single" w:color="auto" w:sz="8" w:space="0"/>
              <w:right w:val="single" w:color="auto" w:sz="4" w:space="0"/>
            </w:tcBorders>
            <w:vAlign w:val="center"/>
          </w:tcPr>
          <w:p w14:paraId="4BA24FE6">
            <w:pPr>
              <w:spacing w:line="240" w:lineRule="auto"/>
              <w:ind w:firstLine="0" w:firstLineChars="0"/>
              <w:jc w:val="center"/>
              <w:rPr>
                <w:rFonts w:cs="Times New Roman"/>
                <w:sz w:val="24"/>
                <w:szCs w:val="24"/>
              </w:rPr>
            </w:pPr>
            <w:r>
              <w:rPr>
                <w:rFonts w:cs="Times New Roman"/>
                <w:sz w:val="24"/>
                <w:szCs w:val="24"/>
              </w:rPr>
              <w:t>124.2128</w:t>
            </w:r>
          </w:p>
        </w:tc>
        <w:tc>
          <w:tcPr>
            <w:tcW w:w="384" w:type="pct"/>
            <w:tcBorders>
              <w:left w:val="single" w:color="auto" w:sz="4" w:space="0"/>
              <w:bottom w:val="single" w:color="auto" w:sz="8" w:space="0"/>
              <w:right w:val="single" w:color="auto" w:sz="4" w:space="0"/>
            </w:tcBorders>
            <w:vAlign w:val="center"/>
          </w:tcPr>
          <w:p w14:paraId="3B4EEE5E">
            <w:pPr>
              <w:spacing w:line="240" w:lineRule="auto"/>
              <w:ind w:firstLine="0" w:firstLineChars="0"/>
              <w:jc w:val="center"/>
              <w:rPr>
                <w:rFonts w:cs="Times New Roman"/>
                <w:sz w:val="24"/>
                <w:szCs w:val="24"/>
              </w:rPr>
            </w:pPr>
            <w:r>
              <w:rPr>
                <w:rFonts w:cs="Times New Roman"/>
                <w:sz w:val="24"/>
                <w:szCs w:val="24"/>
              </w:rPr>
              <w:t>41.3299</w:t>
            </w:r>
          </w:p>
        </w:tc>
        <w:tc>
          <w:tcPr>
            <w:tcW w:w="384" w:type="pct"/>
            <w:tcBorders>
              <w:left w:val="single" w:color="auto" w:sz="4" w:space="0"/>
              <w:bottom w:val="single" w:color="auto" w:sz="8" w:space="0"/>
              <w:right w:val="single" w:color="auto" w:sz="4" w:space="0"/>
            </w:tcBorders>
            <w:vAlign w:val="center"/>
          </w:tcPr>
          <w:p w14:paraId="32BDDF68">
            <w:pPr>
              <w:spacing w:line="240" w:lineRule="auto"/>
              <w:ind w:firstLine="0" w:firstLineChars="0"/>
              <w:jc w:val="center"/>
              <w:rPr>
                <w:rFonts w:cs="Times New Roman"/>
                <w:sz w:val="24"/>
                <w:szCs w:val="24"/>
              </w:rPr>
            </w:pPr>
            <w:r>
              <w:rPr>
                <w:rFonts w:cs="Times New Roman"/>
                <w:sz w:val="24"/>
                <w:szCs w:val="24"/>
              </w:rPr>
              <w:t>10</w:t>
            </w:r>
          </w:p>
        </w:tc>
        <w:tc>
          <w:tcPr>
            <w:tcW w:w="384" w:type="pct"/>
            <w:tcBorders>
              <w:left w:val="single" w:color="auto" w:sz="4" w:space="0"/>
              <w:bottom w:val="single" w:color="auto" w:sz="8" w:space="0"/>
              <w:right w:val="single" w:color="auto" w:sz="4" w:space="0"/>
            </w:tcBorders>
            <w:vAlign w:val="center"/>
          </w:tcPr>
          <w:p w14:paraId="3996B854">
            <w:pPr>
              <w:spacing w:line="240" w:lineRule="auto"/>
              <w:ind w:firstLine="0" w:firstLineChars="0"/>
              <w:jc w:val="center"/>
              <w:rPr>
                <w:rFonts w:cs="Times New Roman"/>
                <w:sz w:val="24"/>
                <w:szCs w:val="24"/>
              </w:rPr>
            </w:pPr>
            <w:r>
              <w:rPr>
                <w:rFonts w:cs="Times New Roman"/>
                <w:sz w:val="24"/>
                <w:szCs w:val="24"/>
              </w:rPr>
              <w:t>—</w:t>
            </w:r>
          </w:p>
        </w:tc>
        <w:tc>
          <w:tcPr>
            <w:tcW w:w="384" w:type="pct"/>
            <w:tcBorders>
              <w:left w:val="single" w:color="auto" w:sz="4" w:space="0"/>
              <w:bottom w:val="single" w:color="auto" w:sz="8" w:space="0"/>
              <w:right w:val="single" w:color="auto" w:sz="4" w:space="0"/>
            </w:tcBorders>
            <w:vAlign w:val="center"/>
          </w:tcPr>
          <w:p w14:paraId="34713AE9">
            <w:pPr>
              <w:spacing w:line="240" w:lineRule="auto"/>
              <w:ind w:firstLine="0" w:firstLineChars="0"/>
              <w:jc w:val="center"/>
              <w:rPr>
                <w:rFonts w:cs="Times New Roman"/>
                <w:sz w:val="24"/>
                <w:szCs w:val="24"/>
              </w:rPr>
            </w:pPr>
            <w:r>
              <w:rPr>
                <w:rFonts w:cs="Times New Roman"/>
                <w:sz w:val="24"/>
                <w:szCs w:val="24"/>
              </w:rPr>
              <w:t>2030年</w:t>
            </w:r>
          </w:p>
        </w:tc>
        <w:tc>
          <w:tcPr>
            <w:tcW w:w="384" w:type="pct"/>
            <w:tcBorders>
              <w:left w:val="single" w:color="auto" w:sz="4" w:space="0"/>
              <w:bottom w:val="single" w:color="auto" w:sz="8" w:space="0"/>
              <w:right w:val="single" w:color="auto" w:sz="8" w:space="0"/>
            </w:tcBorders>
            <w:vAlign w:val="center"/>
          </w:tcPr>
          <w:p w14:paraId="38B8B72B">
            <w:pPr>
              <w:spacing w:line="240" w:lineRule="auto"/>
              <w:ind w:firstLine="0" w:firstLineChars="0"/>
              <w:jc w:val="center"/>
              <w:rPr>
                <w:rFonts w:cs="Times New Roman"/>
                <w:sz w:val="24"/>
                <w:szCs w:val="24"/>
              </w:rPr>
            </w:pPr>
          </w:p>
        </w:tc>
      </w:tr>
    </w:tbl>
    <w:p w14:paraId="55F2DDDE">
      <w:pPr>
        <w:spacing w:line="240" w:lineRule="auto"/>
        <w:ind w:firstLine="480"/>
        <w:rPr>
          <w:rFonts w:cs="Times New Roman"/>
          <w:sz w:val="24"/>
          <w:szCs w:val="24"/>
        </w:rPr>
      </w:pPr>
    </w:p>
    <w:p w14:paraId="6766BE63">
      <w:pPr>
        <w:ind w:firstLine="480"/>
        <w:rPr>
          <w:rFonts w:cs="Times New Roman"/>
          <w:sz w:val="24"/>
          <w:szCs w:val="24"/>
        </w:rPr>
      </w:pPr>
      <w:r>
        <w:rPr>
          <w:rFonts w:cs="Times New Roman"/>
          <w:sz w:val="24"/>
          <w:szCs w:val="24"/>
        </w:rPr>
        <w:br w:type="page"/>
      </w:r>
    </w:p>
    <w:p w14:paraId="59B3DEDE">
      <w:pPr>
        <w:pStyle w:val="4"/>
        <w:spacing w:after="0"/>
        <w:rPr>
          <w:rFonts w:cs="Times New Roman"/>
        </w:rPr>
      </w:pPr>
      <w:bookmarkStart w:id="233" w:name="_Toc34298236"/>
      <w:bookmarkStart w:id="234" w:name="_Toc10256"/>
      <w:bookmarkStart w:id="235" w:name="_Toc25604"/>
      <w:bookmarkStart w:id="236" w:name="_Toc4785"/>
      <w:bookmarkStart w:id="237" w:name="_Toc30010"/>
      <w:bookmarkStart w:id="238" w:name="_Toc791"/>
      <w:bookmarkStart w:id="239" w:name="_Toc56803201"/>
      <w:r>
        <w:rPr>
          <w:rFonts w:ascii="Times New Roman" w:hAnsi="Times New Roman" w:cs="Times New Roman"/>
          <w:sz w:val="24"/>
          <w:szCs w:val="24"/>
          <w:lang w:val="en-US"/>
        </w:rPr>
        <w:t>附表2-</w:t>
      </w:r>
      <w:bookmarkEnd w:id="233"/>
      <w:bookmarkStart w:id="240" w:name="_Toc34298237"/>
      <w:r>
        <w:rPr>
          <w:rFonts w:hint="eastAsia" w:ascii="Times New Roman" w:hAnsi="Times New Roman" w:cs="Times New Roman"/>
          <w:sz w:val="24"/>
          <w:szCs w:val="24"/>
          <w:lang w:val="en-US"/>
        </w:rPr>
        <w:t>5</w:t>
      </w:r>
      <w:r>
        <w:rPr>
          <w:rFonts w:ascii="Times New Roman" w:hAnsi="Times New Roman" w:cs="Times New Roman"/>
          <w:sz w:val="24"/>
          <w:szCs w:val="24"/>
          <w:lang w:val="en-US"/>
        </w:rPr>
        <w:t xml:space="preserve"> 湿地恢复（建设）清单</w:t>
      </w:r>
      <w:bookmarkEnd w:id="234"/>
      <w:bookmarkEnd w:id="235"/>
      <w:bookmarkEnd w:id="236"/>
      <w:bookmarkEnd w:id="237"/>
      <w:bookmarkEnd w:id="238"/>
      <w:bookmarkEnd w:id="239"/>
      <w:bookmarkEnd w:id="240"/>
    </w:p>
    <w:p w14:paraId="3EB1D691">
      <w:pPr>
        <w:pStyle w:val="4"/>
        <w:spacing w:after="0"/>
        <w:rPr>
          <w:rFonts w:cs="Times New Roman"/>
          <w:b w:val="0"/>
          <w:bCs w:val="0"/>
        </w:rPr>
      </w:pPr>
      <w:bookmarkStart w:id="241" w:name="_Toc30277"/>
      <w:r>
        <w:rPr>
          <w:rFonts w:ascii="Times New Roman" w:hAnsi="Times New Roman" w:cs="Times New Roman"/>
          <w:sz w:val="24"/>
          <w:szCs w:val="24"/>
          <w:lang w:val="en-US"/>
        </w:rPr>
        <w:t>附表2-</w:t>
      </w:r>
      <w:r>
        <w:rPr>
          <w:rFonts w:hint="eastAsia" w:ascii="Times New Roman" w:hAnsi="Times New Roman" w:cs="Times New Roman"/>
          <w:sz w:val="24"/>
          <w:szCs w:val="24"/>
          <w:lang w:val="en-US"/>
        </w:rPr>
        <w:t>5</w:t>
      </w:r>
      <w:r>
        <w:rPr>
          <w:rFonts w:ascii="Times New Roman" w:hAnsi="Times New Roman" w:cs="Times New Roman"/>
          <w:sz w:val="24"/>
          <w:szCs w:val="24"/>
          <w:lang w:val="en-US"/>
        </w:rPr>
        <w:t>-1  天然湿地恢复目标表</w:t>
      </w:r>
      <w:bookmarkEnd w:id="241"/>
    </w:p>
    <w:tbl>
      <w:tblPr>
        <w:tblStyle w:val="19"/>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547"/>
        <w:gridCol w:w="547"/>
        <w:gridCol w:w="547"/>
        <w:gridCol w:w="548"/>
        <w:gridCol w:w="1086"/>
        <w:gridCol w:w="1303"/>
        <w:gridCol w:w="1504"/>
        <w:gridCol w:w="3766"/>
        <w:gridCol w:w="3694"/>
        <w:gridCol w:w="1630"/>
        <w:gridCol w:w="548"/>
      </w:tblGrid>
      <w:tr w14:paraId="342387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43" w:hRule="atLeast"/>
          <w:tblHeader/>
          <w:jc w:val="center"/>
        </w:trPr>
        <w:tc>
          <w:tcPr>
            <w:tcW w:w="174" w:type="pct"/>
            <w:tcBorders>
              <w:top w:val="single" w:color="auto" w:sz="8" w:space="0"/>
              <w:left w:val="single" w:color="auto" w:sz="8" w:space="0"/>
              <w:bottom w:val="single" w:color="auto" w:sz="4" w:space="0"/>
              <w:right w:val="single" w:color="auto" w:sz="4" w:space="0"/>
            </w:tcBorders>
            <w:vAlign w:val="center"/>
          </w:tcPr>
          <w:p w14:paraId="1DFD8535">
            <w:pPr>
              <w:spacing w:line="240" w:lineRule="auto"/>
              <w:ind w:firstLine="0" w:firstLineChars="0"/>
              <w:jc w:val="center"/>
              <w:rPr>
                <w:rFonts w:cs="Times New Roman"/>
                <w:b/>
                <w:bCs/>
                <w:sz w:val="24"/>
                <w:szCs w:val="24"/>
              </w:rPr>
            </w:pPr>
            <w:r>
              <w:rPr>
                <w:rFonts w:cs="Times New Roman"/>
                <w:b/>
                <w:bCs/>
                <w:sz w:val="24"/>
                <w:szCs w:val="24"/>
              </w:rPr>
              <w:t>序号</w:t>
            </w:r>
          </w:p>
        </w:tc>
        <w:tc>
          <w:tcPr>
            <w:tcW w:w="174" w:type="pct"/>
            <w:tcBorders>
              <w:top w:val="single" w:color="auto" w:sz="8" w:space="0"/>
              <w:left w:val="single" w:color="auto" w:sz="4" w:space="0"/>
              <w:bottom w:val="single" w:color="auto" w:sz="4" w:space="0"/>
              <w:right w:val="single" w:color="auto" w:sz="4" w:space="0"/>
            </w:tcBorders>
            <w:vAlign w:val="center"/>
          </w:tcPr>
          <w:p w14:paraId="0AD7A87B">
            <w:pPr>
              <w:spacing w:line="240" w:lineRule="auto"/>
              <w:ind w:firstLine="0" w:firstLineChars="0"/>
              <w:jc w:val="center"/>
              <w:rPr>
                <w:rFonts w:cs="Times New Roman"/>
                <w:b/>
                <w:bCs/>
                <w:sz w:val="24"/>
                <w:szCs w:val="24"/>
              </w:rPr>
            </w:pPr>
            <w:r>
              <w:rPr>
                <w:rFonts w:cs="Times New Roman"/>
                <w:b/>
                <w:bCs/>
                <w:sz w:val="24"/>
                <w:szCs w:val="24"/>
              </w:rPr>
              <w:t>省份</w:t>
            </w:r>
          </w:p>
        </w:tc>
        <w:tc>
          <w:tcPr>
            <w:tcW w:w="174" w:type="pct"/>
            <w:tcBorders>
              <w:top w:val="single" w:color="auto" w:sz="8" w:space="0"/>
              <w:left w:val="single" w:color="auto" w:sz="4" w:space="0"/>
              <w:bottom w:val="single" w:color="auto" w:sz="4" w:space="0"/>
              <w:right w:val="single" w:color="auto" w:sz="4" w:space="0"/>
            </w:tcBorders>
            <w:vAlign w:val="center"/>
          </w:tcPr>
          <w:p w14:paraId="46A43A09">
            <w:pPr>
              <w:spacing w:line="240" w:lineRule="auto"/>
              <w:ind w:firstLine="0" w:firstLineChars="0"/>
              <w:jc w:val="center"/>
              <w:rPr>
                <w:rFonts w:cs="Times New Roman"/>
                <w:b/>
                <w:bCs/>
                <w:sz w:val="24"/>
                <w:szCs w:val="24"/>
              </w:rPr>
            </w:pPr>
            <w:r>
              <w:rPr>
                <w:rFonts w:cs="Times New Roman"/>
                <w:b/>
                <w:bCs/>
                <w:sz w:val="24"/>
                <w:szCs w:val="24"/>
              </w:rPr>
              <w:t>地市</w:t>
            </w:r>
          </w:p>
        </w:tc>
        <w:tc>
          <w:tcPr>
            <w:tcW w:w="174" w:type="pct"/>
            <w:tcBorders>
              <w:top w:val="single" w:color="auto" w:sz="8" w:space="0"/>
              <w:left w:val="single" w:color="auto" w:sz="4" w:space="0"/>
              <w:bottom w:val="single" w:color="auto" w:sz="4" w:space="0"/>
              <w:right w:val="single" w:color="auto" w:sz="4" w:space="0"/>
            </w:tcBorders>
            <w:vAlign w:val="center"/>
          </w:tcPr>
          <w:p w14:paraId="60682007">
            <w:pPr>
              <w:spacing w:line="240" w:lineRule="auto"/>
              <w:ind w:firstLine="0" w:firstLineChars="0"/>
              <w:jc w:val="center"/>
              <w:rPr>
                <w:rFonts w:cs="Times New Roman"/>
                <w:b/>
                <w:bCs/>
                <w:sz w:val="24"/>
                <w:szCs w:val="24"/>
              </w:rPr>
            </w:pPr>
            <w:r>
              <w:rPr>
                <w:rFonts w:cs="Times New Roman"/>
                <w:b/>
                <w:bCs/>
                <w:sz w:val="24"/>
                <w:szCs w:val="24"/>
              </w:rPr>
              <w:t>区县</w:t>
            </w:r>
          </w:p>
        </w:tc>
        <w:tc>
          <w:tcPr>
            <w:tcW w:w="345" w:type="pct"/>
            <w:tcBorders>
              <w:top w:val="single" w:color="auto" w:sz="8" w:space="0"/>
              <w:left w:val="single" w:color="auto" w:sz="4" w:space="0"/>
              <w:bottom w:val="single" w:color="auto" w:sz="4" w:space="0"/>
              <w:right w:val="single" w:color="auto" w:sz="4" w:space="0"/>
            </w:tcBorders>
            <w:vAlign w:val="center"/>
          </w:tcPr>
          <w:p w14:paraId="07C83DBC">
            <w:pPr>
              <w:spacing w:line="240" w:lineRule="auto"/>
              <w:ind w:firstLine="0" w:firstLineChars="0"/>
              <w:jc w:val="center"/>
              <w:rPr>
                <w:rFonts w:cs="Times New Roman"/>
                <w:b/>
                <w:bCs/>
                <w:sz w:val="24"/>
                <w:szCs w:val="24"/>
              </w:rPr>
            </w:pPr>
            <w:r>
              <w:rPr>
                <w:rFonts w:cs="Times New Roman"/>
                <w:b/>
                <w:bCs/>
                <w:sz w:val="24"/>
                <w:szCs w:val="24"/>
              </w:rPr>
              <w:t>控制单元</w:t>
            </w:r>
          </w:p>
        </w:tc>
        <w:tc>
          <w:tcPr>
            <w:tcW w:w="414" w:type="pct"/>
            <w:tcBorders>
              <w:top w:val="single" w:color="auto" w:sz="8" w:space="0"/>
              <w:left w:val="single" w:color="auto" w:sz="4" w:space="0"/>
              <w:bottom w:val="single" w:color="auto" w:sz="4" w:space="0"/>
              <w:right w:val="single" w:color="auto" w:sz="4" w:space="0"/>
            </w:tcBorders>
            <w:vAlign w:val="center"/>
          </w:tcPr>
          <w:p w14:paraId="2F970713">
            <w:pPr>
              <w:spacing w:line="240" w:lineRule="auto"/>
              <w:ind w:firstLine="0" w:firstLineChars="0"/>
              <w:jc w:val="center"/>
              <w:rPr>
                <w:rFonts w:cs="Times New Roman"/>
                <w:b/>
                <w:bCs/>
                <w:sz w:val="24"/>
                <w:szCs w:val="24"/>
              </w:rPr>
            </w:pPr>
            <w:r>
              <w:rPr>
                <w:rFonts w:cs="Times New Roman"/>
                <w:b/>
                <w:bCs/>
                <w:sz w:val="24"/>
                <w:szCs w:val="24"/>
              </w:rPr>
              <w:t>湿地名称</w:t>
            </w:r>
          </w:p>
        </w:tc>
        <w:tc>
          <w:tcPr>
            <w:tcW w:w="478" w:type="pct"/>
            <w:tcBorders>
              <w:top w:val="single" w:color="auto" w:sz="8" w:space="0"/>
              <w:left w:val="single" w:color="auto" w:sz="4" w:space="0"/>
              <w:bottom w:val="single" w:color="auto" w:sz="4" w:space="0"/>
              <w:right w:val="single" w:color="auto" w:sz="4" w:space="0"/>
            </w:tcBorders>
            <w:vAlign w:val="center"/>
          </w:tcPr>
          <w:p w14:paraId="2CCD01F9">
            <w:pPr>
              <w:spacing w:line="240" w:lineRule="auto"/>
              <w:ind w:firstLine="0" w:firstLineChars="0"/>
              <w:jc w:val="center"/>
              <w:rPr>
                <w:rFonts w:cs="Times New Roman"/>
                <w:b/>
                <w:bCs/>
                <w:sz w:val="24"/>
                <w:szCs w:val="24"/>
              </w:rPr>
            </w:pPr>
            <w:r>
              <w:rPr>
                <w:rFonts w:cs="Times New Roman"/>
                <w:b/>
                <w:bCs/>
                <w:sz w:val="24"/>
                <w:szCs w:val="24"/>
              </w:rPr>
              <w:t>湿地类型</w:t>
            </w:r>
          </w:p>
        </w:tc>
        <w:tc>
          <w:tcPr>
            <w:tcW w:w="1197" w:type="pct"/>
            <w:tcBorders>
              <w:top w:val="single" w:color="auto" w:sz="8" w:space="0"/>
              <w:left w:val="single" w:color="auto" w:sz="4" w:space="0"/>
              <w:bottom w:val="single" w:color="auto" w:sz="4" w:space="0"/>
              <w:right w:val="single" w:color="auto" w:sz="4" w:space="0"/>
            </w:tcBorders>
            <w:vAlign w:val="center"/>
          </w:tcPr>
          <w:p w14:paraId="46CBA51D">
            <w:pPr>
              <w:spacing w:line="240" w:lineRule="auto"/>
              <w:ind w:firstLine="0" w:firstLineChars="0"/>
              <w:jc w:val="center"/>
              <w:rPr>
                <w:rFonts w:cs="Times New Roman"/>
                <w:b/>
                <w:bCs/>
                <w:sz w:val="24"/>
                <w:szCs w:val="24"/>
              </w:rPr>
            </w:pPr>
            <w:r>
              <w:rPr>
                <w:rFonts w:cs="Times New Roman"/>
                <w:b/>
                <w:bCs/>
                <w:sz w:val="24"/>
                <w:szCs w:val="24"/>
              </w:rPr>
              <w:t>2020年的天然湿地面积（万hm</w:t>
            </w:r>
            <w:r>
              <w:rPr>
                <w:rFonts w:cs="Times New Roman"/>
                <w:b/>
                <w:bCs/>
                <w:sz w:val="24"/>
                <w:szCs w:val="24"/>
                <w:vertAlign w:val="superscript"/>
              </w:rPr>
              <w:t>2</w:t>
            </w:r>
            <w:r>
              <w:rPr>
                <w:rFonts w:cs="Times New Roman"/>
                <w:b/>
                <w:bCs/>
                <w:sz w:val="24"/>
                <w:szCs w:val="24"/>
              </w:rPr>
              <w:t>）</w:t>
            </w:r>
          </w:p>
        </w:tc>
        <w:tc>
          <w:tcPr>
            <w:tcW w:w="1174" w:type="pct"/>
            <w:tcBorders>
              <w:top w:val="single" w:color="auto" w:sz="8" w:space="0"/>
              <w:left w:val="single" w:color="auto" w:sz="4" w:space="0"/>
              <w:bottom w:val="single" w:color="auto" w:sz="4" w:space="0"/>
              <w:right w:val="single" w:color="auto" w:sz="4" w:space="0"/>
            </w:tcBorders>
            <w:vAlign w:val="center"/>
          </w:tcPr>
          <w:p w14:paraId="75515DFF">
            <w:pPr>
              <w:spacing w:line="240" w:lineRule="auto"/>
              <w:ind w:firstLine="0" w:firstLineChars="0"/>
              <w:jc w:val="center"/>
              <w:rPr>
                <w:rFonts w:cs="Times New Roman"/>
                <w:b/>
                <w:bCs/>
                <w:sz w:val="24"/>
                <w:szCs w:val="24"/>
              </w:rPr>
            </w:pPr>
            <w:r>
              <w:rPr>
                <w:rFonts w:hint="eastAsia" w:cs="Times New Roman"/>
                <w:b/>
                <w:bCs/>
                <w:sz w:val="24"/>
                <w:szCs w:val="24"/>
              </w:rPr>
              <w:t>“</w:t>
            </w:r>
            <w:r>
              <w:rPr>
                <w:rFonts w:cs="Times New Roman"/>
                <w:b/>
                <w:bCs/>
                <w:sz w:val="24"/>
                <w:szCs w:val="24"/>
              </w:rPr>
              <w:t>十四五</w:t>
            </w:r>
            <w:r>
              <w:rPr>
                <w:rFonts w:hint="eastAsia" w:cs="Times New Roman"/>
                <w:b/>
                <w:bCs/>
                <w:sz w:val="24"/>
                <w:szCs w:val="24"/>
              </w:rPr>
              <w:t>”</w:t>
            </w:r>
            <w:r>
              <w:rPr>
                <w:rFonts w:cs="Times New Roman"/>
                <w:b/>
                <w:bCs/>
                <w:sz w:val="24"/>
                <w:szCs w:val="24"/>
              </w:rPr>
              <w:t>拟新增恢复面积（hm</w:t>
            </w:r>
            <w:r>
              <w:rPr>
                <w:rFonts w:cs="Times New Roman"/>
                <w:b/>
                <w:bCs/>
                <w:sz w:val="24"/>
                <w:szCs w:val="24"/>
                <w:vertAlign w:val="superscript"/>
              </w:rPr>
              <w:t>2</w:t>
            </w:r>
            <w:r>
              <w:rPr>
                <w:rFonts w:cs="Times New Roman"/>
                <w:b/>
                <w:bCs/>
                <w:sz w:val="24"/>
                <w:szCs w:val="24"/>
              </w:rPr>
              <w:t>）</w:t>
            </w:r>
          </w:p>
        </w:tc>
        <w:tc>
          <w:tcPr>
            <w:tcW w:w="518" w:type="pct"/>
            <w:tcBorders>
              <w:top w:val="single" w:color="auto" w:sz="8" w:space="0"/>
              <w:left w:val="single" w:color="auto" w:sz="4" w:space="0"/>
              <w:bottom w:val="single" w:color="auto" w:sz="4" w:space="0"/>
              <w:right w:val="single" w:color="auto" w:sz="4" w:space="0"/>
            </w:tcBorders>
            <w:vAlign w:val="center"/>
          </w:tcPr>
          <w:p w14:paraId="25D33E12">
            <w:pPr>
              <w:spacing w:line="240" w:lineRule="auto"/>
              <w:ind w:firstLine="0" w:firstLineChars="0"/>
              <w:jc w:val="center"/>
              <w:rPr>
                <w:rFonts w:cs="Times New Roman"/>
                <w:b/>
                <w:bCs/>
                <w:sz w:val="24"/>
                <w:szCs w:val="24"/>
              </w:rPr>
            </w:pPr>
            <w:r>
              <w:rPr>
                <w:rFonts w:cs="Times New Roman"/>
                <w:b/>
                <w:bCs/>
                <w:sz w:val="24"/>
                <w:szCs w:val="24"/>
              </w:rPr>
              <w:t>预计完成年度</w:t>
            </w:r>
          </w:p>
        </w:tc>
        <w:tc>
          <w:tcPr>
            <w:tcW w:w="174" w:type="pct"/>
            <w:tcBorders>
              <w:top w:val="single" w:color="auto" w:sz="8" w:space="0"/>
              <w:left w:val="single" w:color="auto" w:sz="4" w:space="0"/>
              <w:bottom w:val="single" w:color="auto" w:sz="4" w:space="0"/>
              <w:right w:val="single" w:color="auto" w:sz="8" w:space="0"/>
            </w:tcBorders>
            <w:vAlign w:val="center"/>
          </w:tcPr>
          <w:p w14:paraId="50B5D215">
            <w:pPr>
              <w:spacing w:line="240" w:lineRule="auto"/>
              <w:ind w:firstLine="0" w:firstLineChars="0"/>
              <w:jc w:val="center"/>
              <w:rPr>
                <w:rFonts w:cs="Times New Roman"/>
                <w:b/>
                <w:bCs/>
                <w:sz w:val="24"/>
                <w:szCs w:val="24"/>
              </w:rPr>
            </w:pPr>
            <w:r>
              <w:rPr>
                <w:rFonts w:cs="Times New Roman"/>
                <w:b/>
                <w:bCs/>
                <w:sz w:val="24"/>
                <w:szCs w:val="24"/>
              </w:rPr>
              <w:t>备注</w:t>
            </w:r>
          </w:p>
        </w:tc>
      </w:tr>
      <w:tr w14:paraId="112C31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174" w:type="pct"/>
            <w:tcBorders>
              <w:top w:val="single" w:color="auto" w:sz="4" w:space="0"/>
              <w:left w:val="single" w:color="auto" w:sz="8" w:space="0"/>
              <w:bottom w:val="single" w:color="auto" w:sz="8" w:space="0"/>
              <w:right w:val="single" w:color="auto" w:sz="4" w:space="0"/>
            </w:tcBorders>
            <w:vAlign w:val="center"/>
          </w:tcPr>
          <w:p w14:paraId="6B8235F6">
            <w:pPr>
              <w:spacing w:line="240" w:lineRule="auto"/>
              <w:ind w:firstLine="0" w:firstLineChars="0"/>
              <w:jc w:val="center"/>
              <w:rPr>
                <w:rFonts w:cs="Times New Roman"/>
                <w:sz w:val="24"/>
                <w:szCs w:val="24"/>
              </w:rPr>
            </w:pPr>
            <w:r>
              <w:rPr>
                <w:rFonts w:cs="Times New Roman"/>
                <w:sz w:val="24"/>
                <w:szCs w:val="24"/>
              </w:rPr>
              <w:t>1</w:t>
            </w:r>
          </w:p>
        </w:tc>
        <w:tc>
          <w:tcPr>
            <w:tcW w:w="174" w:type="pct"/>
            <w:tcBorders>
              <w:top w:val="single" w:color="auto" w:sz="4" w:space="0"/>
              <w:left w:val="single" w:color="auto" w:sz="4" w:space="0"/>
              <w:bottom w:val="single" w:color="auto" w:sz="8" w:space="0"/>
              <w:right w:val="single" w:color="auto" w:sz="4" w:space="0"/>
            </w:tcBorders>
            <w:vAlign w:val="center"/>
          </w:tcPr>
          <w:p w14:paraId="5CC27C77">
            <w:pPr>
              <w:spacing w:line="240" w:lineRule="auto"/>
              <w:ind w:firstLine="0" w:firstLineChars="0"/>
              <w:jc w:val="center"/>
              <w:rPr>
                <w:rFonts w:cs="Times New Roman"/>
                <w:sz w:val="24"/>
                <w:szCs w:val="24"/>
              </w:rPr>
            </w:pPr>
            <w:r>
              <w:rPr>
                <w:rFonts w:cs="Times New Roman"/>
                <w:sz w:val="24"/>
                <w:szCs w:val="24"/>
              </w:rPr>
              <w:t>辽宁省</w:t>
            </w:r>
          </w:p>
        </w:tc>
        <w:tc>
          <w:tcPr>
            <w:tcW w:w="174" w:type="pct"/>
            <w:tcBorders>
              <w:top w:val="single" w:color="auto" w:sz="4" w:space="0"/>
              <w:left w:val="single" w:color="auto" w:sz="4" w:space="0"/>
              <w:bottom w:val="single" w:color="auto" w:sz="8" w:space="0"/>
              <w:right w:val="single" w:color="auto" w:sz="4" w:space="0"/>
            </w:tcBorders>
            <w:vAlign w:val="center"/>
          </w:tcPr>
          <w:p w14:paraId="70A29DF2">
            <w:pPr>
              <w:spacing w:line="240" w:lineRule="auto"/>
              <w:ind w:firstLine="0" w:firstLineChars="0"/>
              <w:jc w:val="center"/>
              <w:rPr>
                <w:rFonts w:cs="Times New Roman"/>
                <w:sz w:val="24"/>
                <w:szCs w:val="24"/>
              </w:rPr>
            </w:pPr>
            <w:r>
              <w:rPr>
                <w:rFonts w:cs="Times New Roman"/>
                <w:sz w:val="24"/>
                <w:szCs w:val="24"/>
              </w:rPr>
              <w:t>本溪市</w:t>
            </w:r>
          </w:p>
        </w:tc>
        <w:tc>
          <w:tcPr>
            <w:tcW w:w="174" w:type="pct"/>
            <w:tcBorders>
              <w:top w:val="single" w:color="auto" w:sz="4" w:space="0"/>
              <w:left w:val="single" w:color="auto" w:sz="4" w:space="0"/>
              <w:bottom w:val="single" w:color="auto" w:sz="8" w:space="0"/>
              <w:right w:val="single" w:color="auto" w:sz="4" w:space="0"/>
            </w:tcBorders>
            <w:vAlign w:val="center"/>
          </w:tcPr>
          <w:p w14:paraId="10A6C61E">
            <w:pPr>
              <w:spacing w:line="240" w:lineRule="auto"/>
              <w:ind w:firstLine="0" w:firstLineChars="0"/>
              <w:jc w:val="center"/>
              <w:rPr>
                <w:rFonts w:cs="Times New Roman"/>
                <w:sz w:val="24"/>
                <w:szCs w:val="24"/>
              </w:rPr>
            </w:pPr>
            <w:r>
              <w:rPr>
                <w:rFonts w:cs="Times New Roman"/>
                <w:sz w:val="24"/>
                <w:szCs w:val="24"/>
              </w:rPr>
              <w:t>桓仁县</w:t>
            </w:r>
          </w:p>
        </w:tc>
        <w:tc>
          <w:tcPr>
            <w:tcW w:w="345" w:type="pct"/>
            <w:tcBorders>
              <w:top w:val="single" w:color="auto" w:sz="4" w:space="0"/>
              <w:left w:val="single" w:color="auto" w:sz="4" w:space="0"/>
              <w:bottom w:val="single" w:color="auto" w:sz="8" w:space="0"/>
              <w:right w:val="single" w:color="auto" w:sz="4" w:space="0"/>
            </w:tcBorders>
            <w:vAlign w:val="center"/>
          </w:tcPr>
          <w:p w14:paraId="2C68CE7F">
            <w:pPr>
              <w:spacing w:line="240" w:lineRule="auto"/>
              <w:ind w:firstLine="0" w:firstLineChars="0"/>
              <w:jc w:val="center"/>
              <w:rPr>
                <w:rFonts w:cs="Times New Roman"/>
                <w:sz w:val="24"/>
                <w:szCs w:val="24"/>
              </w:rPr>
            </w:pPr>
            <w:r>
              <w:rPr>
                <w:rFonts w:cs="Times New Roman"/>
                <w:sz w:val="24"/>
                <w:szCs w:val="24"/>
              </w:rPr>
              <w:t>凤鸣电站</w:t>
            </w:r>
          </w:p>
        </w:tc>
        <w:tc>
          <w:tcPr>
            <w:tcW w:w="414" w:type="pct"/>
            <w:tcBorders>
              <w:top w:val="single" w:color="auto" w:sz="4" w:space="0"/>
              <w:left w:val="single" w:color="auto" w:sz="4" w:space="0"/>
              <w:bottom w:val="single" w:color="auto" w:sz="8" w:space="0"/>
              <w:right w:val="single" w:color="auto" w:sz="4" w:space="0"/>
            </w:tcBorders>
            <w:vAlign w:val="center"/>
          </w:tcPr>
          <w:p w14:paraId="473B8AF8">
            <w:pPr>
              <w:spacing w:line="240" w:lineRule="auto"/>
              <w:ind w:firstLine="0" w:firstLineChars="0"/>
              <w:jc w:val="center"/>
              <w:rPr>
                <w:rFonts w:cs="Times New Roman"/>
                <w:sz w:val="24"/>
                <w:szCs w:val="24"/>
              </w:rPr>
            </w:pPr>
            <w:r>
              <w:rPr>
                <w:rFonts w:cs="Times New Roman"/>
                <w:sz w:val="24"/>
                <w:szCs w:val="24"/>
              </w:rPr>
              <w:t>桓龙湖国家湿地公园</w:t>
            </w:r>
          </w:p>
        </w:tc>
        <w:tc>
          <w:tcPr>
            <w:tcW w:w="478" w:type="pct"/>
            <w:tcBorders>
              <w:top w:val="single" w:color="auto" w:sz="4" w:space="0"/>
              <w:left w:val="single" w:color="auto" w:sz="4" w:space="0"/>
              <w:bottom w:val="single" w:color="auto" w:sz="8" w:space="0"/>
              <w:right w:val="single" w:color="auto" w:sz="4" w:space="0"/>
            </w:tcBorders>
            <w:vAlign w:val="center"/>
          </w:tcPr>
          <w:p w14:paraId="1C54BE32">
            <w:pPr>
              <w:spacing w:line="240" w:lineRule="auto"/>
              <w:ind w:firstLine="0" w:firstLineChars="0"/>
              <w:jc w:val="center"/>
              <w:rPr>
                <w:rFonts w:cs="Times New Roman"/>
                <w:sz w:val="24"/>
                <w:szCs w:val="24"/>
              </w:rPr>
            </w:pPr>
            <w:r>
              <w:rPr>
                <w:rFonts w:cs="Times New Roman"/>
                <w:sz w:val="24"/>
                <w:szCs w:val="24"/>
              </w:rPr>
              <w:t>国家湿地公园名录</w:t>
            </w:r>
          </w:p>
        </w:tc>
        <w:tc>
          <w:tcPr>
            <w:tcW w:w="1197" w:type="pct"/>
            <w:tcBorders>
              <w:top w:val="single" w:color="auto" w:sz="4" w:space="0"/>
              <w:left w:val="single" w:color="auto" w:sz="4" w:space="0"/>
              <w:bottom w:val="single" w:color="auto" w:sz="8" w:space="0"/>
              <w:right w:val="single" w:color="auto" w:sz="4" w:space="0"/>
            </w:tcBorders>
            <w:vAlign w:val="center"/>
          </w:tcPr>
          <w:p w14:paraId="0C47D99A">
            <w:pPr>
              <w:widowControl/>
              <w:spacing w:line="240" w:lineRule="auto"/>
              <w:ind w:firstLine="0" w:firstLineChars="0"/>
              <w:jc w:val="center"/>
              <w:textAlignment w:val="center"/>
              <w:rPr>
                <w:rFonts w:cs="Times New Roman"/>
                <w:sz w:val="24"/>
                <w:szCs w:val="24"/>
              </w:rPr>
            </w:pPr>
            <w:r>
              <w:rPr>
                <w:rFonts w:cs="Times New Roman"/>
                <w:sz w:val="24"/>
                <w:szCs w:val="24"/>
              </w:rPr>
              <w:t>0.14</w:t>
            </w:r>
          </w:p>
        </w:tc>
        <w:tc>
          <w:tcPr>
            <w:tcW w:w="1174" w:type="pct"/>
            <w:tcBorders>
              <w:top w:val="single" w:color="auto" w:sz="4" w:space="0"/>
              <w:left w:val="single" w:color="auto" w:sz="4" w:space="0"/>
              <w:bottom w:val="single" w:color="auto" w:sz="8" w:space="0"/>
              <w:right w:val="single" w:color="auto" w:sz="4" w:space="0"/>
            </w:tcBorders>
            <w:vAlign w:val="center"/>
          </w:tcPr>
          <w:p w14:paraId="1DECBF74">
            <w:pPr>
              <w:widowControl/>
              <w:spacing w:line="240" w:lineRule="auto"/>
              <w:ind w:firstLine="0" w:firstLineChars="0"/>
              <w:jc w:val="center"/>
              <w:textAlignment w:val="center"/>
              <w:rPr>
                <w:rFonts w:cs="Times New Roman"/>
                <w:sz w:val="24"/>
                <w:szCs w:val="24"/>
              </w:rPr>
            </w:pPr>
            <w:r>
              <w:rPr>
                <w:rFonts w:cs="Times New Roman"/>
                <w:sz w:val="24"/>
                <w:szCs w:val="24"/>
              </w:rPr>
              <w:t>—</w:t>
            </w:r>
          </w:p>
        </w:tc>
        <w:tc>
          <w:tcPr>
            <w:tcW w:w="518" w:type="pct"/>
            <w:tcBorders>
              <w:top w:val="single" w:color="auto" w:sz="4" w:space="0"/>
              <w:left w:val="single" w:color="auto" w:sz="4" w:space="0"/>
              <w:bottom w:val="single" w:color="auto" w:sz="8" w:space="0"/>
              <w:right w:val="single" w:color="auto" w:sz="4" w:space="0"/>
            </w:tcBorders>
            <w:vAlign w:val="center"/>
          </w:tcPr>
          <w:p w14:paraId="6113DFF0">
            <w:pPr>
              <w:spacing w:line="240" w:lineRule="auto"/>
              <w:ind w:firstLine="0" w:firstLineChars="0"/>
              <w:jc w:val="center"/>
              <w:rPr>
                <w:rFonts w:cs="Times New Roman"/>
                <w:sz w:val="24"/>
                <w:szCs w:val="24"/>
              </w:rPr>
            </w:pPr>
            <w:r>
              <w:rPr>
                <w:rFonts w:cs="Times New Roman"/>
                <w:sz w:val="24"/>
                <w:szCs w:val="24"/>
              </w:rPr>
              <w:t>2025年</w:t>
            </w:r>
          </w:p>
        </w:tc>
        <w:tc>
          <w:tcPr>
            <w:tcW w:w="174" w:type="pct"/>
            <w:tcBorders>
              <w:top w:val="single" w:color="auto" w:sz="4" w:space="0"/>
              <w:left w:val="single" w:color="auto" w:sz="4" w:space="0"/>
              <w:bottom w:val="single" w:color="auto" w:sz="8" w:space="0"/>
              <w:right w:val="single" w:color="auto" w:sz="8" w:space="0"/>
            </w:tcBorders>
            <w:vAlign w:val="center"/>
          </w:tcPr>
          <w:p w14:paraId="2D023318">
            <w:pPr>
              <w:spacing w:line="240" w:lineRule="auto"/>
              <w:ind w:firstLine="0" w:firstLineChars="0"/>
              <w:jc w:val="center"/>
              <w:rPr>
                <w:rFonts w:cs="Times New Roman"/>
                <w:sz w:val="24"/>
                <w:szCs w:val="24"/>
              </w:rPr>
            </w:pPr>
          </w:p>
        </w:tc>
      </w:tr>
    </w:tbl>
    <w:p w14:paraId="2D87DAC2">
      <w:pPr>
        <w:ind w:firstLine="480"/>
        <w:rPr>
          <w:rFonts w:cs="Times New Roman"/>
          <w:sz w:val="24"/>
          <w:szCs w:val="24"/>
        </w:rPr>
      </w:pPr>
    </w:p>
    <w:p w14:paraId="6A455F05">
      <w:pPr>
        <w:ind w:firstLine="480"/>
        <w:rPr>
          <w:rFonts w:cs="Times New Roman"/>
          <w:sz w:val="24"/>
          <w:szCs w:val="24"/>
        </w:rPr>
      </w:pPr>
    </w:p>
    <w:p w14:paraId="7A68B6DE">
      <w:pPr>
        <w:pStyle w:val="4"/>
        <w:spacing w:after="0"/>
        <w:rPr>
          <w:rFonts w:cs="Times New Roman"/>
          <w:b w:val="0"/>
          <w:bCs w:val="0"/>
        </w:rPr>
      </w:pPr>
      <w:bookmarkStart w:id="242" w:name="_Toc22366"/>
      <w:r>
        <w:rPr>
          <w:rFonts w:ascii="Times New Roman" w:hAnsi="Times New Roman" w:cs="Times New Roman"/>
          <w:sz w:val="24"/>
          <w:szCs w:val="24"/>
          <w:lang w:val="en-US"/>
        </w:rPr>
        <w:t>附表2-</w:t>
      </w:r>
      <w:r>
        <w:rPr>
          <w:rFonts w:hint="eastAsia" w:ascii="Times New Roman" w:hAnsi="Times New Roman" w:cs="Times New Roman"/>
          <w:sz w:val="24"/>
          <w:szCs w:val="24"/>
          <w:lang w:val="en-US"/>
        </w:rPr>
        <w:t>5</w:t>
      </w:r>
      <w:r>
        <w:rPr>
          <w:rFonts w:ascii="Times New Roman" w:hAnsi="Times New Roman" w:cs="Times New Roman"/>
          <w:sz w:val="24"/>
          <w:szCs w:val="24"/>
          <w:lang w:val="en-US"/>
        </w:rPr>
        <w:t>-2  人工湿地建设清单</w:t>
      </w:r>
      <w:bookmarkEnd w:id="242"/>
    </w:p>
    <w:tbl>
      <w:tblPr>
        <w:tblStyle w:val="19"/>
        <w:tblW w:w="513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717"/>
        <w:gridCol w:w="969"/>
        <w:gridCol w:w="1002"/>
        <w:gridCol w:w="1015"/>
        <w:gridCol w:w="1267"/>
        <w:gridCol w:w="2113"/>
        <w:gridCol w:w="2517"/>
        <w:gridCol w:w="1383"/>
        <w:gridCol w:w="1331"/>
        <w:gridCol w:w="1606"/>
        <w:gridCol w:w="1652"/>
        <w:gridCol w:w="566"/>
      </w:tblGrid>
      <w:tr w14:paraId="1D6C98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3" w:hRule="atLeast"/>
          <w:tblHeader/>
          <w:jc w:val="center"/>
        </w:trPr>
        <w:tc>
          <w:tcPr>
            <w:tcW w:w="222" w:type="pct"/>
            <w:tcBorders>
              <w:top w:val="single" w:color="auto" w:sz="8" w:space="0"/>
              <w:left w:val="single" w:color="auto" w:sz="8" w:space="0"/>
              <w:right w:val="single" w:color="auto" w:sz="4" w:space="0"/>
            </w:tcBorders>
            <w:vAlign w:val="center"/>
          </w:tcPr>
          <w:p w14:paraId="0324BB81">
            <w:pPr>
              <w:spacing w:line="240" w:lineRule="auto"/>
              <w:ind w:firstLine="0" w:firstLineChars="0"/>
              <w:jc w:val="center"/>
              <w:rPr>
                <w:rFonts w:cs="Times New Roman"/>
                <w:b/>
                <w:bCs/>
                <w:sz w:val="24"/>
                <w:szCs w:val="24"/>
              </w:rPr>
            </w:pPr>
            <w:r>
              <w:rPr>
                <w:rFonts w:cs="Times New Roman"/>
                <w:b/>
                <w:bCs/>
                <w:sz w:val="24"/>
                <w:szCs w:val="24"/>
              </w:rPr>
              <w:t>序号</w:t>
            </w:r>
          </w:p>
        </w:tc>
        <w:tc>
          <w:tcPr>
            <w:tcW w:w="300" w:type="pct"/>
            <w:tcBorders>
              <w:top w:val="single" w:color="auto" w:sz="8" w:space="0"/>
              <w:left w:val="single" w:color="auto" w:sz="4" w:space="0"/>
              <w:right w:val="single" w:color="auto" w:sz="4" w:space="0"/>
            </w:tcBorders>
            <w:vAlign w:val="center"/>
          </w:tcPr>
          <w:p w14:paraId="2079C8C6">
            <w:pPr>
              <w:spacing w:line="240" w:lineRule="auto"/>
              <w:ind w:firstLine="0" w:firstLineChars="0"/>
              <w:jc w:val="center"/>
              <w:rPr>
                <w:rFonts w:cs="Times New Roman"/>
                <w:b/>
                <w:bCs/>
                <w:sz w:val="24"/>
                <w:szCs w:val="24"/>
              </w:rPr>
            </w:pPr>
            <w:r>
              <w:rPr>
                <w:rFonts w:cs="Times New Roman"/>
                <w:b/>
                <w:bCs/>
                <w:sz w:val="24"/>
                <w:szCs w:val="24"/>
              </w:rPr>
              <w:t>省份</w:t>
            </w:r>
          </w:p>
        </w:tc>
        <w:tc>
          <w:tcPr>
            <w:tcW w:w="310" w:type="pct"/>
            <w:tcBorders>
              <w:top w:val="single" w:color="auto" w:sz="8" w:space="0"/>
              <w:left w:val="single" w:color="auto" w:sz="4" w:space="0"/>
              <w:right w:val="single" w:color="auto" w:sz="4" w:space="0"/>
            </w:tcBorders>
            <w:vAlign w:val="center"/>
          </w:tcPr>
          <w:p w14:paraId="1E1DC883">
            <w:pPr>
              <w:spacing w:line="240" w:lineRule="auto"/>
              <w:ind w:firstLine="0" w:firstLineChars="0"/>
              <w:jc w:val="center"/>
              <w:rPr>
                <w:rFonts w:cs="Times New Roman"/>
                <w:b/>
                <w:bCs/>
                <w:sz w:val="24"/>
                <w:szCs w:val="24"/>
              </w:rPr>
            </w:pPr>
            <w:r>
              <w:rPr>
                <w:rFonts w:cs="Times New Roman"/>
                <w:b/>
                <w:bCs/>
                <w:sz w:val="24"/>
                <w:szCs w:val="24"/>
              </w:rPr>
              <w:t>地市</w:t>
            </w:r>
          </w:p>
        </w:tc>
        <w:tc>
          <w:tcPr>
            <w:tcW w:w="314" w:type="pct"/>
            <w:tcBorders>
              <w:top w:val="single" w:color="auto" w:sz="8" w:space="0"/>
              <w:left w:val="single" w:color="auto" w:sz="4" w:space="0"/>
              <w:right w:val="single" w:color="auto" w:sz="4" w:space="0"/>
            </w:tcBorders>
            <w:vAlign w:val="center"/>
          </w:tcPr>
          <w:p w14:paraId="673208DF">
            <w:pPr>
              <w:spacing w:line="240" w:lineRule="auto"/>
              <w:ind w:firstLine="0" w:firstLineChars="0"/>
              <w:jc w:val="center"/>
              <w:rPr>
                <w:rFonts w:cs="Times New Roman"/>
                <w:b/>
                <w:bCs/>
                <w:sz w:val="24"/>
                <w:szCs w:val="24"/>
              </w:rPr>
            </w:pPr>
            <w:r>
              <w:rPr>
                <w:rFonts w:cs="Times New Roman"/>
                <w:b/>
                <w:bCs/>
                <w:sz w:val="24"/>
                <w:szCs w:val="24"/>
              </w:rPr>
              <w:t>区县</w:t>
            </w:r>
          </w:p>
        </w:tc>
        <w:tc>
          <w:tcPr>
            <w:tcW w:w="392" w:type="pct"/>
            <w:tcBorders>
              <w:top w:val="single" w:color="auto" w:sz="8" w:space="0"/>
              <w:left w:val="single" w:color="auto" w:sz="4" w:space="0"/>
              <w:right w:val="single" w:color="auto" w:sz="4" w:space="0"/>
            </w:tcBorders>
            <w:vAlign w:val="center"/>
          </w:tcPr>
          <w:p w14:paraId="5D37E942">
            <w:pPr>
              <w:spacing w:line="240" w:lineRule="auto"/>
              <w:ind w:firstLine="0" w:firstLineChars="0"/>
              <w:jc w:val="center"/>
              <w:rPr>
                <w:rFonts w:cs="Times New Roman"/>
                <w:b/>
                <w:bCs/>
                <w:sz w:val="24"/>
                <w:szCs w:val="24"/>
              </w:rPr>
            </w:pPr>
            <w:r>
              <w:rPr>
                <w:rFonts w:cs="Times New Roman"/>
                <w:b/>
                <w:bCs/>
                <w:sz w:val="24"/>
                <w:szCs w:val="24"/>
              </w:rPr>
              <w:t>控制单元</w:t>
            </w:r>
          </w:p>
        </w:tc>
        <w:tc>
          <w:tcPr>
            <w:tcW w:w="654" w:type="pct"/>
            <w:tcBorders>
              <w:top w:val="single" w:color="auto" w:sz="8" w:space="0"/>
              <w:left w:val="single" w:color="auto" w:sz="4" w:space="0"/>
              <w:right w:val="single" w:color="auto" w:sz="4" w:space="0"/>
            </w:tcBorders>
            <w:vAlign w:val="center"/>
          </w:tcPr>
          <w:p w14:paraId="59E10933">
            <w:pPr>
              <w:spacing w:line="240" w:lineRule="auto"/>
              <w:ind w:firstLine="0" w:firstLineChars="0"/>
              <w:jc w:val="center"/>
              <w:rPr>
                <w:rFonts w:cs="Times New Roman"/>
                <w:b/>
                <w:bCs/>
                <w:sz w:val="24"/>
                <w:szCs w:val="24"/>
              </w:rPr>
            </w:pPr>
            <w:r>
              <w:rPr>
                <w:rFonts w:cs="Times New Roman"/>
                <w:b/>
                <w:bCs/>
                <w:sz w:val="24"/>
                <w:szCs w:val="24"/>
              </w:rPr>
              <w:t>湿地名称</w:t>
            </w:r>
          </w:p>
        </w:tc>
        <w:tc>
          <w:tcPr>
            <w:tcW w:w="779" w:type="pct"/>
            <w:tcBorders>
              <w:top w:val="single" w:color="auto" w:sz="8" w:space="0"/>
              <w:left w:val="single" w:color="auto" w:sz="4" w:space="0"/>
              <w:right w:val="single" w:color="auto" w:sz="4" w:space="0"/>
            </w:tcBorders>
            <w:vAlign w:val="center"/>
          </w:tcPr>
          <w:p w14:paraId="15F9145D">
            <w:pPr>
              <w:spacing w:line="240" w:lineRule="auto"/>
              <w:ind w:firstLine="0" w:firstLineChars="0"/>
              <w:jc w:val="center"/>
              <w:rPr>
                <w:rFonts w:cs="Times New Roman"/>
                <w:b/>
                <w:bCs/>
                <w:sz w:val="24"/>
                <w:szCs w:val="24"/>
              </w:rPr>
            </w:pPr>
            <w:r>
              <w:rPr>
                <w:rFonts w:cs="Times New Roman"/>
                <w:b/>
                <w:bCs/>
                <w:sz w:val="24"/>
                <w:szCs w:val="24"/>
              </w:rPr>
              <w:t>建设位置所属类型</w:t>
            </w:r>
          </w:p>
        </w:tc>
        <w:tc>
          <w:tcPr>
            <w:tcW w:w="428" w:type="pct"/>
            <w:tcBorders>
              <w:top w:val="single" w:color="auto" w:sz="8" w:space="0"/>
              <w:left w:val="single" w:color="auto" w:sz="4" w:space="0"/>
              <w:right w:val="single" w:color="auto" w:sz="4" w:space="0"/>
            </w:tcBorders>
            <w:vAlign w:val="center"/>
          </w:tcPr>
          <w:p w14:paraId="531629B7">
            <w:pPr>
              <w:spacing w:line="240" w:lineRule="auto"/>
              <w:ind w:firstLine="0" w:firstLineChars="0"/>
              <w:jc w:val="center"/>
              <w:rPr>
                <w:rFonts w:cs="Times New Roman"/>
                <w:b/>
                <w:bCs/>
                <w:sz w:val="24"/>
                <w:szCs w:val="24"/>
              </w:rPr>
            </w:pPr>
            <w:r>
              <w:rPr>
                <w:rFonts w:cs="Times New Roman"/>
                <w:b/>
                <w:bCs/>
                <w:sz w:val="24"/>
                <w:szCs w:val="24"/>
              </w:rPr>
              <w:t>经度</w:t>
            </w:r>
          </w:p>
        </w:tc>
        <w:tc>
          <w:tcPr>
            <w:tcW w:w="412" w:type="pct"/>
            <w:tcBorders>
              <w:top w:val="single" w:color="auto" w:sz="8" w:space="0"/>
              <w:left w:val="single" w:color="auto" w:sz="4" w:space="0"/>
              <w:right w:val="single" w:color="auto" w:sz="4" w:space="0"/>
            </w:tcBorders>
            <w:vAlign w:val="center"/>
          </w:tcPr>
          <w:p w14:paraId="26B74FD6">
            <w:pPr>
              <w:spacing w:line="240" w:lineRule="auto"/>
              <w:ind w:firstLine="0" w:firstLineChars="0"/>
              <w:jc w:val="center"/>
              <w:rPr>
                <w:rFonts w:cs="Times New Roman"/>
                <w:b/>
                <w:bCs/>
                <w:sz w:val="24"/>
                <w:szCs w:val="24"/>
              </w:rPr>
            </w:pPr>
            <w:r>
              <w:rPr>
                <w:rFonts w:cs="Times New Roman"/>
                <w:b/>
                <w:bCs/>
                <w:sz w:val="24"/>
                <w:szCs w:val="24"/>
              </w:rPr>
              <w:t>纬度</w:t>
            </w:r>
          </w:p>
        </w:tc>
        <w:tc>
          <w:tcPr>
            <w:tcW w:w="497" w:type="pct"/>
            <w:tcBorders>
              <w:top w:val="single" w:color="auto" w:sz="8" w:space="0"/>
              <w:left w:val="single" w:color="auto" w:sz="4" w:space="0"/>
              <w:right w:val="single" w:color="auto" w:sz="4" w:space="0"/>
            </w:tcBorders>
            <w:vAlign w:val="center"/>
          </w:tcPr>
          <w:p w14:paraId="02ED7EBB">
            <w:pPr>
              <w:spacing w:line="240" w:lineRule="auto"/>
              <w:ind w:firstLine="0" w:firstLineChars="0"/>
              <w:jc w:val="center"/>
              <w:rPr>
                <w:rFonts w:cs="Times New Roman"/>
                <w:b/>
                <w:bCs/>
                <w:sz w:val="24"/>
                <w:szCs w:val="24"/>
              </w:rPr>
            </w:pPr>
            <w:r>
              <w:rPr>
                <w:rFonts w:cs="Times New Roman"/>
                <w:b/>
                <w:bCs/>
                <w:sz w:val="24"/>
                <w:szCs w:val="24"/>
              </w:rPr>
              <w:t>建设面积（亩）</w:t>
            </w:r>
          </w:p>
        </w:tc>
        <w:tc>
          <w:tcPr>
            <w:tcW w:w="511" w:type="pct"/>
            <w:tcBorders>
              <w:top w:val="single" w:color="auto" w:sz="8" w:space="0"/>
              <w:left w:val="single" w:color="auto" w:sz="4" w:space="0"/>
              <w:right w:val="single" w:color="auto" w:sz="4" w:space="0"/>
            </w:tcBorders>
            <w:vAlign w:val="center"/>
          </w:tcPr>
          <w:p w14:paraId="0926B959">
            <w:pPr>
              <w:spacing w:line="240" w:lineRule="auto"/>
              <w:ind w:firstLine="0" w:firstLineChars="0"/>
              <w:jc w:val="center"/>
              <w:rPr>
                <w:rFonts w:cs="Times New Roman"/>
                <w:b/>
                <w:bCs/>
                <w:sz w:val="24"/>
                <w:szCs w:val="24"/>
              </w:rPr>
            </w:pPr>
            <w:r>
              <w:rPr>
                <w:rFonts w:cs="Times New Roman"/>
                <w:b/>
                <w:bCs/>
                <w:sz w:val="24"/>
                <w:szCs w:val="24"/>
              </w:rPr>
              <w:t>预计完成年度</w:t>
            </w:r>
          </w:p>
        </w:tc>
        <w:tc>
          <w:tcPr>
            <w:tcW w:w="175" w:type="pct"/>
            <w:tcBorders>
              <w:top w:val="single" w:color="auto" w:sz="8" w:space="0"/>
              <w:left w:val="single" w:color="auto" w:sz="4" w:space="0"/>
              <w:right w:val="single" w:color="auto" w:sz="8" w:space="0"/>
            </w:tcBorders>
            <w:vAlign w:val="center"/>
          </w:tcPr>
          <w:p w14:paraId="7D956307">
            <w:pPr>
              <w:spacing w:line="240" w:lineRule="auto"/>
              <w:ind w:firstLine="0" w:firstLineChars="0"/>
              <w:jc w:val="center"/>
              <w:rPr>
                <w:rFonts w:cs="Times New Roman"/>
                <w:b/>
                <w:bCs/>
                <w:sz w:val="24"/>
                <w:szCs w:val="24"/>
              </w:rPr>
            </w:pPr>
            <w:r>
              <w:rPr>
                <w:rFonts w:cs="Times New Roman"/>
                <w:b/>
                <w:bCs/>
                <w:sz w:val="24"/>
                <w:szCs w:val="24"/>
              </w:rPr>
              <w:t>备注</w:t>
            </w:r>
          </w:p>
        </w:tc>
      </w:tr>
      <w:tr w14:paraId="115ECF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222" w:type="pct"/>
            <w:tcBorders>
              <w:left w:val="single" w:color="auto" w:sz="8" w:space="0"/>
              <w:right w:val="single" w:color="auto" w:sz="4" w:space="0"/>
            </w:tcBorders>
            <w:vAlign w:val="center"/>
          </w:tcPr>
          <w:p w14:paraId="33E42716">
            <w:pPr>
              <w:spacing w:line="240" w:lineRule="auto"/>
              <w:ind w:firstLine="0" w:firstLineChars="0"/>
              <w:jc w:val="center"/>
              <w:rPr>
                <w:rFonts w:cs="Times New Roman"/>
                <w:sz w:val="24"/>
                <w:szCs w:val="24"/>
              </w:rPr>
            </w:pPr>
            <w:r>
              <w:rPr>
                <w:rFonts w:cs="Times New Roman"/>
                <w:sz w:val="24"/>
                <w:szCs w:val="24"/>
              </w:rPr>
              <w:t>1</w:t>
            </w:r>
          </w:p>
        </w:tc>
        <w:tc>
          <w:tcPr>
            <w:tcW w:w="300" w:type="pct"/>
            <w:tcBorders>
              <w:left w:val="single" w:color="auto" w:sz="4" w:space="0"/>
              <w:right w:val="single" w:color="auto" w:sz="4" w:space="0"/>
            </w:tcBorders>
            <w:vAlign w:val="center"/>
          </w:tcPr>
          <w:p w14:paraId="0A9ACC31">
            <w:pPr>
              <w:spacing w:line="240" w:lineRule="auto"/>
              <w:ind w:firstLine="0" w:firstLineChars="0"/>
              <w:jc w:val="center"/>
              <w:rPr>
                <w:rFonts w:cs="Times New Roman"/>
                <w:sz w:val="24"/>
                <w:szCs w:val="24"/>
              </w:rPr>
            </w:pPr>
            <w:r>
              <w:rPr>
                <w:rFonts w:cs="Times New Roman"/>
                <w:sz w:val="24"/>
                <w:szCs w:val="24"/>
              </w:rPr>
              <w:t>辽宁省</w:t>
            </w:r>
          </w:p>
        </w:tc>
        <w:tc>
          <w:tcPr>
            <w:tcW w:w="310" w:type="pct"/>
            <w:tcBorders>
              <w:left w:val="single" w:color="auto" w:sz="4" w:space="0"/>
              <w:right w:val="single" w:color="auto" w:sz="4" w:space="0"/>
            </w:tcBorders>
            <w:vAlign w:val="center"/>
          </w:tcPr>
          <w:p w14:paraId="17A56EBE">
            <w:pPr>
              <w:spacing w:line="240" w:lineRule="auto"/>
              <w:ind w:firstLine="0" w:firstLineChars="0"/>
              <w:jc w:val="center"/>
              <w:rPr>
                <w:rFonts w:cs="Times New Roman"/>
                <w:sz w:val="24"/>
                <w:szCs w:val="24"/>
              </w:rPr>
            </w:pPr>
            <w:r>
              <w:rPr>
                <w:rFonts w:cs="Times New Roman"/>
                <w:sz w:val="24"/>
                <w:szCs w:val="24"/>
              </w:rPr>
              <w:t>本溪市</w:t>
            </w:r>
          </w:p>
        </w:tc>
        <w:tc>
          <w:tcPr>
            <w:tcW w:w="314" w:type="pct"/>
            <w:tcBorders>
              <w:left w:val="single" w:color="auto" w:sz="4" w:space="0"/>
              <w:right w:val="single" w:color="auto" w:sz="4" w:space="0"/>
            </w:tcBorders>
            <w:vAlign w:val="center"/>
          </w:tcPr>
          <w:p w14:paraId="769CF132">
            <w:pPr>
              <w:spacing w:line="240" w:lineRule="auto"/>
              <w:ind w:firstLine="0" w:firstLineChars="0"/>
              <w:jc w:val="center"/>
              <w:rPr>
                <w:rFonts w:cs="Times New Roman"/>
                <w:sz w:val="24"/>
                <w:szCs w:val="24"/>
              </w:rPr>
            </w:pPr>
            <w:r>
              <w:rPr>
                <w:rFonts w:cs="Times New Roman"/>
                <w:sz w:val="24"/>
                <w:szCs w:val="24"/>
              </w:rPr>
              <w:t>南芬区</w:t>
            </w:r>
          </w:p>
        </w:tc>
        <w:tc>
          <w:tcPr>
            <w:tcW w:w="392" w:type="pct"/>
            <w:tcBorders>
              <w:left w:val="single" w:color="auto" w:sz="4" w:space="0"/>
              <w:right w:val="single" w:color="auto" w:sz="4" w:space="0"/>
            </w:tcBorders>
            <w:vAlign w:val="center"/>
          </w:tcPr>
          <w:p w14:paraId="2838E1C4">
            <w:pPr>
              <w:spacing w:line="240" w:lineRule="auto"/>
              <w:ind w:firstLine="0" w:firstLineChars="0"/>
              <w:jc w:val="center"/>
              <w:rPr>
                <w:rFonts w:cs="Times New Roman"/>
                <w:sz w:val="24"/>
                <w:szCs w:val="24"/>
              </w:rPr>
            </w:pPr>
            <w:r>
              <w:rPr>
                <w:rFonts w:cs="Times New Roman"/>
                <w:sz w:val="24"/>
                <w:szCs w:val="24"/>
              </w:rPr>
              <w:t>邱家</w:t>
            </w:r>
          </w:p>
        </w:tc>
        <w:tc>
          <w:tcPr>
            <w:tcW w:w="654" w:type="pct"/>
            <w:tcBorders>
              <w:left w:val="single" w:color="auto" w:sz="4" w:space="0"/>
              <w:right w:val="single" w:color="auto" w:sz="4" w:space="0"/>
            </w:tcBorders>
            <w:vAlign w:val="center"/>
          </w:tcPr>
          <w:p w14:paraId="2DE46EB1">
            <w:pPr>
              <w:spacing w:line="240" w:lineRule="auto"/>
              <w:ind w:firstLine="0" w:firstLineChars="0"/>
              <w:jc w:val="center"/>
              <w:rPr>
                <w:rFonts w:cs="Times New Roman"/>
                <w:sz w:val="24"/>
                <w:szCs w:val="24"/>
              </w:rPr>
            </w:pPr>
            <w:r>
              <w:rPr>
                <w:rFonts w:cs="Times New Roman"/>
                <w:sz w:val="24"/>
                <w:szCs w:val="24"/>
              </w:rPr>
              <w:t>南芬湿地</w:t>
            </w:r>
          </w:p>
        </w:tc>
        <w:tc>
          <w:tcPr>
            <w:tcW w:w="779" w:type="pct"/>
            <w:tcBorders>
              <w:left w:val="single" w:color="auto" w:sz="4" w:space="0"/>
              <w:right w:val="single" w:color="auto" w:sz="4" w:space="0"/>
            </w:tcBorders>
            <w:vAlign w:val="center"/>
          </w:tcPr>
          <w:p w14:paraId="741FC89E">
            <w:pPr>
              <w:spacing w:line="240" w:lineRule="auto"/>
              <w:ind w:firstLine="0" w:firstLineChars="0"/>
              <w:jc w:val="center"/>
              <w:rPr>
                <w:rFonts w:cs="Times New Roman"/>
                <w:sz w:val="24"/>
                <w:szCs w:val="24"/>
              </w:rPr>
            </w:pPr>
            <w:r>
              <w:rPr>
                <w:rFonts w:cs="Times New Roman"/>
                <w:sz w:val="24"/>
                <w:szCs w:val="24"/>
              </w:rPr>
              <w:t>重要入河（湖）口</w:t>
            </w:r>
          </w:p>
        </w:tc>
        <w:tc>
          <w:tcPr>
            <w:tcW w:w="428" w:type="pct"/>
            <w:tcBorders>
              <w:left w:val="single" w:color="auto" w:sz="4" w:space="0"/>
              <w:right w:val="single" w:color="auto" w:sz="4" w:space="0"/>
            </w:tcBorders>
            <w:vAlign w:val="center"/>
          </w:tcPr>
          <w:p w14:paraId="2F14FFD9">
            <w:pPr>
              <w:spacing w:line="240" w:lineRule="auto"/>
              <w:ind w:firstLine="0" w:firstLineChars="0"/>
              <w:jc w:val="center"/>
              <w:rPr>
                <w:rFonts w:cs="Times New Roman"/>
                <w:sz w:val="24"/>
                <w:szCs w:val="24"/>
              </w:rPr>
            </w:pPr>
            <w:r>
              <w:rPr>
                <w:rFonts w:cs="Times New Roman"/>
                <w:sz w:val="24"/>
                <w:szCs w:val="24"/>
              </w:rPr>
              <w:t>123.8185</w:t>
            </w:r>
          </w:p>
        </w:tc>
        <w:tc>
          <w:tcPr>
            <w:tcW w:w="412" w:type="pct"/>
            <w:tcBorders>
              <w:left w:val="single" w:color="auto" w:sz="4" w:space="0"/>
              <w:right w:val="single" w:color="auto" w:sz="4" w:space="0"/>
            </w:tcBorders>
            <w:vAlign w:val="center"/>
          </w:tcPr>
          <w:p w14:paraId="02972732">
            <w:pPr>
              <w:spacing w:line="240" w:lineRule="auto"/>
              <w:ind w:firstLine="0" w:firstLineChars="0"/>
              <w:jc w:val="center"/>
              <w:rPr>
                <w:rFonts w:cs="Times New Roman"/>
                <w:sz w:val="24"/>
                <w:szCs w:val="24"/>
              </w:rPr>
            </w:pPr>
            <w:r>
              <w:rPr>
                <w:rFonts w:cs="Times New Roman"/>
                <w:sz w:val="24"/>
                <w:szCs w:val="24"/>
              </w:rPr>
              <w:t>41.1926</w:t>
            </w:r>
          </w:p>
        </w:tc>
        <w:tc>
          <w:tcPr>
            <w:tcW w:w="497" w:type="pct"/>
            <w:tcBorders>
              <w:left w:val="single" w:color="auto" w:sz="4" w:space="0"/>
              <w:right w:val="single" w:color="auto" w:sz="4" w:space="0"/>
            </w:tcBorders>
            <w:vAlign w:val="center"/>
          </w:tcPr>
          <w:p w14:paraId="301B9B2A">
            <w:pPr>
              <w:spacing w:line="240" w:lineRule="auto"/>
              <w:ind w:firstLine="0" w:firstLineChars="0"/>
              <w:jc w:val="center"/>
              <w:rPr>
                <w:rFonts w:cs="Times New Roman"/>
                <w:sz w:val="24"/>
                <w:szCs w:val="24"/>
              </w:rPr>
            </w:pPr>
            <w:r>
              <w:rPr>
                <w:rFonts w:cs="Times New Roman"/>
                <w:sz w:val="24"/>
                <w:szCs w:val="24"/>
              </w:rPr>
              <w:t>11</w:t>
            </w:r>
          </w:p>
        </w:tc>
        <w:tc>
          <w:tcPr>
            <w:tcW w:w="511" w:type="pct"/>
            <w:tcBorders>
              <w:left w:val="single" w:color="auto" w:sz="4" w:space="0"/>
              <w:right w:val="single" w:color="auto" w:sz="4" w:space="0"/>
            </w:tcBorders>
            <w:vAlign w:val="center"/>
          </w:tcPr>
          <w:p w14:paraId="7D871A48">
            <w:pPr>
              <w:spacing w:line="240" w:lineRule="auto"/>
              <w:ind w:firstLine="0" w:firstLineChars="0"/>
              <w:jc w:val="center"/>
              <w:rPr>
                <w:rFonts w:cs="Times New Roman"/>
                <w:sz w:val="24"/>
                <w:szCs w:val="24"/>
              </w:rPr>
            </w:pPr>
            <w:r>
              <w:rPr>
                <w:rFonts w:cs="Times New Roman"/>
                <w:sz w:val="24"/>
                <w:szCs w:val="24"/>
              </w:rPr>
              <w:t>2025年</w:t>
            </w:r>
          </w:p>
        </w:tc>
        <w:tc>
          <w:tcPr>
            <w:tcW w:w="175" w:type="pct"/>
            <w:tcBorders>
              <w:left w:val="single" w:color="auto" w:sz="4" w:space="0"/>
              <w:right w:val="single" w:color="auto" w:sz="8" w:space="0"/>
            </w:tcBorders>
            <w:vAlign w:val="center"/>
          </w:tcPr>
          <w:p w14:paraId="7FEEC4DA">
            <w:pPr>
              <w:spacing w:line="240" w:lineRule="auto"/>
              <w:ind w:firstLine="0" w:firstLineChars="0"/>
              <w:jc w:val="center"/>
              <w:rPr>
                <w:rFonts w:cs="Times New Roman"/>
                <w:sz w:val="24"/>
                <w:szCs w:val="24"/>
              </w:rPr>
            </w:pPr>
          </w:p>
        </w:tc>
      </w:tr>
      <w:tr w14:paraId="55B7F5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222" w:type="pct"/>
            <w:tcBorders>
              <w:left w:val="single" w:color="auto" w:sz="8" w:space="0"/>
              <w:right w:val="single" w:color="auto" w:sz="4" w:space="0"/>
            </w:tcBorders>
            <w:vAlign w:val="center"/>
          </w:tcPr>
          <w:p w14:paraId="2F10175E">
            <w:pPr>
              <w:spacing w:line="240" w:lineRule="auto"/>
              <w:ind w:firstLine="0" w:firstLineChars="0"/>
              <w:jc w:val="center"/>
              <w:rPr>
                <w:rFonts w:cs="Times New Roman"/>
                <w:sz w:val="24"/>
                <w:szCs w:val="24"/>
              </w:rPr>
            </w:pPr>
            <w:r>
              <w:rPr>
                <w:rFonts w:cs="Times New Roman"/>
                <w:sz w:val="24"/>
                <w:szCs w:val="24"/>
              </w:rPr>
              <w:t>2</w:t>
            </w:r>
          </w:p>
        </w:tc>
        <w:tc>
          <w:tcPr>
            <w:tcW w:w="300" w:type="pct"/>
            <w:tcBorders>
              <w:left w:val="single" w:color="auto" w:sz="4" w:space="0"/>
              <w:right w:val="single" w:color="auto" w:sz="4" w:space="0"/>
            </w:tcBorders>
            <w:vAlign w:val="center"/>
          </w:tcPr>
          <w:p w14:paraId="654F7036">
            <w:pPr>
              <w:spacing w:line="240" w:lineRule="auto"/>
              <w:ind w:firstLine="0" w:firstLineChars="0"/>
              <w:jc w:val="center"/>
              <w:rPr>
                <w:rFonts w:cs="Times New Roman"/>
                <w:sz w:val="24"/>
                <w:szCs w:val="24"/>
              </w:rPr>
            </w:pPr>
            <w:r>
              <w:rPr>
                <w:rFonts w:cs="Times New Roman"/>
                <w:sz w:val="24"/>
                <w:szCs w:val="24"/>
              </w:rPr>
              <w:t>辽宁省</w:t>
            </w:r>
          </w:p>
        </w:tc>
        <w:tc>
          <w:tcPr>
            <w:tcW w:w="310" w:type="pct"/>
            <w:tcBorders>
              <w:left w:val="single" w:color="auto" w:sz="4" w:space="0"/>
              <w:right w:val="single" w:color="auto" w:sz="4" w:space="0"/>
            </w:tcBorders>
            <w:vAlign w:val="center"/>
          </w:tcPr>
          <w:p w14:paraId="4E4F0BEB">
            <w:pPr>
              <w:spacing w:line="240" w:lineRule="auto"/>
              <w:ind w:firstLine="0" w:firstLineChars="0"/>
              <w:jc w:val="center"/>
              <w:rPr>
                <w:rFonts w:cs="Times New Roman"/>
                <w:sz w:val="24"/>
                <w:szCs w:val="24"/>
              </w:rPr>
            </w:pPr>
            <w:r>
              <w:rPr>
                <w:rFonts w:cs="Times New Roman"/>
                <w:sz w:val="24"/>
                <w:szCs w:val="24"/>
              </w:rPr>
              <w:t>本溪市</w:t>
            </w:r>
          </w:p>
        </w:tc>
        <w:tc>
          <w:tcPr>
            <w:tcW w:w="314" w:type="pct"/>
            <w:tcBorders>
              <w:left w:val="single" w:color="auto" w:sz="4" w:space="0"/>
              <w:right w:val="single" w:color="auto" w:sz="4" w:space="0"/>
            </w:tcBorders>
            <w:vAlign w:val="center"/>
          </w:tcPr>
          <w:p w14:paraId="2C068AEF">
            <w:pPr>
              <w:spacing w:line="240" w:lineRule="auto"/>
              <w:ind w:firstLine="0" w:firstLineChars="0"/>
              <w:jc w:val="center"/>
              <w:rPr>
                <w:rFonts w:cs="Times New Roman"/>
                <w:sz w:val="24"/>
                <w:szCs w:val="24"/>
              </w:rPr>
            </w:pPr>
            <w:r>
              <w:rPr>
                <w:rFonts w:cs="Times New Roman"/>
                <w:sz w:val="24"/>
                <w:szCs w:val="24"/>
              </w:rPr>
              <w:t>高新区</w:t>
            </w:r>
          </w:p>
        </w:tc>
        <w:tc>
          <w:tcPr>
            <w:tcW w:w="392" w:type="pct"/>
            <w:tcBorders>
              <w:left w:val="single" w:color="auto" w:sz="4" w:space="0"/>
              <w:right w:val="single" w:color="auto" w:sz="4" w:space="0"/>
            </w:tcBorders>
            <w:vAlign w:val="center"/>
          </w:tcPr>
          <w:p w14:paraId="5442BCE4">
            <w:pPr>
              <w:widowControl/>
              <w:spacing w:line="240" w:lineRule="auto"/>
              <w:ind w:firstLine="0" w:firstLineChars="0"/>
              <w:jc w:val="center"/>
              <w:rPr>
                <w:rFonts w:cs="Times New Roman"/>
                <w:sz w:val="24"/>
                <w:szCs w:val="24"/>
              </w:rPr>
            </w:pPr>
            <w:r>
              <w:rPr>
                <w:rFonts w:cs="Times New Roman"/>
                <w:sz w:val="24"/>
                <w:szCs w:val="24"/>
              </w:rPr>
              <w:t>姚千户桥</w:t>
            </w:r>
          </w:p>
        </w:tc>
        <w:tc>
          <w:tcPr>
            <w:tcW w:w="654" w:type="pct"/>
            <w:tcBorders>
              <w:left w:val="single" w:color="auto" w:sz="4" w:space="0"/>
              <w:right w:val="single" w:color="auto" w:sz="4" w:space="0"/>
            </w:tcBorders>
            <w:vAlign w:val="center"/>
          </w:tcPr>
          <w:p w14:paraId="75831A15">
            <w:pPr>
              <w:spacing w:line="240" w:lineRule="auto"/>
              <w:ind w:firstLine="0" w:firstLineChars="0"/>
              <w:jc w:val="center"/>
              <w:rPr>
                <w:rFonts w:cs="Times New Roman"/>
                <w:sz w:val="24"/>
                <w:szCs w:val="24"/>
              </w:rPr>
            </w:pPr>
            <w:r>
              <w:rPr>
                <w:rFonts w:cs="Times New Roman"/>
                <w:sz w:val="24"/>
                <w:szCs w:val="24"/>
              </w:rPr>
              <w:t>北沙河美丽河湖</w:t>
            </w:r>
          </w:p>
        </w:tc>
        <w:tc>
          <w:tcPr>
            <w:tcW w:w="779" w:type="pct"/>
            <w:tcBorders>
              <w:left w:val="single" w:color="auto" w:sz="4" w:space="0"/>
              <w:right w:val="single" w:color="auto" w:sz="4" w:space="0"/>
            </w:tcBorders>
            <w:vAlign w:val="center"/>
          </w:tcPr>
          <w:p w14:paraId="35447D23">
            <w:pPr>
              <w:spacing w:line="240" w:lineRule="auto"/>
              <w:ind w:firstLine="0" w:firstLineChars="0"/>
              <w:jc w:val="center"/>
              <w:rPr>
                <w:rFonts w:cs="Times New Roman"/>
                <w:sz w:val="24"/>
                <w:szCs w:val="24"/>
              </w:rPr>
            </w:pPr>
            <w:r>
              <w:rPr>
                <w:rFonts w:cs="Times New Roman"/>
                <w:sz w:val="24"/>
                <w:szCs w:val="24"/>
              </w:rPr>
              <w:t>重要入河（湖）口</w:t>
            </w:r>
          </w:p>
        </w:tc>
        <w:tc>
          <w:tcPr>
            <w:tcW w:w="428" w:type="pct"/>
            <w:tcBorders>
              <w:left w:val="single" w:color="auto" w:sz="4" w:space="0"/>
              <w:right w:val="single" w:color="auto" w:sz="4" w:space="0"/>
            </w:tcBorders>
            <w:vAlign w:val="center"/>
          </w:tcPr>
          <w:p w14:paraId="3C18C20B">
            <w:pPr>
              <w:spacing w:line="240" w:lineRule="auto"/>
              <w:ind w:firstLine="0" w:firstLineChars="0"/>
              <w:jc w:val="center"/>
              <w:rPr>
                <w:rFonts w:cs="Times New Roman"/>
                <w:sz w:val="24"/>
                <w:szCs w:val="24"/>
              </w:rPr>
            </w:pPr>
            <w:r>
              <w:rPr>
                <w:rFonts w:cs="Times New Roman"/>
                <w:sz w:val="24"/>
                <w:szCs w:val="24"/>
              </w:rPr>
              <w:t>123.7439</w:t>
            </w:r>
          </w:p>
        </w:tc>
        <w:tc>
          <w:tcPr>
            <w:tcW w:w="412" w:type="pct"/>
            <w:tcBorders>
              <w:left w:val="single" w:color="auto" w:sz="4" w:space="0"/>
              <w:right w:val="single" w:color="auto" w:sz="4" w:space="0"/>
            </w:tcBorders>
            <w:vAlign w:val="center"/>
          </w:tcPr>
          <w:p w14:paraId="664C17FF">
            <w:pPr>
              <w:spacing w:line="240" w:lineRule="auto"/>
              <w:ind w:firstLine="0" w:firstLineChars="0"/>
              <w:jc w:val="center"/>
              <w:rPr>
                <w:rFonts w:cs="Times New Roman"/>
                <w:sz w:val="24"/>
                <w:szCs w:val="24"/>
              </w:rPr>
            </w:pPr>
            <w:r>
              <w:rPr>
                <w:rFonts w:cs="Times New Roman"/>
                <w:sz w:val="24"/>
                <w:szCs w:val="24"/>
              </w:rPr>
              <w:t>41.5024</w:t>
            </w:r>
          </w:p>
        </w:tc>
        <w:tc>
          <w:tcPr>
            <w:tcW w:w="497" w:type="pct"/>
            <w:tcBorders>
              <w:left w:val="single" w:color="auto" w:sz="4" w:space="0"/>
              <w:right w:val="single" w:color="auto" w:sz="4" w:space="0"/>
            </w:tcBorders>
            <w:vAlign w:val="center"/>
          </w:tcPr>
          <w:p w14:paraId="5C209D05">
            <w:pPr>
              <w:spacing w:line="240" w:lineRule="auto"/>
              <w:ind w:firstLine="0" w:firstLineChars="0"/>
              <w:jc w:val="center"/>
              <w:rPr>
                <w:rFonts w:cs="Times New Roman"/>
                <w:sz w:val="24"/>
                <w:szCs w:val="24"/>
              </w:rPr>
            </w:pPr>
            <w:r>
              <w:rPr>
                <w:rFonts w:cs="Times New Roman"/>
                <w:sz w:val="24"/>
                <w:szCs w:val="24"/>
              </w:rPr>
              <w:t>750</w:t>
            </w:r>
          </w:p>
        </w:tc>
        <w:tc>
          <w:tcPr>
            <w:tcW w:w="511" w:type="pct"/>
            <w:tcBorders>
              <w:left w:val="single" w:color="auto" w:sz="4" w:space="0"/>
              <w:right w:val="single" w:color="auto" w:sz="4" w:space="0"/>
            </w:tcBorders>
            <w:vAlign w:val="center"/>
          </w:tcPr>
          <w:p w14:paraId="0F2F14DC">
            <w:pPr>
              <w:spacing w:line="240" w:lineRule="auto"/>
              <w:ind w:firstLine="0" w:firstLineChars="0"/>
              <w:jc w:val="center"/>
              <w:rPr>
                <w:rFonts w:cs="Times New Roman"/>
                <w:sz w:val="24"/>
                <w:szCs w:val="24"/>
              </w:rPr>
            </w:pPr>
            <w:r>
              <w:rPr>
                <w:rFonts w:cs="Times New Roman"/>
                <w:sz w:val="24"/>
                <w:szCs w:val="24"/>
              </w:rPr>
              <w:t>2025年</w:t>
            </w:r>
          </w:p>
        </w:tc>
        <w:tc>
          <w:tcPr>
            <w:tcW w:w="175" w:type="pct"/>
            <w:tcBorders>
              <w:left w:val="single" w:color="auto" w:sz="4" w:space="0"/>
              <w:right w:val="single" w:color="auto" w:sz="8" w:space="0"/>
            </w:tcBorders>
            <w:vAlign w:val="center"/>
          </w:tcPr>
          <w:p w14:paraId="40C34ADD">
            <w:pPr>
              <w:spacing w:line="240" w:lineRule="auto"/>
              <w:ind w:firstLine="0" w:firstLineChars="0"/>
              <w:jc w:val="center"/>
              <w:rPr>
                <w:rFonts w:cs="Times New Roman"/>
                <w:sz w:val="24"/>
                <w:szCs w:val="24"/>
              </w:rPr>
            </w:pPr>
          </w:p>
        </w:tc>
      </w:tr>
    </w:tbl>
    <w:p w14:paraId="5D02014E">
      <w:pPr>
        <w:spacing w:line="240" w:lineRule="auto"/>
        <w:ind w:firstLine="960" w:firstLineChars="400"/>
        <w:rPr>
          <w:rFonts w:cs="Times New Roman"/>
          <w:sz w:val="24"/>
          <w:szCs w:val="24"/>
        </w:rPr>
      </w:pPr>
    </w:p>
    <w:p w14:paraId="6C649ECB">
      <w:pPr>
        <w:pStyle w:val="4"/>
        <w:spacing w:after="0"/>
        <w:rPr>
          <w:rFonts w:ascii="Times New Roman" w:hAnsi="Times New Roman" w:cs="Times New Roman"/>
          <w:lang w:val="en-US"/>
        </w:rPr>
      </w:pPr>
      <w:r>
        <w:rPr>
          <w:rFonts w:ascii="Times New Roman" w:hAnsi="Times New Roman" w:cs="Times New Roman"/>
          <w:sz w:val="24"/>
          <w:szCs w:val="24"/>
        </w:rPr>
        <w:br w:type="page"/>
      </w:r>
      <w:bookmarkStart w:id="243" w:name="_Toc8708"/>
      <w:r>
        <w:rPr>
          <w:rFonts w:ascii="Times New Roman" w:hAnsi="Times New Roman" w:cs="Times New Roman"/>
          <w:sz w:val="24"/>
          <w:szCs w:val="24"/>
          <w:lang w:val="en-US"/>
        </w:rPr>
        <w:t xml:space="preserve">附表3 </w:t>
      </w:r>
      <w:r>
        <w:rPr>
          <w:rFonts w:hint="eastAsia" w:ascii="Times New Roman" w:hAnsi="Times New Roman" w:cs="Times New Roman"/>
          <w:sz w:val="24"/>
          <w:szCs w:val="24"/>
          <w:lang w:val="en-US"/>
        </w:rPr>
        <w:t xml:space="preserve"> </w:t>
      </w:r>
      <w:r>
        <w:rPr>
          <w:rFonts w:ascii="Times New Roman" w:hAnsi="Times New Roman" w:cs="Times New Roman"/>
          <w:sz w:val="24"/>
          <w:szCs w:val="24"/>
          <w:lang w:val="en-US"/>
        </w:rPr>
        <w:t>规划工程项目表</w:t>
      </w:r>
      <w:bookmarkEnd w:id="243"/>
    </w:p>
    <w:tbl>
      <w:tblPr>
        <w:tblStyle w:val="19"/>
        <w:tblW w:w="150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9"/>
        <w:gridCol w:w="1269"/>
        <w:gridCol w:w="2659"/>
        <w:gridCol w:w="5860"/>
        <w:gridCol w:w="1243"/>
        <w:gridCol w:w="1214"/>
        <w:gridCol w:w="1503"/>
        <w:gridCol w:w="847"/>
      </w:tblGrid>
      <w:tr w14:paraId="79131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469" w:type="dxa"/>
            <w:vAlign w:val="center"/>
          </w:tcPr>
          <w:p w14:paraId="0D33D806">
            <w:pPr>
              <w:pStyle w:val="9"/>
              <w:spacing w:line="240" w:lineRule="auto"/>
              <w:ind w:firstLine="0" w:firstLineChars="0"/>
              <w:jc w:val="center"/>
              <w:rPr>
                <w:rFonts w:ascii="Times New Roman" w:hAnsi="Times New Roman" w:cs="Times New Roman"/>
                <w:b/>
                <w:bCs/>
                <w:sz w:val="21"/>
                <w:szCs w:val="21"/>
              </w:rPr>
            </w:pPr>
            <w:r>
              <w:rPr>
                <w:rFonts w:ascii="Times New Roman" w:hAnsi="Times New Roman" w:cs="Times New Roman"/>
                <w:b/>
                <w:bCs/>
                <w:sz w:val="21"/>
                <w:szCs w:val="21"/>
                <w:lang w:val="en-US"/>
              </w:rPr>
              <w:t>序号</w:t>
            </w:r>
          </w:p>
        </w:tc>
        <w:tc>
          <w:tcPr>
            <w:tcW w:w="1269" w:type="dxa"/>
            <w:vAlign w:val="center"/>
          </w:tcPr>
          <w:p w14:paraId="3C02FF22">
            <w:pPr>
              <w:pStyle w:val="9"/>
              <w:spacing w:line="240" w:lineRule="auto"/>
              <w:ind w:firstLine="0" w:firstLineChars="0"/>
              <w:jc w:val="center"/>
              <w:rPr>
                <w:rFonts w:ascii="Times New Roman" w:hAnsi="Times New Roman" w:cs="Times New Roman"/>
                <w:b/>
                <w:bCs/>
                <w:sz w:val="21"/>
                <w:szCs w:val="21"/>
              </w:rPr>
            </w:pPr>
            <w:r>
              <w:rPr>
                <w:rFonts w:ascii="Times New Roman" w:hAnsi="Times New Roman" w:cs="Times New Roman"/>
                <w:b/>
                <w:bCs/>
                <w:sz w:val="21"/>
                <w:szCs w:val="21"/>
                <w:lang w:val="en-US"/>
              </w:rPr>
              <w:t>汇水范围</w:t>
            </w:r>
          </w:p>
        </w:tc>
        <w:tc>
          <w:tcPr>
            <w:tcW w:w="2659" w:type="dxa"/>
            <w:vAlign w:val="center"/>
          </w:tcPr>
          <w:p w14:paraId="6F7BD240">
            <w:pPr>
              <w:pStyle w:val="9"/>
              <w:spacing w:line="240" w:lineRule="auto"/>
              <w:ind w:firstLine="0" w:firstLineChars="0"/>
              <w:jc w:val="center"/>
              <w:rPr>
                <w:rFonts w:ascii="Times New Roman" w:hAnsi="Times New Roman" w:cs="Times New Roman"/>
                <w:b/>
                <w:bCs/>
                <w:sz w:val="21"/>
                <w:szCs w:val="21"/>
              </w:rPr>
            </w:pPr>
            <w:r>
              <w:rPr>
                <w:rFonts w:ascii="Times New Roman" w:hAnsi="Times New Roman" w:cs="Times New Roman"/>
                <w:b/>
                <w:bCs/>
                <w:sz w:val="21"/>
                <w:szCs w:val="21"/>
                <w:lang w:val="en-US"/>
              </w:rPr>
              <w:t>项目名称</w:t>
            </w:r>
          </w:p>
        </w:tc>
        <w:tc>
          <w:tcPr>
            <w:tcW w:w="5860" w:type="dxa"/>
            <w:vAlign w:val="center"/>
          </w:tcPr>
          <w:p w14:paraId="3031D480">
            <w:pPr>
              <w:pStyle w:val="9"/>
              <w:spacing w:line="240" w:lineRule="auto"/>
              <w:ind w:firstLine="0" w:firstLineChars="0"/>
              <w:jc w:val="center"/>
              <w:rPr>
                <w:rFonts w:ascii="Times New Roman" w:hAnsi="Times New Roman" w:cs="Times New Roman"/>
                <w:b/>
                <w:bCs/>
                <w:sz w:val="21"/>
                <w:szCs w:val="21"/>
              </w:rPr>
            </w:pPr>
            <w:r>
              <w:rPr>
                <w:rFonts w:ascii="Times New Roman" w:hAnsi="Times New Roman" w:cs="Times New Roman"/>
                <w:b/>
                <w:bCs/>
                <w:sz w:val="21"/>
                <w:szCs w:val="21"/>
                <w:lang w:val="en-US"/>
              </w:rPr>
              <w:t>项目概况</w:t>
            </w:r>
          </w:p>
        </w:tc>
        <w:tc>
          <w:tcPr>
            <w:tcW w:w="1243" w:type="dxa"/>
            <w:vAlign w:val="center"/>
          </w:tcPr>
          <w:p w14:paraId="4789CEE6">
            <w:pPr>
              <w:pStyle w:val="9"/>
              <w:spacing w:line="240" w:lineRule="auto"/>
              <w:ind w:firstLine="0" w:firstLineChars="0"/>
              <w:jc w:val="center"/>
              <w:rPr>
                <w:rFonts w:ascii="Times New Roman" w:hAnsi="Times New Roman" w:cs="Times New Roman"/>
                <w:b/>
                <w:bCs/>
                <w:sz w:val="21"/>
                <w:szCs w:val="21"/>
                <w:lang w:val="en-US"/>
              </w:rPr>
            </w:pPr>
            <w:r>
              <w:rPr>
                <w:rFonts w:ascii="Times New Roman" w:hAnsi="Times New Roman" w:cs="Times New Roman"/>
                <w:b/>
                <w:bCs/>
                <w:sz w:val="21"/>
                <w:szCs w:val="21"/>
                <w:lang w:val="en-US"/>
              </w:rPr>
              <w:t>投资</w:t>
            </w:r>
          </w:p>
          <w:p w14:paraId="4B0B60BF">
            <w:pPr>
              <w:pStyle w:val="9"/>
              <w:spacing w:line="240" w:lineRule="auto"/>
              <w:ind w:firstLine="0" w:firstLineChars="0"/>
              <w:jc w:val="center"/>
              <w:rPr>
                <w:rFonts w:ascii="Times New Roman" w:hAnsi="Times New Roman" w:cs="Times New Roman"/>
                <w:b/>
                <w:bCs/>
                <w:sz w:val="21"/>
                <w:szCs w:val="21"/>
              </w:rPr>
            </w:pPr>
            <w:r>
              <w:rPr>
                <w:rFonts w:ascii="Times New Roman" w:hAnsi="Times New Roman" w:cs="Times New Roman"/>
                <w:b/>
                <w:bCs/>
                <w:sz w:val="21"/>
                <w:szCs w:val="21"/>
                <w:lang w:val="en-US"/>
              </w:rPr>
              <w:t>（万元）</w:t>
            </w:r>
          </w:p>
        </w:tc>
        <w:tc>
          <w:tcPr>
            <w:tcW w:w="1214" w:type="dxa"/>
            <w:noWrap/>
            <w:vAlign w:val="center"/>
          </w:tcPr>
          <w:p w14:paraId="34EA1402">
            <w:pPr>
              <w:pStyle w:val="9"/>
              <w:spacing w:line="240" w:lineRule="auto"/>
              <w:ind w:firstLine="0" w:firstLineChars="0"/>
              <w:jc w:val="center"/>
              <w:rPr>
                <w:rFonts w:ascii="Times New Roman" w:hAnsi="Times New Roman" w:cs="Times New Roman"/>
                <w:b/>
                <w:bCs/>
                <w:sz w:val="21"/>
                <w:szCs w:val="21"/>
              </w:rPr>
            </w:pPr>
            <w:r>
              <w:rPr>
                <w:rFonts w:ascii="Times New Roman" w:hAnsi="Times New Roman" w:cs="Times New Roman"/>
                <w:b/>
                <w:bCs/>
                <w:sz w:val="21"/>
                <w:szCs w:val="21"/>
                <w:lang w:val="en-US"/>
              </w:rPr>
              <w:t>项目大类</w:t>
            </w:r>
          </w:p>
        </w:tc>
        <w:tc>
          <w:tcPr>
            <w:tcW w:w="1503" w:type="dxa"/>
            <w:vAlign w:val="center"/>
          </w:tcPr>
          <w:p w14:paraId="17FD7DB7">
            <w:pPr>
              <w:pStyle w:val="9"/>
              <w:spacing w:line="240" w:lineRule="auto"/>
              <w:ind w:firstLine="0" w:firstLineChars="0"/>
              <w:jc w:val="center"/>
              <w:rPr>
                <w:rFonts w:ascii="Times New Roman" w:hAnsi="Times New Roman" w:cs="Times New Roman"/>
                <w:b/>
                <w:bCs/>
                <w:sz w:val="21"/>
                <w:szCs w:val="21"/>
              </w:rPr>
            </w:pPr>
            <w:r>
              <w:rPr>
                <w:rFonts w:ascii="Times New Roman" w:hAnsi="Times New Roman" w:cs="Times New Roman"/>
                <w:b/>
                <w:bCs/>
                <w:sz w:val="21"/>
                <w:szCs w:val="21"/>
                <w:lang w:val="en-US"/>
              </w:rPr>
              <w:t>项目细类</w:t>
            </w:r>
          </w:p>
        </w:tc>
        <w:tc>
          <w:tcPr>
            <w:tcW w:w="847" w:type="dxa"/>
            <w:noWrap/>
            <w:vAlign w:val="center"/>
          </w:tcPr>
          <w:p w14:paraId="4056546A">
            <w:pPr>
              <w:pStyle w:val="9"/>
              <w:spacing w:line="240" w:lineRule="auto"/>
              <w:ind w:firstLine="0" w:firstLineChars="0"/>
              <w:jc w:val="center"/>
              <w:rPr>
                <w:rFonts w:ascii="Times New Roman" w:hAnsi="Times New Roman" w:cs="Times New Roman"/>
                <w:b/>
                <w:bCs/>
                <w:sz w:val="21"/>
                <w:szCs w:val="21"/>
              </w:rPr>
            </w:pPr>
            <w:r>
              <w:rPr>
                <w:rFonts w:ascii="Times New Roman" w:hAnsi="Times New Roman" w:cs="Times New Roman"/>
                <w:b/>
                <w:bCs/>
                <w:sz w:val="21"/>
                <w:szCs w:val="21"/>
                <w:lang w:val="en-US"/>
              </w:rPr>
              <w:t>实施年限</w:t>
            </w:r>
          </w:p>
        </w:tc>
      </w:tr>
      <w:tr w14:paraId="322E1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7BAFFFA1">
            <w:pPr>
              <w:pStyle w:val="9"/>
              <w:spacing w:line="240" w:lineRule="auto"/>
              <w:ind w:firstLine="0" w:firstLineChars="0"/>
              <w:rPr>
                <w:rFonts w:ascii="Times New Roman" w:hAnsi="Times New Roman" w:cs="Times New Roman"/>
                <w:sz w:val="21"/>
                <w:szCs w:val="21"/>
              </w:rPr>
            </w:pPr>
            <w:r>
              <w:rPr>
                <w:rFonts w:ascii="Times New Roman" w:hAnsi="Times New Roman" w:cs="Times New Roman"/>
                <w:sz w:val="21"/>
                <w:szCs w:val="21"/>
                <w:lang w:val="en-US"/>
              </w:rPr>
              <w:t>1</w:t>
            </w:r>
          </w:p>
        </w:tc>
        <w:tc>
          <w:tcPr>
            <w:tcW w:w="1269" w:type="dxa"/>
            <w:vAlign w:val="center"/>
          </w:tcPr>
          <w:p w14:paraId="7D376FEE">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南太子河入库口</w:t>
            </w:r>
          </w:p>
        </w:tc>
        <w:tc>
          <w:tcPr>
            <w:tcW w:w="2659" w:type="dxa"/>
            <w:vAlign w:val="center"/>
          </w:tcPr>
          <w:p w14:paraId="0F6F2799">
            <w:pPr>
              <w:pStyle w:val="9"/>
              <w:spacing w:line="240" w:lineRule="auto"/>
              <w:ind w:firstLine="0" w:firstLineChars="0"/>
              <w:rPr>
                <w:rFonts w:ascii="Times New Roman" w:hAnsi="Times New Roman" w:cs="Times New Roman"/>
                <w:sz w:val="21"/>
                <w:szCs w:val="21"/>
                <w:lang w:val="en-US"/>
              </w:rPr>
            </w:pPr>
            <w:r>
              <w:rPr>
                <w:rFonts w:hint="default" w:ascii="Times New Roman" w:hAnsi="Times New Roman" w:cs="Times New Roman"/>
                <w:sz w:val="21"/>
                <w:szCs w:val="21"/>
                <w:lang w:val="en-US" w:eastAsia="zh-CN"/>
              </w:rPr>
              <w:t>本溪满族自治县田师付独立工矿区碱厂片区污水处理厂工程</w:t>
            </w:r>
          </w:p>
        </w:tc>
        <w:tc>
          <w:tcPr>
            <w:tcW w:w="5860" w:type="dxa"/>
            <w:vAlign w:val="center"/>
          </w:tcPr>
          <w:p w14:paraId="37BD7130">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在碱厂镇新建日处理</w:t>
            </w:r>
            <w:r>
              <w:rPr>
                <w:rFonts w:hint="eastAsia" w:ascii="Times New Roman" w:hAnsi="Times New Roman" w:cs="Times New Roman"/>
                <w:sz w:val="21"/>
                <w:szCs w:val="21"/>
                <w:lang w:val="en-US" w:eastAsia="zh-CN"/>
              </w:rPr>
              <w:t>2</w:t>
            </w:r>
            <w:r>
              <w:rPr>
                <w:rFonts w:ascii="Times New Roman" w:hAnsi="Times New Roman" w:cs="Times New Roman"/>
                <w:sz w:val="21"/>
                <w:szCs w:val="21"/>
                <w:lang w:val="en-US"/>
              </w:rPr>
              <w:t>000吨污水处理厂一座。建粗格栅及进水泵阀一座；细格栅及旋流沉沙池一个；综合池一个；高效浅层滤池一个；接触消毒池1个；巴歇尔计量槽1个；综合用房一座；变电房1座。污泥脱水机房一座；锅炉房1座；购置设备及配套管网铺设。</w:t>
            </w:r>
          </w:p>
        </w:tc>
        <w:tc>
          <w:tcPr>
            <w:tcW w:w="1243" w:type="dxa"/>
            <w:vAlign w:val="center"/>
          </w:tcPr>
          <w:p w14:paraId="545A88D7">
            <w:pPr>
              <w:pStyle w:val="9"/>
              <w:spacing w:line="240" w:lineRule="auto"/>
              <w:ind w:firstLine="0" w:firstLineChars="0"/>
              <w:rPr>
                <w:rFonts w:ascii="Times New Roman" w:hAnsi="Times New Roman" w:cs="Times New Roman"/>
                <w:sz w:val="21"/>
                <w:szCs w:val="21"/>
                <w:lang w:val="en-US"/>
              </w:rPr>
            </w:pPr>
            <w:r>
              <w:rPr>
                <w:rFonts w:hint="eastAsia" w:ascii="Times New Roman" w:hAnsi="Times New Roman" w:cs="Times New Roman"/>
                <w:sz w:val="21"/>
                <w:szCs w:val="21"/>
                <w:lang w:val="en-US" w:eastAsia="zh-CN"/>
              </w:rPr>
              <w:t>1433.54</w:t>
            </w:r>
          </w:p>
        </w:tc>
        <w:tc>
          <w:tcPr>
            <w:tcW w:w="1214" w:type="dxa"/>
            <w:noWrap/>
            <w:vAlign w:val="center"/>
          </w:tcPr>
          <w:p w14:paraId="50C06DD8">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城镇污水处理及管网建设</w:t>
            </w:r>
          </w:p>
        </w:tc>
        <w:tc>
          <w:tcPr>
            <w:tcW w:w="1503" w:type="dxa"/>
            <w:vAlign w:val="center"/>
          </w:tcPr>
          <w:p w14:paraId="57345524">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城镇污水处理设施建设与改造</w:t>
            </w:r>
          </w:p>
        </w:tc>
        <w:tc>
          <w:tcPr>
            <w:tcW w:w="847" w:type="dxa"/>
            <w:noWrap/>
            <w:vAlign w:val="center"/>
          </w:tcPr>
          <w:p w14:paraId="61BA99ED">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603AA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697ECB51">
            <w:pPr>
              <w:pStyle w:val="9"/>
              <w:spacing w:line="240" w:lineRule="auto"/>
              <w:ind w:firstLine="0" w:firstLineChars="0"/>
              <w:rPr>
                <w:rFonts w:hint="eastAsia" w:ascii="Times New Roman" w:hAnsi="Times New Roman" w:eastAsia="仿宋" w:cs="Times New Roman"/>
                <w:sz w:val="21"/>
                <w:szCs w:val="21"/>
                <w:lang w:eastAsia="zh-CN"/>
              </w:rPr>
            </w:pPr>
            <w:r>
              <w:rPr>
                <w:rFonts w:hint="eastAsia" w:ascii="Times New Roman" w:hAnsi="Times New Roman" w:cs="Times New Roman"/>
                <w:sz w:val="21"/>
                <w:szCs w:val="21"/>
                <w:lang w:val="en-US" w:eastAsia="zh-CN"/>
              </w:rPr>
              <w:t>2</w:t>
            </w:r>
          </w:p>
        </w:tc>
        <w:tc>
          <w:tcPr>
            <w:tcW w:w="1269" w:type="dxa"/>
            <w:vAlign w:val="center"/>
          </w:tcPr>
          <w:p w14:paraId="0B602AB5">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南太子河入库口</w:t>
            </w:r>
          </w:p>
        </w:tc>
        <w:tc>
          <w:tcPr>
            <w:tcW w:w="2659" w:type="dxa"/>
            <w:vAlign w:val="center"/>
          </w:tcPr>
          <w:p w14:paraId="78A94786">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本溪县乡村污水治理项目（兰河峪村等）</w:t>
            </w:r>
          </w:p>
        </w:tc>
        <w:tc>
          <w:tcPr>
            <w:tcW w:w="5860" w:type="dxa"/>
            <w:vAlign w:val="center"/>
          </w:tcPr>
          <w:p w14:paraId="6D462158">
            <w:pPr>
              <w:pStyle w:val="9"/>
              <w:spacing w:line="240" w:lineRule="auto"/>
              <w:ind w:firstLine="0" w:firstLineChars="0"/>
              <w:rPr>
                <w:rFonts w:ascii="Times New Roman" w:hAnsi="Times New Roman" w:cs="Times New Roman"/>
                <w:sz w:val="21"/>
                <w:szCs w:val="21"/>
                <w:lang w:val="en-US"/>
              </w:rPr>
            </w:pPr>
            <w:r>
              <w:rPr>
                <w:rFonts w:hint="eastAsia" w:ascii="Times New Roman" w:hAnsi="Times New Roman" w:cs="Times New Roman"/>
                <w:sz w:val="21"/>
                <w:szCs w:val="21"/>
                <w:lang w:val="en-US" w:eastAsia="zh-CN"/>
              </w:rPr>
              <w:t>在兰河峪等村建设农村生活污水集中收集处理设施。</w:t>
            </w:r>
          </w:p>
        </w:tc>
        <w:tc>
          <w:tcPr>
            <w:tcW w:w="1243" w:type="dxa"/>
            <w:vAlign w:val="center"/>
          </w:tcPr>
          <w:p w14:paraId="5382DFBD">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879.45</w:t>
            </w:r>
          </w:p>
        </w:tc>
        <w:tc>
          <w:tcPr>
            <w:tcW w:w="1214" w:type="dxa"/>
            <w:noWrap/>
            <w:vAlign w:val="center"/>
          </w:tcPr>
          <w:p w14:paraId="2CE78A03">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农业农村污染防治</w:t>
            </w:r>
          </w:p>
        </w:tc>
        <w:tc>
          <w:tcPr>
            <w:tcW w:w="1503" w:type="dxa"/>
            <w:vAlign w:val="center"/>
          </w:tcPr>
          <w:p w14:paraId="52E6C911">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农村污水收集与处理工程</w:t>
            </w:r>
          </w:p>
        </w:tc>
        <w:tc>
          <w:tcPr>
            <w:tcW w:w="847" w:type="dxa"/>
            <w:noWrap/>
            <w:vAlign w:val="center"/>
          </w:tcPr>
          <w:p w14:paraId="0B771995">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77877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1690F62F">
            <w:pPr>
              <w:pStyle w:val="9"/>
              <w:spacing w:line="240" w:lineRule="auto"/>
              <w:ind w:firstLine="0" w:firstLineChars="0"/>
              <w:rPr>
                <w:rFonts w:hint="eastAsia" w:ascii="Times New Roman" w:hAnsi="Times New Roman" w:eastAsia="仿宋" w:cs="Times New Roman"/>
                <w:sz w:val="21"/>
                <w:szCs w:val="21"/>
                <w:lang w:eastAsia="zh-CN"/>
              </w:rPr>
            </w:pPr>
            <w:r>
              <w:rPr>
                <w:rFonts w:hint="eastAsia" w:ascii="Times New Roman" w:hAnsi="Times New Roman" w:cs="Times New Roman"/>
                <w:sz w:val="21"/>
                <w:szCs w:val="21"/>
                <w:lang w:val="en-US" w:eastAsia="zh-CN"/>
              </w:rPr>
              <w:t>3</w:t>
            </w:r>
          </w:p>
        </w:tc>
        <w:tc>
          <w:tcPr>
            <w:tcW w:w="1269" w:type="dxa"/>
            <w:vAlign w:val="center"/>
          </w:tcPr>
          <w:p w14:paraId="76664F6C">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赛梨寨</w:t>
            </w:r>
          </w:p>
        </w:tc>
        <w:tc>
          <w:tcPr>
            <w:tcW w:w="2659" w:type="dxa"/>
            <w:vAlign w:val="center"/>
          </w:tcPr>
          <w:p w14:paraId="2516CEAE">
            <w:pPr>
              <w:pStyle w:val="9"/>
              <w:spacing w:line="240" w:lineRule="auto"/>
              <w:ind w:firstLine="0" w:firstLineChars="0"/>
              <w:rPr>
                <w:rFonts w:ascii="Times New Roman" w:hAnsi="Times New Roman" w:cs="Times New Roman"/>
                <w:sz w:val="21"/>
                <w:szCs w:val="21"/>
                <w:lang w:val="en-US"/>
              </w:rPr>
            </w:pPr>
            <w:r>
              <w:rPr>
                <w:rFonts w:hint="eastAsia" w:ascii="Times New Roman" w:hAnsi="Times New Roman" w:cs="Times New Roman"/>
                <w:sz w:val="21"/>
                <w:szCs w:val="21"/>
                <w:lang w:val="en-US" w:eastAsia="zh-CN"/>
              </w:rPr>
              <w:t>本溪县观音阁水库区农村生活污水分散治理项目</w:t>
            </w:r>
          </w:p>
        </w:tc>
        <w:tc>
          <w:tcPr>
            <w:tcW w:w="5860" w:type="dxa"/>
            <w:vAlign w:val="center"/>
          </w:tcPr>
          <w:p w14:paraId="6FCED4EE">
            <w:pPr>
              <w:pStyle w:val="9"/>
              <w:spacing w:line="240" w:lineRule="auto"/>
              <w:ind w:firstLine="0" w:firstLineChars="0"/>
              <w:rPr>
                <w:rFonts w:ascii="Times New Roman" w:hAnsi="Times New Roman" w:cs="Times New Roman"/>
                <w:sz w:val="21"/>
                <w:szCs w:val="21"/>
                <w:lang w:val="en-US"/>
              </w:rPr>
            </w:pPr>
            <w:r>
              <w:rPr>
                <w:rFonts w:hint="eastAsia" w:ascii="Times New Roman" w:hAnsi="Times New Roman" w:cs="Times New Roman"/>
                <w:sz w:val="21"/>
                <w:szCs w:val="21"/>
                <w:lang w:val="en-US" w:eastAsia="zh-CN"/>
              </w:rPr>
              <w:t>本溪县观音阁水库保护区内的11个建制村的农村生活污水收集处理。</w:t>
            </w:r>
          </w:p>
        </w:tc>
        <w:tc>
          <w:tcPr>
            <w:tcW w:w="1243" w:type="dxa"/>
            <w:vAlign w:val="center"/>
          </w:tcPr>
          <w:p w14:paraId="1B9D3C82">
            <w:pPr>
              <w:pStyle w:val="9"/>
              <w:spacing w:line="240" w:lineRule="auto"/>
              <w:ind w:firstLine="0" w:firstLineChars="0"/>
              <w:rPr>
                <w:rFonts w:ascii="Times New Roman" w:hAnsi="Times New Roman" w:cs="Times New Roman"/>
                <w:sz w:val="21"/>
                <w:szCs w:val="21"/>
                <w:lang w:val="en-US"/>
              </w:rPr>
            </w:pPr>
            <w:r>
              <w:rPr>
                <w:rFonts w:hint="eastAsia" w:ascii="Times New Roman" w:hAnsi="Times New Roman" w:cs="Times New Roman"/>
                <w:sz w:val="21"/>
                <w:szCs w:val="21"/>
                <w:lang w:val="en-US" w:eastAsia="zh-CN"/>
              </w:rPr>
              <w:t>2222</w:t>
            </w:r>
          </w:p>
        </w:tc>
        <w:tc>
          <w:tcPr>
            <w:tcW w:w="1214" w:type="dxa"/>
            <w:noWrap/>
            <w:vAlign w:val="center"/>
          </w:tcPr>
          <w:p w14:paraId="34D19662">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农业农村污染防治</w:t>
            </w:r>
          </w:p>
        </w:tc>
        <w:tc>
          <w:tcPr>
            <w:tcW w:w="1503" w:type="dxa"/>
            <w:vAlign w:val="center"/>
          </w:tcPr>
          <w:p w14:paraId="2E705917">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农村污水收集与处理工程</w:t>
            </w:r>
          </w:p>
        </w:tc>
        <w:tc>
          <w:tcPr>
            <w:tcW w:w="847" w:type="dxa"/>
            <w:noWrap/>
            <w:vAlign w:val="center"/>
          </w:tcPr>
          <w:p w14:paraId="35EAAC5B">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634C1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43D586F0">
            <w:pPr>
              <w:pStyle w:val="9"/>
              <w:spacing w:line="240" w:lineRule="auto"/>
              <w:ind w:firstLine="0" w:firstLineChars="0"/>
              <w:rPr>
                <w:rFonts w:hint="eastAsia" w:ascii="Times New Roman" w:hAnsi="Times New Roman" w:eastAsia="仿宋" w:cs="Times New Roman"/>
                <w:sz w:val="21"/>
                <w:szCs w:val="21"/>
                <w:lang w:eastAsia="zh-CN"/>
              </w:rPr>
            </w:pPr>
            <w:r>
              <w:rPr>
                <w:rFonts w:hint="eastAsia" w:ascii="Times New Roman" w:hAnsi="Times New Roman" w:eastAsia="仿宋" w:cs="Times New Roman"/>
                <w:sz w:val="21"/>
                <w:szCs w:val="21"/>
                <w:lang w:val="en-US" w:eastAsia="zh-CN"/>
              </w:rPr>
              <w:t>4</w:t>
            </w:r>
          </w:p>
        </w:tc>
        <w:tc>
          <w:tcPr>
            <w:tcW w:w="1269" w:type="dxa"/>
            <w:vAlign w:val="center"/>
          </w:tcPr>
          <w:p w14:paraId="74FD22C2">
            <w:pPr>
              <w:pStyle w:val="9"/>
              <w:spacing w:line="240" w:lineRule="auto"/>
              <w:ind w:firstLine="0" w:firstLineChars="0"/>
              <w:rPr>
                <w:rFonts w:hint="eastAsia" w:ascii="Times New Roman" w:hAnsi="Times New Roman" w:eastAsia="仿宋" w:cs="Times New Roman"/>
                <w:sz w:val="21"/>
                <w:szCs w:val="21"/>
                <w:lang w:val="en-US" w:eastAsia="zh-CN"/>
              </w:rPr>
            </w:pPr>
            <w:r>
              <w:rPr>
                <w:rFonts w:hint="eastAsia" w:ascii="Times New Roman" w:hAnsi="Times New Roman" w:eastAsia="仿宋" w:cs="Times New Roman"/>
                <w:sz w:val="21"/>
                <w:szCs w:val="21"/>
                <w:lang w:val="en-US" w:eastAsia="zh-CN"/>
              </w:rPr>
              <w:t>赛梨寨</w:t>
            </w:r>
          </w:p>
        </w:tc>
        <w:tc>
          <w:tcPr>
            <w:tcW w:w="2659" w:type="dxa"/>
            <w:vAlign w:val="center"/>
          </w:tcPr>
          <w:p w14:paraId="15F46B2B">
            <w:pPr>
              <w:pStyle w:val="9"/>
              <w:spacing w:line="240" w:lineRule="auto"/>
              <w:ind w:firstLine="0" w:firstLineChars="0"/>
              <w:rPr>
                <w:rFonts w:ascii="Times New Roman" w:hAnsi="Times New Roman" w:cs="Times New Roman"/>
                <w:sz w:val="21"/>
                <w:szCs w:val="21"/>
                <w:lang w:val="en-US"/>
              </w:rPr>
            </w:pPr>
            <w:r>
              <w:rPr>
                <w:rFonts w:hint="eastAsia" w:ascii="Times New Roman" w:hAnsi="Times New Roman" w:cs="Times New Roman"/>
                <w:sz w:val="21"/>
                <w:szCs w:val="21"/>
                <w:lang w:val="en-US" w:eastAsia="zh-CN"/>
              </w:rPr>
              <w:t>观音阁水库保护区勘界立标与隔离防护工程</w:t>
            </w:r>
          </w:p>
        </w:tc>
        <w:tc>
          <w:tcPr>
            <w:tcW w:w="5860" w:type="dxa"/>
            <w:vAlign w:val="center"/>
          </w:tcPr>
          <w:p w14:paraId="31E4CD7F">
            <w:pPr>
              <w:pStyle w:val="9"/>
              <w:spacing w:line="240" w:lineRule="auto"/>
              <w:ind w:firstLine="0" w:firstLineChars="0"/>
              <w:rPr>
                <w:rFonts w:ascii="Times New Roman" w:hAnsi="Times New Roman" w:cs="Times New Roman"/>
                <w:sz w:val="21"/>
                <w:szCs w:val="21"/>
                <w:lang w:val="en-US"/>
              </w:rPr>
            </w:pPr>
            <w:r>
              <w:rPr>
                <w:rFonts w:hint="eastAsia" w:ascii="Times New Roman" w:hAnsi="Times New Roman" w:cs="Times New Roman"/>
                <w:sz w:val="21"/>
                <w:szCs w:val="21"/>
                <w:lang w:val="en-US" w:eastAsia="zh-CN"/>
              </w:rPr>
              <w:t>修建一级保护区隔离防护栏85.63公里，其中框架护栏网24.766公里，刺铁丝围网60.864公里。警示标志牌177块，1套库区视频监控系统</w:t>
            </w:r>
          </w:p>
        </w:tc>
        <w:tc>
          <w:tcPr>
            <w:tcW w:w="1243" w:type="dxa"/>
            <w:vAlign w:val="center"/>
          </w:tcPr>
          <w:p w14:paraId="2B790576">
            <w:pPr>
              <w:pStyle w:val="9"/>
              <w:spacing w:line="240" w:lineRule="auto"/>
              <w:ind w:firstLine="0" w:firstLineChars="0"/>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1800</w:t>
            </w:r>
          </w:p>
        </w:tc>
        <w:tc>
          <w:tcPr>
            <w:tcW w:w="1214" w:type="dxa"/>
            <w:noWrap/>
            <w:vAlign w:val="center"/>
          </w:tcPr>
          <w:p w14:paraId="0271226C">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饮用水水源地规范化建设</w:t>
            </w:r>
          </w:p>
        </w:tc>
        <w:tc>
          <w:tcPr>
            <w:tcW w:w="1503" w:type="dxa"/>
            <w:vAlign w:val="center"/>
          </w:tcPr>
          <w:p w14:paraId="348DF485">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标识设立及防护隔离工程建设</w:t>
            </w:r>
          </w:p>
        </w:tc>
        <w:tc>
          <w:tcPr>
            <w:tcW w:w="847" w:type="dxa"/>
            <w:noWrap/>
            <w:vAlign w:val="center"/>
          </w:tcPr>
          <w:p w14:paraId="4D2A2CAA">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36668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429133FC">
            <w:pPr>
              <w:pStyle w:val="9"/>
              <w:spacing w:line="240" w:lineRule="auto"/>
              <w:ind w:firstLine="0" w:firstLineChars="0"/>
              <w:rPr>
                <w:rFonts w:hint="eastAsia" w:ascii="Times New Roman" w:hAnsi="Times New Roman" w:eastAsia="仿宋" w:cs="Times New Roman"/>
                <w:sz w:val="21"/>
                <w:szCs w:val="21"/>
                <w:lang w:eastAsia="zh-CN"/>
              </w:rPr>
            </w:pPr>
            <w:r>
              <w:rPr>
                <w:rFonts w:hint="eastAsia" w:ascii="Times New Roman" w:hAnsi="Times New Roman" w:cs="Times New Roman"/>
                <w:sz w:val="21"/>
                <w:szCs w:val="21"/>
                <w:lang w:val="en-US" w:eastAsia="zh-CN"/>
              </w:rPr>
              <w:t>5</w:t>
            </w:r>
          </w:p>
        </w:tc>
        <w:tc>
          <w:tcPr>
            <w:tcW w:w="1269" w:type="dxa"/>
            <w:vAlign w:val="center"/>
          </w:tcPr>
          <w:p w14:paraId="5C24D893">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老官砬子</w:t>
            </w:r>
          </w:p>
        </w:tc>
        <w:tc>
          <w:tcPr>
            <w:tcW w:w="2659" w:type="dxa"/>
            <w:vAlign w:val="center"/>
          </w:tcPr>
          <w:p w14:paraId="5C677A02">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本溪满族自治县滨河西路排水</w:t>
            </w:r>
          </w:p>
        </w:tc>
        <w:tc>
          <w:tcPr>
            <w:tcW w:w="5860" w:type="dxa"/>
            <w:vAlign w:val="center"/>
          </w:tcPr>
          <w:p w14:paraId="6D8B6684">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1.雨水管网总长6748.1米，管径Ｄ300-Ｄ800mm其中：张家堡桥至枫乡大桥雨水管线3784.1m；枫乡大桥至上堡大桥雨水管线2964m。2.污水管网总长5164.1米，管径Ｄ800-1200mm</w:t>
            </w:r>
          </w:p>
        </w:tc>
        <w:tc>
          <w:tcPr>
            <w:tcW w:w="1243" w:type="dxa"/>
            <w:vAlign w:val="center"/>
          </w:tcPr>
          <w:p w14:paraId="41B3A6F7">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4109.41</w:t>
            </w:r>
          </w:p>
        </w:tc>
        <w:tc>
          <w:tcPr>
            <w:tcW w:w="1214" w:type="dxa"/>
            <w:noWrap/>
            <w:vAlign w:val="center"/>
          </w:tcPr>
          <w:p w14:paraId="71922EBF">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城镇污水处理及管网建设</w:t>
            </w:r>
          </w:p>
        </w:tc>
        <w:tc>
          <w:tcPr>
            <w:tcW w:w="1503" w:type="dxa"/>
            <w:vAlign w:val="center"/>
          </w:tcPr>
          <w:p w14:paraId="551DA683">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配套管网工程</w:t>
            </w:r>
          </w:p>
        </w:tc>
        <w:tc>
          <w:tcPr>
            <w:tcW w:w="847" w:type="dxa"/>
            <w:noWrap/>
            <w:vAlign w:val="center"/>
          </w:tcPr>
          <w:p w14:paraId="3454D2CD">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34019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692E22E1">
            <w:pPr>
              <w:pStyle w:val="9"/>
              <w:spacing w:line="240" w:lineRule="auto"/>
              <w:ind w:firstLine="0" w:firstLineChars="0"/>
              <w:rPr>
                <w:rFonts w:hint="eastAsia" w:ascii="Times New Roman" w:hAnsi="Times New Roman" w:eastAsia="仿宋" w:cs="Times New Roman"/>
                <w:sz w:val="21"/>
                <w:szCs w:val="21"/>
                <w:lang w:eastAsia="zh-CN"/>
              </w:rPr>
            </w:pPr>
            <w:r>
              <w:rPr>
                <w:rFonts w:hint="eastAsia" w:ascii="Times New Roman" w:hAnsi="Times New Roman" w:cs="Times New Roman"/>
                <w:sz w:val="21"/>
                <w:szCs w:val="21"/>
                <w:lang w:val="en-US" w:eastAsia="zh-CN"/>
              </w:rPr>
              <w:t>6</w:t>
            </w:r>
          </w:p>
        </w:tc>
        <w:tc>
          <w:tcPr>
            <w:tcW w:w="1269" w:type="dxa"/>
            <w:vAlign w:val="center"/>
          </w:tcPr>
          <w:p w14:paraId="75D32856">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老官砬子</w:t>
            </w:r>
          </w:p>
        </w:tc>
        <w:tc>
          <w:tcPr>
            <w:tcW w:w="2659" w:type="dxa"/>
            <w:vAlign w:val="center"/>
          </w:tcPr>
          <w:p w14:paraId="3F0F5C87">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本溪满族自治县春光路南段新民街东段排水</w:t>
            </w:r>
          </w:p>
        </w:tc>
        <w:tc>
          <w:tcPr>
            <w:tcW w:w="5860" w:type="dxa"/>
            <w:vAlign w:val="center"/>
          </w:tcPr>
          <w:p w14:paraId="61FFF92F">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1.雨水管网总长2219m，管径D600-D1000mm。其中春光路南段雨水管网1472m，新民街东段雨水管网747m；2.污水管网总长1334m，管径D400-500mm。其中春光路南段污水管网932m，新民街东段污水管网402m；3.道路总长1433m，道路红线宽度24m。4.人行道总面积10874.98㎡，其中春光路南段人行道6565.98㎡。</w:t>
            </w:r>
          </w:p>
        </w:tc>
        <w:tc>
          <w:tcPr>
            <w:tcW w:w="1243" w:type="dxa"/>
            <w:vAlign w:val="center"/>
          </w:tcPr>
          <w:p w14:paraId="028253DB">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1595.02</w:t>
            </w:r>
          </w:p>
        </w:tc>
        <w:tc>
          <w:tcPr>
            <w:tcW w:w="1214" w:type="dxa"/>
            <w:noWrap/>
            <w:vAlign w:val="center"/>
          </w:tcPr>
          <w:p w14:paraId="53252DA3">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城镇污水处理及管网建设</w:t>
            </w:r>
          </w:p>
        </w:tc>
        <w:tc>
          <w:tcPr>
            <w:tcW w:w="1503" w:type="dxa"/>
            <w:vAlign w:val="center"/>
          </w:tcPr>
          <w:p w14:paraId="75C5DB95">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配套管网工程</w:t>
            </w:r>
          </w:p>
        </w:tc>
        <w:tc>
          <w:tcPr>
            <w:tcW w:w="847" w:type="dxa"/>
            <w:noWrap/>
            <w:vAlign w:val="center"/>
          </w:tcPr>
          <w:p w14:paraId="0F06EC1B">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43289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6BBC20F5">
            <w:pPr>
              <w:pStyle w:val="9"/>
              <w:spacing w:line="240" w:lineRule="auto"/>
              <w:ind w:firstLine="0" w:firstLineChars="0"/>
              <w:rPr>
                <w:rFonts w:hint="eastAsia" w:ascii="Times New Roman" w:hAnsi="Times New Roman" w:eastAsia="仿宋" w:cs="Times New Roman"/>
                <w:sz w:val="21"/>
                <w:szCs w:val="21"/>
                <w:lang w:eastAsia="zh-CN"/>
              </w:rPr>
            </w:pPr>
            <w:r>
              <w:rPr>
                <w:rFonts w:hint="eastAsia" w:ascii="Times New Roman" w:hAnsi="Times New Roman" w:cs="Times New Roman"/>
                <w:sz w:val="21"/>
                <w:szCs w:val="21"/>
                <w:lang w:val="en-US" w:eastAsia="zh-CN"/>
              </w:rPr>
              <w:t>7</w:t>
            </w:r>
          </w:p>
        </w:tc>
        <w:tc>
          <w:tcPr>
            <w:tcW w:w="1269" w:type="dxa"/>
            <w:vAlign w:val="center"/>
          </w:tcPr>
          <w:p w14:paraId="055A4C63">
            <w:pPr>
              <w:pStyle w:val="9"/>
              <w:spacing w:line="240" w:lineRule="auto"/>
              <w:ind w:firstLine="0" w:firstLineChars="0"/>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兴安</w:t>
            </w:r>
          </w:p>
        </w:tc>
        <w:tc>
          <w:tcPr>
            <w:tcW w:w="2659" w:type="dxa"/>
            <w:vAlign w:val="center"/>
          </w:tcPr>
          <w:p w14:paraId="5263D1F9">
            <w:pPr>
              <w:pStyle w:val="9"/>
              <w:spacing w:line="240" w:lineRule="auto"/>
              <w:ind w:firstLine="0" w:firstLineChars="0"/>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卧龙河水质提升及生态修复工程</w:t>
            </w:r>
          </w:p>
        </w:tc>
        <w:tc>
          <w:tcPr>
            <w:tcW w:w="5860" w:type="dxa"/>
            <w:vAlign w:val="center"/>
          </w:tcPr>
          <w:p w14:paraId="7D9E4FB2">
            <w:pPr>
              <w:pStyle w:val="9"/>
              <w:spacing w:line="240" w:lineRule="auto"/>
              <w:ind w:firstLine="0" w:firstLineChars="0"/>
              <w:rPr>
                <w:rFonts w:hint="eastAsia" w:ascii="Times New Roman" w:hAnsi="Times New Roman" w:cs="Times New Roman"/>
                <w:sz w:val="21"/>
                <w:szCs w:val="21"/>
                <w:lang w:val="en-US"/>
              </w:rPr>
            </w:pPr>
            <w:r>
              <w:rPr>
                <w:rFonts w:hint="eastAsia" w:ascii="Times New Roman" w:hAnsi="Times New Roman" w:cs="Times New Roman"/>
                <w:sz w:val="21"/>
                <w:szCs w:val="21"/>
                <w:lang w:val="en-US"/>
              </w:rPr>
              <w:t>项目位于卧龙河两侧，本桓线东侧，铁路桥南侧15米。占地面积约0.67hm2。工程处理规模为3000m3/d，采用复合式潜流人</w:t>
            </w:r>
          </w:p>
          <w:p w14:paraId="1EB4C9B4">
            <w:pPr>
              <w:pStyle w:val="9"/>
              <w:spacing w:line="240" w:lineRule="auto"/>
              <w:ind w:firstLine="0" w:firstLineChars="0"/>
              <w:rPr>
                <w:rFonts w:ascii="Times New Roman" w:hAnsi="Times New Roman" w:cs="Times New Roman"/>
                <w:sz w:val="21"/>
                <w:szCs w:val="21"/>
                <w:lang w:val="en-US"/>
              </w:rPr>
            </w:pPr>
            <w:r>
              <w:rPr>
                <w:rFonts w:hint="eastAsia" w:ascii="Times New Roman" w:hAnsi="Times New Roman" w:cs="Times New Roman"/>
                <w:sz w:val="21"/>
                <w:szCs w:val="21"/>
                <w:lang w:val="en-US"/>
              </w:rPr>
              <w:t>工湿地工艺，共10个单元。</w:t>
            </w:r>
          </w:p>
        </w:tc>
        <w:tc>
          <w:tcPr>
            <w:tcW w:w="1243" w:type="dxa"/>
            <w:vAlign w:val="center"/>
          </w:tcPr>
          <w:p w14:paraId="176F2E7E">
            <w:pPr>
              <w:pStyle w:val="9"/>
              <w:spacing w:line="240" w:lineRule="auto"/>
              <w:ind w:firstLine="0" w:firstLineChars="0"/>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500</w:t>
            </w:r>
          </w:p>
        </w:tc>
        <w:tc>
          <w:tcPr>
            <w:tcW w:w="1214" w:type="dxa"/>
            <w:noWrap/>
            <w:vAlign w:val="center"/>
          </w:tcPr>
          <w:p w14:paraId="3FA454F9">
            <w:pPr>
              <w:pStyle w:val="9"/>
              <w:spacing w:line="240" w:lineRule="auto"/>
              <w:ind w:firstLine="0" w:firstLineChars="0"/>
              <w:rPr>
                <w:rFonts w:hint="eastAsia" w:ascii="Times New Roman" w:hAnsi="Times New Roman" w:cs="Times New Roman"/>
                <w:sz w:val="21"/>
                <w:szCs w:val="21"/>
                <w:lang w:val="en-US" w:eastAsia="zh-CN"/>
              </w:rPr>
            </w:pPr>
            <w:r>
              <w:rPr>
                <w:rFonts w:ascii="Times New Roman" w:hAnsi="Times New Roman" w:cs="Times New Roman"/>
                <w:sz w:val="21"/>
                <w:szCs w:val="21"/>
                <w:lang w:val="en-US"/>
              </w:rPr>
              <w:t>城镇污水处理及管网建设</w:t>
            </w:r>
          </w:p>
        </w:tc>
        <w:tc>
          <w:tcPr>
            <w:tcW w:w="1503" w:type="dxa"/>
            <w:vAlign w:val="center"/>
          </w:tcPr>
          <w:p w14:paraId="4E1BF4FF">
            <w:pPr>
              <w:pStyle w:val="9"/>
              <w:spacing w:line="240" w:lineRule="auto"/>
              <w:ind w:firstLine="0" w:firstLineChars="0"/>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人工湿地</w:t>
            </w:r>
          </w:p>
        </w:tc>
        <w:tc>
          <w:tcPr>
            <w:tcW w:w="847" w:type="dxa"/>
            <w:noWrap/>
            <w:vAlign w:val="center"/>
          </w:tcPr>
          <w:p w14:paraId="3C49226D">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5E029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40C88F9E">
            <w:pPr>
              <w:pStyle w:val="9"/>
              <w:spacing w:line="240" w:lineRule="auto"/>
              <w:ind w:firstLine="0" w:firstLineChars="0"/>
              <w:rPr>
                <w:rFonts w:hint="eastAsia" w:ascii="Times New Roman" w:hAnsi="Times New Roman" w:eastAsia="仿宋" w:cs="Times New Roman"/>
                <w:sz w:val="21"/>
                <w:szCs w:val="21"/>
                <w:lang w:eastAsia="zh-CN"/>
              </w:rPr>
            </w:pPr>
            <w:r>
              <w:rPr>
                <w:rFonts w:hint="eastAsia" w:ascii="Times New Roman" w:hAnsi="Times New Roman" w:cs="Times New Roman"/>
                <w:sz w:val="21"/>
                <w:szCs w:val="21"/>
                <w:lang w:val="en-US" w:eastAsia="zh-CN"/>
              </w:rPr>
              <w:t>8</w:t>
            </w:r>
          </w:p>
        </w:tc>
        <w:tc>
          <w:tcPr>
            <w:tcW w:w="1269" w:type="dxa"/>
            <w:vAlign w:val="center"/>
          </w:tcPr>
          <w:p w14:paraId="2979F0C5">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兴安</w:t>
            </w:r>
          </w:p>
        </w:tc>
        <w:tc>
          <w:tcPr>
            <w:tcW w:w="2659" w:type="dxa"/>
            <w:vAlign w:val="center"/>
          </w:tcPr>
          <w:p w14:paraId="7E1A6822">
            <w:pPr>
              <w:pStyle w:val="9"/>
              <w:spacing w:line="240" w:lineRule="auto"/>
              <w:ind w:firstLine="0" w:firstLineChars="0"/>
              <w:rPr>
                <w:rFonts w:ascii="Times New Roman" w:hAnsi="Times New Roman" w:cs="Times New Roman"/>
                <w:sz w:val="21"/>
                <w:szCs w:val="21"/>
                <w:lang w:val="en-US"/>
              </w:rPr>
            </w:pPr>
            <w:r>
              <w:rPr>
                <w:rFonts w:hint="eastAsia" w:ascii="Times New Roman" w:hAnsi="Times New Roman" w:cs="Times New Roman"/>
                <w:sz w:val="21"/>
                <w:szCs w:val="21"/>
                <w:lang w:val="en-US" w:eastAsia="zh-CN"/>
              </w:rPr>
              <w:t>本溪市明山区城镇污水、垃圾提升改造工程</w:t>
            </w:r>
          </w:p>
        </w:tc>
        <w:tc>
          <w:tcPr>
            <w:tcW w:w="5860" w:type="dxa"/>
            <w:vAlign w:val="center"/>
          </w:tcPr>
          <w:p w14:paraId="0D76CD7D">
            <w:pPr>
              <w:pStyle w:val="9"/>
              <w:spacing w:line="240" w:lineRule="auto"/>
              <w:ind w:firstLine="0" w:firstLineChars="0"/>
              <w:rPr>
                <w:rFonts w:ascii="Times New Roman" w:hAnsi="Times New Roman" w:cs="Times New Roman"/>
                <w:sz w:val="21"/>
                <w:szCs w:val="21"/>
                <w:lang w:val="en-US"/>
              </w:rPr>
            </w:pPr>
            <w:r>
              <w:rPr>
                <w:rFonts w:hint="eastAsia" w:ascii="Times New Roman" w:hAnsi="Times New Roman" w:cs="Times New Roman"/>
                <w:sz w:val="21"/>
                <w:szCs w:val="21"/>
                <w:lang w:val="en-US" w:eastAsia="zh-CN"/>
              </w:rPr>
              <w:t>对现有3000m3/d污水处理规模的本溪市明山区卧龙（牛心台）污水处理厂进行扩建，建设规模为3000m3/d的污水处理厂2座，建成后污水处理规模达到9000m3/d。排水管网工程建设内容为：在高台子、卧龙及牛心台地区新建雨水排水管网21346m、污水排水管网33646m。</w:t>
            </w:r>
            <w:r>
              <w:rPr>
                <w:rFonts w:hint="default" w:ascii="Times New Roman" w:hAnsi="Times New Roman" w:cs="Times New Roman"/>
                <w:sz w:val="21"/>
                <w:szCs w:val="21"/>
                <w:lang w:val="en-US" w:eastAsia="zh-CN"/>
              </w:rPr>
              <w:t>在明山区七个街道办事处增设垃圾中转站5座</w:t>
            </w:r>
            <w:r>
              <w:rPr>
                <w:rFonts w:hint="eastAsia" w:ascii="Times New Roman" w:hAnsi="Times New Roman" w:cs="Times New Roman"/>
                <w:sz w:val="21"/>
                <w:szCs w:val="21"/>
                <w:lang w:val="en-US" w:eastAsia="zh-CN"/>
              </w:rPr>
              <w:t>，</w:t>
            </w:r>
            <w:r>
              <w:rPr>
                <w:rFonts w:hint="default" w:ascii="Times New Roman" w:hAnsi="Times New Roman" w:cs="Times New Roman"/>
                <w:sz w:val="21"/>
                <w:szCs w:val="21"/>
                <w:lang w:val="en-US" w:eastAsia="zh-CN"/>
              </w:rPr>
              <w:t>每个中转站</w:t>
            </w:r>
            <w:r>
              <w:rPr>
                <w:rFonts w:hint="eastAsia" w:ascii="Times New Roman" w:hAnsi="Times New Roman" w:cs="Times New Roman"/>
                <w:sz w:val="21"/>
                <w:szCs w:val="21"/>
                <w:lang w:val="en-US" w:eastAsia="zh-CN"/>
              </w:rPr>
              <w:t>垃圾转运</w:t>
            </w:r>
            <w:r>
              <w:rPr>
                <w:rFonts w:hint="default" w:ascii="Times New Roman" w:hAnsi="Times New Roman" w:cs="Times New Roman"/>
                <w:sz w:val="21"/>
                <w:szCs w:val="21"/>
                <w:lang w:val="en-US" w:eastAsia="zh-CN"/>
              </w:rPr>
              <w:t>处理能力为30t/d</w:t>
            </w:r>
            <w:r>
              <w:rPr>
                <w:rFonts w:hint="eastAsia" w:ascii="Times New Roman" w:hAnsi="Times New Roman" w:cs="Times New Roman"/>
                <w:sz w:val="21"/>
                <w:szCs w:val="21"/>
                <w:lang w:val="en-US" w:eastAsia="zh-CN"/>
              </w:rPr>
              <w:t>。</w:t>
            </w:r>
          </w:p>
        </w:tc>
        <w:tc>
          <w:tcPr>
            <w:tcW w:w="1243" w:type="dxa"/>
            <w:vAlign w:val="center"/>
          </w:tcPr>
          <w:p w14:paraId="481A66B3">
            <w:pPr>
              <w:pStyle w:val="9"/>
              <w:spacing w:line="240" w:lineRule="auto"/>
              <w:ind w:firstLine="0" w:firstLineChars="0"/>
              <w:rPr>
                <w:rFonts w:ascii="Times New Roman" w:hAnsi="Times New Roman" w:cs="Times New Roman"/>
                <w:sz w:val="21"/>
                <w:szCs w:val="21"/>
                <w:lang w:val="en-US"/>
              </w:rPr>
            </w:pPr>
            <w:r>
              <w:rPr>
                <w:rFonts w:hint="default" w:ascii="Times New Roman" w:hAnsi="Times New Roman" w:cs="Times New Roman"/>
                <w:sz w:val="21"/>
                <w:szCs w:val="21"/>
                <w:lang w:val="en-US" w:eastAsia="zh-CN"/>
              </w:rPr>
              <w:t>16315</w:t>
            </w:r>
          </w:p>
        </w:tc>
        <w:tc>
          <w:tcPr>
            <w:tcW w:w="1214" w:type="dxa"/>
            <w:noWrap/>
            <w:vAlign w:val="center"/>
          </w:tcPr>
          <w:p w14:paraId="2FEFBA77">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城镇污水处理及管网建设</w:t>
            </w:r>
          </w:p>
        </w:tc>
        <w:tc>
          <w:tcPr>
            <w:tcW w:w="1503" w:type="dxa"/>
            <w:vAlign w:val="center"/>
          </w:tcPr>
          <w:p w14:paraId="592B4666">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配套管网工程</w:t>
            </w:r>
          </w:p>
        </w:tc>
        <w:tc>
          <w:tcPr>
            <w:tcW w:w="847" w:type="dxa"/>
            <w:noWrap/>
            <w:vAlign w:val="center"/>
          </w:tcPr>
          <w:p w14:paraId="740983C6">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71FF9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3124E78C">
            <w:pPr>
              <w:pStyle w:val="9"/>
              <w:spacing w:line="240" w:lineRule="auto"/>
              <w:ind w:firstLine="0" w:firstLineChars="0"/>
              <w:rPr>
                <w:rFonts w:hint="eastAsia" w:ascii="Times New Roman" w:hAnsi="Times New Roman" w:eastAsia="仿宋" w:cs="Times New Roman"/>
                <w:sz w:val="21"/>
                <w:szCs w:val="21"/>
                <w:lang w:eastAsia="zh-CN"/>
              </w:rPr>
            </w:pPr>
            <w:r>
              <w:rPr>
                <w:rFonts w:hint="eastAsia" w:ascii="Times New Roman" w:hAnsi="Times New Roman" w:cs="Times New Roman"/>
                <w:sz w:val="21"/>
                <w:szCs w:val="21"/>
                <w:lang w:val="en-US" w:eastAsia="zh-CN"/>
              </w:rPr>
              <w:t>9</w:t>
            </w:r>
          </w:p>
        </w:tc>
        <w:tc>
          <w:tcPr>
            <w:tcW w:w="1269" w:type="dxa"/>
            <w:vAlign w:val="center"/>
          </w:tcPr>
          <w:p w14:paraId="09290E8A">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兴安</w:t>
            </w:r>
          </w:p>
        </w:tc>
        <w:tc>
          <w:tcPr>
            <w:tcW w:w="2659" w:type="dxa"/>
            <w:vAlign w:val="center"/>
          </w:tcPr>
          <w:p w14:paraId="53698371">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本溪市高峪地区雨污分流改造及华阳暗渠整治工程</w:t>
            </w:r>
          </w:p>
        </w:tc>
        <w:tc>
          <w:tcPr>
            <w:tcW w:w="5860" w:type="dxa"/>
            <w:vAlign w:val="center"/>
          </w:tcPr>
          <w:p w14:paraId="58372256">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一是对华阳暗渠进行拆除新建，暗渠长度1221m，断面形式：净宽4.0m，净高1.8m；并在新建暗渠两侧敷设截污管道2442m；另一部分是对合金沟污水截流，在合金沟暗渠内紧贴渠壁敷设1610m截污管道，将排入合金沟的污水截流并输送至太子河污水截流干管，最终将污水接入本溪市污水处理厂。</w:t>
            </w:r>
          </w:p>
        </w:tc>
        <w:tc>
          <w:tcPr>
            <w:tcW w:w="1243" w:type="dxa"/>
            <w:vAlign w:val="center"/>
          </w:tcPr>
          <w:p w14:paraId="211C415C">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2812.99</w:t>
            </w:r>
          </w:p>
        </w:tc>
        <w:tc>
          <w:tcPr>
            <w:tcW w:w="1214" w:type="dxa"/>
            <w:noWrap/>
            <w:vAlign w:val="center"/>
          </w:tcPr>
          <w:p w14:paraId="42A76654">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城镇污水处理及管网建设</w:t>
            </w:r>
          </w:p>
        </w:tc>
        <w:tc>
          <w:tcPr>
            <w:tcW w:w="1503" w:type="dxa"/>
            <w:vAlign w:val="center"/>
          </w:tcPr>
          <w:p w14:paraId="4688CB46">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配套管网工程</w:t>
            </w:r>
          </w:p>
        </w:tc>
        <w:tc>
          <w:tcPr>
            <w:tcW w:w="847" w:type="dxa"/>
            <w:noWrap/>
            <w:vAlign w:val="center"/>
          </w:tcPr>
          <w:p w14:paraId="6DBE64BA">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73298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9" w:type="dxa"/>
            <w:vAlign w:val="center"/>
          </w:tcPr>
          <w:p w14:paraId="147F2D9B">
            <w:pPr>
              <w:pStyle w:val="9"/>
              <w:spacing w:line="240" w:lineRule="auto"/>
              <w:ind w:firstLine="0" w:firstLineChars="0"/>
              <w:rPr>
                <w:rFonts w:hint="default" w:ascii="Times New Roman" w:hAnsi="Times New Roman" w:eastAsia="仿宋" w:cs="Times New Roman"/>
                <w:sz w:val="21"/>
                <w:szCs w:val="21"/>
                <w:lang w:val="en-US" w:eastAsia="zh-CN"/>
              </w:rPr>
            </w:pPr>
            <w:r>
              <w:rPr>
                <w:rFonts w:hint="eastAsia" w:ascii="Times New Roman" w:hAnsi="Times New Roman" w:cs="Times New Roman"/>
                <w:sz w:val="21"/>
                <w:szCs w:val="21"/>
                <w:lang w:val="en-US" w:eastAsia="zh-CN"/>
              </w:rPr>
              <w:t>10</w:t>
            </w:r>
          </w:p>
        </w:tc>
        <w:tc>
          <w:tcPr>
            <w:tcW w:w="1269" w:type="dxa"/>
            <w:vAlign w:val="center"/>
          </w:tcPr>
          <w:p w14:paraId="51402586">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兴安</w:t>
            </w:r>
          </w:p>
        </w:tc>
        <w:tc>
          <w:tcPr>
            <w:tcW w:w="2659" w:type="dxa"/>
            <w:vAlign w:val="center"/>
          </w:tcPr>
          <w:p w14:paraId="5B3718D5">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本溪市排水管网提质增效综合整治工程</w:t>
            </w:r>
          </w:p>
        </w:tc>
        <w:tc>
          <w:tcPr>
            <w:tcW w:w="5860" w:type="dxa"/>
            <w:vAlign w:val="center"/>
          </w:tcPr>
          <w:p w14:paraId="7844C607">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一为转山暗渠拆除新建，暗渠长度主渠1351m，支渠225m，断面形式：主渠：净宽2.7m，净高1.8m双孔；支渠：净宽2.7m，净高1.8m单孔，并在新建暗渠两侧敷设截污管道2720m；二为育龙路污水截流，沿育龙路敷设D400污水管2980m；三为掌握本溪市辖区排水管网基本情况，确保今后该区域排水管道的正常运行，拟采用CCTV管道机器人和QV潜望镜对该区域约400km雨、污水管道（DN400～DN1500）进行全面检测，为管道修复、养护工作提供可靠的资料。</w:t>
            </w:r>
          </w:p>
        </w:tc>
        <w:tc>
          <w:tcPr>
            <w:tcW w:w="1243" w:type="dxa"/>
            <w:vAlign w:val="center"/>
          </w:tcPr>
          <w:p w14:paraId="7799B096">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4538.15</w:t>
            </w:r>
          </w:p>
        </w:tc>
        <w:tc>
          <w:tcPr>
            <w:tcW w:w="1214" w:type="dxa"/>
            <w:noWrap/>
            <w:vAlign w:val="center"/>
          </w:tcPr>
          <w:p w14:paraId="5C50BA67">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城镇污水处理及管网建设</w:t>
            </w:r>
          </w:p>
        </w:tc>
        <w:tc>
          <w:tcPr>
            <w:tcW w:w="1503" w:type="dxa"/>
            <w:vAlign w:val="center"/>
          </w:tcPr>
          <w:p w14:paraId="7738BCA3">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配套管网工程</w:t>
            </w:r>
          </w:p>
        </w:tc>
        <w:tc>
          <w:tcPr>
            <w:tcW w:w="847" w:type="dxa"/>
            <w:noWrap/>
            <w:vAlign w:val="center"/>
          </w:tcPr>
          <w:p w14:paraId="78B0E9E0">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4E938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1BB02930">
            <w:pPr>
              <w:pStyle w:val="9"/>
              <w:spacing w:line="240" w:lineRule="auto"/>
              <w:ind w:firstLine="0" w:firstLineChars="0"/>
              <w:rPr>
                <w:rFonts w:hint="default" w:ascii="Times New Roman" w:hAnsi="Times New Roman" w:eastAsia="仿宋" w:cs="Times New Roman"/>
                <w:sz w:val="21"/>
                <w:szCs w:val="21"/>
                <w:lang w:val="en-US" w:eastAsia="zh-CN"/>
              </w:rPr>
            </w:pPr>
            <w:r>
              <w:rPr>
                <w:rFonts w:hint="eastAsia" w:ascii="Times New Roman" w:hAnsi="Times New Roman" w:cs="Times New Roman"/>
                <w:sz w:val="21"/>
                <w:szCs w:val="21"/>
                <w:lang w:val="en-US" w:eastAsia="zh-CN"/>
              </w:rPr>
              <w:t>11</w:t>
            </w:r>
          </w:p>
        </w:tc>
        <w:tc>
          <w:tcPr>
            <w:tcW w:w="1269" w:type="dxa"/>
            <w:vAlign w:val="center"/>
          </w:tcPr>
          <w:p w14:paraId="24CC2374">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兴安</w:t>
            </w:r>
          </w:p>
        </w:tc>
        <w:tc>
          <w:tcPr>
            <w:tcW w:w="2659" w:type="dxa"/>
            <w:vAlign w:val="center"/>
          </w:tcPr>
          <w:p w14:paraId="6369EA25">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福金沟污水干管工程</w:t>
            </w:r>
          </w:p>
        </w:tc>
        <w:tc>
          <w:tcPr>
            <w:tcW w:w="5860" w:type="dxa"/>
            <w:vAlign w:val="center"/>
          </w:tcPr>
          <w:p w14:paraId="47B3DD02">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新建污水管网10公里是为收集福金沟生活污水，防止对太子河流域造成污染。</w:t>
            </w:r>
          </w:p>
        </w:tc>
        <w:tc>
          <w:tcPr>
            <w:tcW w:w="1243" w:type="dxa"/>
            <w:vAlign w:val="center"/>
          </w:tcPr>
          <w:p w14:paraId="6439C41A">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4000</w:t>
            </w:r>
          </w:p>
        </w:tc>
        <w:tc>
          <w:tcPr>
            <w:tcW w:w="1214" w:type="dxa"/>
            <w:noWrap/>
            <w:vAlign w:val="center"/>
          </w:tcPr>
          <w:p w14:paraId="552835FE">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城镇污水处理及管网建设</w:t>
            </w:r>
          </w:p>
        </w:tc>
        <w:tc>
          <w:tcPr>
            <w:tcW w:w="1503" w:type="dxa"/>
            <w:vAlign w:val="center"/>
          </w:tcPr>
          <w:p w14:paraId="29878FB1">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配套管网工程</w:t>
            </w:r>
          </w:p>
        </w:tc>
        <w:tc>
          <w:tcPr>
            <w:tcW w:w="847" w:type="dxa"/>
            <w:noWrap/>
            <w:vAlign w:val="center"/>
          </w:tcPr>
          <w:p w14:paraId="28599F02">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61C3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0F9241A3">
            <w:pPr>
              <w:pStyle w:val="9"/>
              <w:spacing w:line="240" w:lineRule="auto"/>
              <w:ind w:firstLine="0" w:firstLineChars="0"/>
              <w:rPr>
                <w:rFonts w:hint="default" w:ascii="Times New Roman" w:hAnsi="Times New Roman" w:eastAsia="仿宋" w:cs="Times New Roman"/>
                <w:sz w:val="21"/>
                <w:szCs w:val="21"/>
                <w:lang w:val="en-US" w:eastAsia="zh-CN"/>
              </w:rPr>
            </w:pPr>
            <w:r>
              <w:rPr>
                <w:rFonts w:hint="eastAsia" w:ascii="Times New Roman" w:hAnsi="Times New Roman" w:cs="Times New Roman"/>
                <w:sz w:val="21"/>
                <w:szCs w:val="21"/>
                <w:lang w:val="en-US" w:eastAsia="zh-CN"/>
              </w:rPr>
              <w:t>12</w:t>
            </w:r>
          </w:p>
        </w:tc>
        <w:tc>
          <w:tcPr>
            <w:tcW w:w="1269" w:type="dxa"/>
            <w:vAlign w:val="center"/>
          </w:tcPr>
          <w:p w14:paraId="5AFA05F2">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兴安</w:t>
            </w:r>
          </w:p>
        </w:tc>
        <w:tc>
          <w:tcPr>
            <w:tcW w:w="2659" w:type="dxa"/>
            <w:vAlign w:val="center"/>
          </w:tcPr>
          <w:p w14:paraId="6E0D98DB">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千金沟暗渠雨污分流改造</w:t>
            </w:r>
          </w:p>
        </w:tc>
        <w:tc>
          <w:tcPr>
            <w:tcW w:w="5860" w:type="dxa"/>
            <w:vAlign w:val="center"/>
          </w:tcPr>
          <w:p w14:paraId="685BDCF2">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千金沟暗渠整体改造1公里，渠内雨污分流10公里</w:t>
            </w:r>
          </w:p>
        </w:tc>
        <w:tc>
          <w:tcPr>
            <w:tcW w:w="1243" w:type="dxa"/>
            <w:vAlign w:val="center"/>
          </w:tcPr>
          <w:p w14:paraId="57B6AE7A">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6000</w:t>
            </w:r>
          </w:p>
        </w:tc>
        <w:tc>
          <w:tcPr>
            <w:tcW w:w="1214" w:type="dxa"/>
            <w:noWrap/>
            <w:vAlign w:val="center"/>
          </w:tcPr>
          <w:p w14:paraId="7D4C19AF">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城镇污水处理及管网建设</w:t>
            </w:r>
          </w:p>
        </w:tc>
        <w:tc>
          <w:tcPr>
            <w:tcW w:w="1503" w:type="dxa"/>
            <w:vAlign w:val="center"/>
          </w:tcPr>
          <w:p w14:paraId="7765F7CA">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配套管网工程</w:t>
            </w:r>
          </w:p>
        </w:tc>
        <w:tc>
          <w:tcPr>
            <w:tcW w:w="847" w:type="dxa"/>
            <w:noWrap/>
            <w:vAlign w:val="center"/>
          </w:tcPr>
          <w:p w14:paraId="427789CB">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15555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7A703DE2">
            <w:pPr>
              <w:pStyle w:val="9"/>
              <w:spacing w:line="240" w:lineRule="auto"/>
              <w:ind w:firstLine="0" w:firstLineChars="0"/>
              <w:rPr>
                <w:rFonts w:hint="default" w:ascii="Times New Roman" w:hAnsi="Times New Roman" w:eastAsia="仿宋" w:cs="Times New Roman"/>
                <w:sz w:val="21"/>
                <w:szCs w:val="21"/>
                <w:lang w:val="en-US" w:eastAsia="zh-CN"/>
              </w:rPr>
            </w:pPr>
            <w:r>
              <w:rPr>
                <w:rFonts w:hint="eastAsia" w:ascii="Times New Roman" w:hAnsi="Times New Roman" w:cs="Times New Roman"/>
                <w:sz w:val="21"/>
                <w:szCs w:val="21"/>
                <w:lang w:val="en-US" w:eastAsia="zh-CN"/>
              </w:rPr>
              <w:t>13</w:t>
            </w:r>
          </w:p>
        </w:tc>
        <w:tc>
          <w:tcPr>
            <w:tcW w:w="1269" w:type="dxa"/>
            <w:vAlign w:val="center"/>
          </w:tcPr>
          <w:p w14:paraId="2E9D203E">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兴安</w:t>
            </w:r>
          </w:p>
        </w:tc>
        <w:tc>
          <w:tcPr>
            <w:tcW w:w="2659" w:type="dxa"/>
            <w:vAlign w:val="center"/>
          </w:tcPr>
          <w:p w14:paraId="12265D91">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大峪城中村污水管网工程</w:t>
            </w:r>
          </w:p>
        </w:tc>
        <w:tc>
          <w:tcPr>
            <w:tcW w:w="5860" w:type="dxa"/>
            <w:vAlign w:val="center"/>
          </w:tcPr>
          <w:p w14:paraId="7CE0405B">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新建污水管网10.2公里是为收集大峪沟村生活污水，防止对太子河流域造成污染。</w:t>
            </w:r>
          </w:p>
        </w:tc>
        <w:tc>
          <w:tcPr>
            <w:tcW w:w="1243" w:type="dxa"/>
            <w:vAlign w:val="center"/>
          </w:tcPr>
          <w:p w14:paraId="3F3DFE0C">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2800</w:t>
            </w:r>
          </w:p>
        </w:tc>
        <w:tc>
          <w:tcPr>
            <w:tcW w:w="1214" w:type="dxa"/>
            <w:noWrap/>
            <w:vAlign w:val="center"/>
          </w:tcPr>
          <w:p w14:paraId="5134ED47">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城镇污水处理及管网建设</w:t>
            </w:r>
          </w:p>
        </w:tc>
        <w:tc>
          <w:tcPr>
            <w:tcW w:w="1503" w:type="dxa"/>
            <w:vAlign w:val="center"/>
          </w:tcPr>
          <w:p w14:paraId="16FC5D71">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配套管网工程</w:t>
            </w:r>
          </w:p>
        </w:tc>
        <w:tc>
          <w:tcPr>
            <w:tcW w:w="847" w:type="dxa"/>
            <w:noWrap/>
            <w:vAlign w:val="center"/>
          </w:tcPr>
          <w:p w14:paraId="27DD731B">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001A2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354ACCD0">
            <w:pPr>
              <w:pStyle w:val="9"/>
              <w:spacing w:line="240" w:lineRule="auto"/>
              <w:ind w:firstLine="0" w:firstLineChars="0"/>
              <w:rPr>
                <w:rFonts w:hint="default" w:ascii="Times New Roman" w:hAnsi="Times New Roman" w:eastAsia="仿宋" w:cs="Times New Roman"/>
                <w:sz w:val="21"/>
                <w:szCs w:val="21"/>
                <w:lang w:val="en-US" w:eastAsia="zh-CN"/>
              </w:rPr>
            </w:pPr>
            <w:r>
              <w:rPr>
                <w:rFonts w:hint="eastAsia" w:ascii="Times New Roman" w:hAnsi="Times New Roman" w:cs="Times New Roman"/>
                <w:sz w:val="21"/>
                <w:szCs w:val="21"/>
                <w:lang w:val="en-US" w:eastAsia="zh-CN"/>
              </w:rPr>
              <w:t>14</w:t>
            </w:r>
          </w:p>
        </w:tc>
        <w:tc>
          <w:tcPr>
            <w:tcW w:w="1269" w:type="dxa"/>
            <w:vAlign w:val="center"/>
          </w:tcPr>
          <w:p w14:paraId="456EB6BE">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兴安</w:t>
            </w:r>
          </w:p>
        </w:tc>
        <w:tc>
          <w:tcPr>
            <w:tcW w:w="2659" w:type="dxa"/>
            <w:vAlign w:val="center"/>
          </w:tcPr>
          <w:p w14:paraId="657A3F1C">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太子河（本溪段）郑家河支流流域综合治理及企事业单位生活污水收集工程</w:t>
            </w:r>
          </w:p>
        </w:tc>
        <w:tc>
          <w:tcPr>
            <w:tcW w:w="5860" w:type="dxa"/>
            <w:vAlign w:val="center"/>
          </w:tcPr>
          <w:p w14:paraId="32F53188">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郑家河支流水源涵养、水库坝体修复养护、农村垃圾收集处理、农业种植污染治理、畜禽禁养、滨水景观路建设、企事业单位生活污水处理、雨污分流、生态景观及休闲步道系统建设、河道清淤、雨污分流及生态修复等。</w:t>
            </w:r>
          </w:p>
        </w:tc>
        <w:tc>
          <w:tcPr>
            <w:tcW w:w="1243" w:type="dxa"/>
            <w:vAlign w:val="center"/>
          </w:tcPr>
          <w:p w14:paraId="3DE12600">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16000</w:t>
            </w:r>
          </w:p>
        </w:tc>
        <w:tc>
          <w:tcPr>
            <w:tcW w:w="1214" w:type="dxa"/>
            <w:noWrap/>
            <w:vAlign w:val="center"/>
          </w:tcPr>
          <w:p w14:paraId="7F8DC58C">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水生态保护修复</w:t>
            </w:r>
          </w:p>
        </w:tc>
        <w:tc>
          <w:tcPr>
            <w:tcW w:w="1503" w:type="dxa"/>
            <w:vAlign w:val="center"/>
          </w:tcPr>
          <w:p w14:paraId="4832C3B8">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河湖生态缓冲带修复</w:t>
            </w:r>
          </w:p>
        </w:tc>
        <w:tc>
          <w:tcPr>
            <w:tcW w:w="847" w:type="dxa"/>
            <w:noWrap/>
            <w:vAlign w:val="center"/>
          </w:tcPr>
          <w:p w14:paraId="1F8915F7">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6598D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63335288">
            <w:pPr>
              <w:pStyle w:val="9"/>
              <w:spacing w:line="240" w:lineRule="auto"/>
              <w:ind w:firstLine="0" w:firstLineChars="0"/>
              <w:rPr>
                <w:rFonts w:hint="default" w:ascii="Times New Roman" w:hAnsi="Times New Roman" w:eastAsia="仿宋" w:cs="Times New Roman"/>
                <w:sz w:val="21"/>
                <w:szCs w:val="21"/>
                <w:lang w:val="en-US" w:eastAsia="zh-CN"/>
              </w:rPr>
            </w:pPr>
            <w:r>
              <w:rPr>
                <w:rFonts w:hint="eastAsia" w:ascii="Times New Roman" w:hAnsi="Times New Roman" w:cs="Times New Roman"/>
                <w:sz w:val="21"/>
                <w:szCs w:val="21"/>
                <w:lang w:val="en-US" w:eastAsia="zh-CN"/>
              </w:rPr>
              <w:t>15</w:t>
            </w:r>
          </w:p>
        </w:tc>
        <w:tc>
          <w:tcPr>
            <w:tcW w:w="1269" w:type="dxa"/>
            <w:vAlign w:val="center"/>
          </w:tcPr>
          <w:p w14:paraId="6BA22BA6">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兴安</w:t>
            </w:r>
          </w:p>
        </w:tc>
        <w:tc>
          <w:tcPr>
            <w:tcW w:w="2659" w:type="dxa"/>
            <w:vAlign w:val="center"/>
          </w:tcPr>
          <w:p w14:paraId="42B9293E">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彩屯河彩北新村段河道治理项目</w:t>
            </w:r>
          </w:p>
        </w:tc>
        <w:tc>
          <w:tcPr>
            <w:tcW w:w="5860" w:type="dxa"/>
            <w:vAlign w:val="center"/>
          </w:tcPr>
          <w:p w14:paraId="215CB590">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彩北新村河道全长1公里，河道平均宽度8米，防洪标准为10年一遇。新建、维修河道两侧堤防1公里，结构形式为毛石混凝土；河道清淤1公里，平均清淤厚度0.6米，并安装雨污分离管网，建设小型翻板坝一座；安装全线河道两侧堤防外侧安全防护栏1000延长米，护栏高度为0.8米；部分河道需加盖工程，长度100米，采用建筑物形式为承重箱涵；新建河道景观路一条，全长1公里，路面宽3米，河道景观绿化美化1公里。 1、彩屯河(鲍家段)河道治理一期工程；箱涵全长352米</w:t>
            </w:r>
            <w:r>
              <w:rPr>
                <w:rFonts w:hint="eastAsia" w:ascii="Times New Roman" w:hAnsi="Times New Roman" w:cs="Times New Roman"/>
                <w:sz w:val="21"/>
                <w:szCs w:val="21"/>
                <w:lang w:val="en-US"/>
              </w:rPr>
              <w:t>，</w:t>
            </w:r>
            <w:r>
              <w:rPr>
                <w:rFonts w:ascii="Times New Roman" w:hAnsi="Times New Roman" w:cs="Times New Roman"/>
                <w:sz w:val="21"/>
                <w:szCs w:val="21"/>
                <w:lang w:val="en-US"/>
              </w:rPr>
              <w:t>2、彩屯河(鲍家段)河道治理二期工程；治理河长725米； 3、彩屯河支流清淤及护堤修缮工程；4、鲍家腾空地块基础设施改造；5、鲍家两洞桥绿化景观工程。</w:t>
            </w:r>
          </w:p>
        </w:tc>
        <w:tc>
          <w:tcPr>
            <w:tcW w:w="1243" w:type="dxa"/>
            <w:vAlign w:val="center"/>
          </w:tcPr>
          <w:p w14:paraId="3F239A7E">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6320</w:t>
            </w:r>
          </w:p>
        </w:tc>
        <w:tc>
          <w:tcPr>
            <w:tcW w:w="1214" w:type="dxa"/>
            <w:noWrap/>
            <w:vAlign w:val="center"/>
          </w:tcPr>
          <w:p w14:paraId="36C77809">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水生态保护修复</w:t>
            </w:r>
          </w:p>
        </w:tc>
        <w:tc>
          <w:tcPr>
            <w:tcW w:w="1503" w:type="dxa"/>
            <w:vAlign w:val="center"/>
          </w:tcPr>
          <w:p w14:paraId="5DD889E0">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河湖生态缓冲带修复</w:t>
            </w:r>
          </w:p>
        </w:tc>
        <w:tc>
          <w:tcPr>
            <w:tcW w:w="847" w:type="dxa"/>
            <w:noWrap/>
            <w:vAlign w:val="center"/>
          </w:tcPr>
          <w:p w14:paraId="57560E9F">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76B52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503E9111">
            <w:pPr>
              <w:pStyle w:val="9"/>
              <w:spacing w:line="240" w:lineRule="auto"/>
              <w:ind w:firstLine="0" w:firstLineChars="0"/>
              <w:rPr>
                <w:rFonts w:hint="default" w:ascii="Times New Roman" w:hAnsi="Times New Roman" w:eastAsia="仿宋" w:cs="Times New Roman"/>
                <w:sz w:val="21"/>
                <w:szCs w:val="21"/>
                <w:lang w:val="en-US" w:eastAsia="zh-CN"/>
              </w:rPr>
            </w:pPr>
            <w:r>
              <w:rPr>
                <w:rFonts w:hint="eastAsia" w:ascii="Times New Roman" w:hAnsi="Times New Roman" w:cs="Times New Roman"/>
                <w:sz w:val="21"/>
                <w:szCs w:val="21"/>
                <w:lang w:val="en-US" w:eastAsia="zh-CN"/>
              </w:rPr>
              <w:t>16</w:t>
            </w:r>
          </w:p>
        </w:tc>
        <w:tc>
          <w:tcPr>
            <w:tcW w:w="1269" w:type="dxa"/>
            <w:vAlign w:val="center"/>
          </w:tcPr>
          <w:p w14:paraId="44469388">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兴安</w:t>
            </w:r>
          </w:p>
        </w:tc>
        <w:tc>
          <w:tcPr>
            <w:tcW w:w="2659" w:type="dxa"/>
            <w:vAlign w:val="center"/>
          </w:tcPr>
          <w:p w14:paraId="06092C32">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溪湖河水污染综合治理项目</w:t>
            </w:r>
          </w:p>
        </w:tc>
        <w:tc>
          <w:tcPr>
            <w:tcW w:w="5860" w:type="dxa"/>
            <w:vAlign w:val="center"/>
          </w:tcPr>
          <w:p w14:paraId="2604B3B0">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本项工程农村段主要包括三大功能区，1是水源涵养区，在明山粮库及以上区域进行生态建设；2是生态景观建设区，主要对粮库至原火连寨监狱一段3km进行生态景观建设工程；3是生态综合修复区，对韩家街至三道岗子河段进行生态综合修复工程；城市段主要包括沿河绿化亮化工程以及河道两岸堤坝建设工程。4.工程实施后，将有效控制流域的污染，恢复良好的生态环境，大幅度削减进入河流的污染物，并减轻流域水土流失程度。</w:t>
            </w:r>
          </w:p>
        </w:tc>
        <w:tc>
          <w:tcPr>
            <w:tcW w:w="1243" w:type="dxa"/>
            <w:vAlign w:val="center"/>
          </w:tcPr>
          <w:p w14:paraId="450C365B">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1500</w:t>
            </w:r>
          </w:p>
        </w:tc>
        <w:tc>
          <w:tcPr>
            <w:tcW w:w="1214" w:type="dxa"/>
            <w:noWrap/>
            <w:vAlign w:val="center"/>
          </w:tcPr>
          <w:p w14:paraId="5A6F014B">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水生态保护修复</w:t>
            </w:r>
          </w:p>
        </w:tc>
        <w:tc>
          <w:tcPr>
            <w:tcW w:w="1503" w:type="dxa"/>
            <w:vAlign w:val="center"/>
          </w:tcPr>
          <w:p w14:paraId="5DAF98D2">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河湖生态缓冲带修复</w:t>
            </w:r>
          </w:p>
        </w:tc>
        <w:tc>
          <w:tcPr>
            <w:tcW w:w="847" w:type="dxa"/>
            <w:noWrap/>
            <w:vAlign w:val="center"/>
          </w:tcPr>
          <w:p w14:paraId="7F90BECA">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3C301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7BD2EAA9">
            <w:pPr>
              <w:pStyle w:val="9"/>
              <w:spacing w:line="240" w:lineRule="auto"/>
              <w:ind w:firstLine="0" w:firstLineChars="0"/>
              <w:rPr>
                <w:rFonts w:hint="default" w:ascii="Times New Roman" w:hAnsi="Times New Roman" w:eastAsia="仿宋" w:cs="Times New Roman"/>
                <w:sz w:val="21"/>
                <w:szCs w:val="21"/>
                <w:lang w:val="en-US" w:eastAsia="zh-CN"/>
              </w:rPr>
            </w:pPr>
            <w:r>
              <w:rPr>
                <w:rFonts w:hint="eastAsia" w:ascii="Times New Roman" w:hAnsi="Times New Roman" w:cs="Times New Roman"/>
                <w:sz w:val="21"/>
                <w:szCs w:val="21"/>
                <w:lang w:val="en-US" w:eastAsia="zh-CN"/>
              </w:rPr>
              <w:t>17</w:t>
            </w:r>
          </w:p>
        </w:tc>
        <w:tc>
          <w:tcPr>
            <w:tcW w:w="1269" w:type="dxa"/>
            <w:vAlign w:val="center"/>
          </w:tcPr>
          <w:p w14:paraId="56FB60C9">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兴安</w:t>
            </w:r>
          </w:p>
        </w:tc>
        <w:tc>
          <w:tcPr>
            <w:tcW w:w="2659" w:type="dxa"/>
            <w:vAlign w:val="center"/>
          </w:tcPr>
          <w:p w14:paraId="0291A7DC">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本溪太子河河道生态治理工程（一期）</w:t>
            </w:r>
          </w:p>
        </w:tc>
        <w:tc>
          <w:tcPr>
            <w:tcW w:w="5860" w:type="dxa"/>
            <w:vAlign w:val="center"/>
          </w:tcPr>
          <w:p w14:paraId="2E8BE78C">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建设用地分布于本溪市明山区，太子河上游南岸。全长约3.6km，总建设面积约89公顷，工程建设主要包括：硬质河岸生态修复、河岸植被带建构、沿河湿地构建、沿河景观提升工程等。</w:t>
            </w:r>
          </w:p>
        </w:tc>
        <w:tc>
          <w:tcPr>
            <w:tcW w:w="1243" w:type="dxa"/>
            <w:vAlign w:val="center"/>
          </w:tcPr>
          <w:p w14:paraId="37598765">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14800</w:t>
            </w:r>
          </w:p>
        </w:tc>
        <w:tc>
          <w:tcPr>
            <w:tcW w:w="1214" w:type="dxa"/>
            <w:noWrap/>
            <w:vAlign w:val="center"/>
          </w:tcPr>
          <w:p w14:paraId="7478CF11">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水生态保护修复</w:t>
            </w:r>
          </w:p>
        </w:tc>
        <w:tc>
          <w:tcPr>
            <w:tcW w:w="1503" w:type="dxa"/>
            <w:vAlign w:val="center"/>
          </w:tcPr>
          <w:p w14:paraId="38037032">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河湖生态缓冲带修复</w:t>
            </w:r>
          </w:p>
        </w:tc>
        <w:tc>
          <w:tcPr>
            <w:tcW w:w="847" w:type="dxa"/>
            <w:noWrap/>
            <w:vAlign w:val="center"/>
          </w:tcPr>
          <w:p w14:paraId="55274A9E">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2021~2022</w:t>
            </w:r>
          </w:p>
        </w:tc>
      </w:tr>
      <w:tr w14:paraId="0840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46BD34EA">
            <w:pPr>
              <w:pStyle w:val="9"/>
              <w:spacing w:line="240" w:lineRule="auto"/>
              <w:ind w:firstLine="0" w:firstLineChars="0"/>
              <w:rPr>
                <w:rFonts w:hint="default" w:ascii="Times New Roman" w:hAnsi="Times New Roman" w:eastAsia="仿宋" w:cs="Times New Roman"/>
                <w:sz w:val="21"/>
                <w:szCs w:val="21"/>
                <w:lang w:val="en-US" w:eastAsia="zh-CN"/>
              </w:rPr>
            </w:pPr>
            <w:r>
              <w:rPr>
                <w:rFonts w:hint="eastAsia" w:ascii="Times New Roman" w:hAnsi="Times New Roman" w:cs="Times New Roman"/>
                <w:sz w:val="21"/>
                <w:szCs w:val="21"/>
                <w:lang w:val="en-US" w:eastAsia="zh-CN"/>
              </w:rPr>
              <w:t>18</w:t>
            </w:r>
          </w:p>
        </w:tc>
        <w:tc>
          <w:tcPr>
            <w:tcW w:w="1269" w:type="dxa"/>
            <w:vAlign w:val="center"/>
          </w:tcPr>
          <w:p w14:paraId="2EEFE708">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兴安</w:t>
            </w:r>
          </w:p>
        </w:tc>
        <w:tc>
          <w:tcPr>
            <w:tcW w:w="2659" w:type="dxa"/>
            <w:vAlign w:val="center"/>
          </w:tcPr>
          <w:p w14:paraId="47EAE615">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本溪太子河河道生态治理工程（二期）</w:t>
            </w:r>
          </w:p>
        </w:tc>
        <w:tc>
          <w:tcPr>
            <w:tcW w:w="5860" w:type="dxa"/>
            <w:vAlign w:val="center"/>
          </w:tcPr>
          <w:p w14:paraId="71B546F6">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建设用地分布于本溪市明山区，太子河中段南、北岸两侧。全长约1.5km，总建设面积约71公顷，工程建设主要包括：硬质河岸生态修复、河岸植被带建构、沿河湿地构建、沿河景观景观工程等</w:t>
            </w:r>
          </w:p>
        </w:tc>
        <w:tc>
          <w:tcPr>
            <w:tcW w:w="1243" w:type="dxa"/>
            <w:vAlign w:val="center"/>
          </w:tcPr>
          <w:p w14:paraId="67EB0FE4">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13000</w:t>
            </w:r>
          </w:p>
        </w:tc>
        <w:tc>
          <w:tcPr>
            <w:tcW w:w="1214" w:type="dxa"/>
            <w:noWrap/>
            <w:vAlign w:val="center"/>
          </w:tcPr>
          <w:p w14:paraId="35466F16">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水生态保护修复</w:t>
            </w:r>
          </w:p>
        </w:tc>
        <w:tc>
          <w:tcPr>
            <w:tcW w:w="1503" w:type="dxa"/>
            <w:vAlign w:val="center"/>
          </w:tcPr>
          <w:p w14:paraId="123E9059">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河湖生态缓冲带修复</w:t>
            </w:r>
          </w:p>
        </w:tc>
        <w:tc>
          <w:tcPr>
            <w:tcW w:w="847" w:type="dxa"/>
            <w:noWrap/>
            <w:vAlign w:val="center"/>
          </w:tcPr>
          <w:p w14:paraId="2FFA8753">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2022~2023</w:t>
            </w:r>
          </w:p>
        </w:tc>
      </w:tr>
      <w:tr w14:paraId="2910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6D216B72">
            <w:pPr>
              <w:pStyle w:val="9"/>
              <w:spacing w:line="240" w:lineRule="auto"/>
              <w:ind w:firstLine="0" w:firstLineChars="0"/>
              <w:rPr>
                <w:rFonts w:hint="default" w:ascii="Times New Roman" w:hAnsi="Times New Roman" w:eastAsia="仿宋" w:cs="Times New Roman"/>
                <w:sz w:val="21"/>
                <w:szCs w:val="21"/>
                <w:lang w:val="en-US" w:eastAsia="zh-CN"/>
              </w:rPr>
            </w:pPr>
            <w:r>
              <w:rPr>
                <w:rFonts w:hint="eastAsia" w:ascii="Times New Roman" w:hAnsi="Times New Roman" w:cs="Times New Roman"/>
                <w:sz w:val="21"/>
                <w:szCs w:val="21"/>
                <w:lang w:val="en-US" w:eastAsia="zh-CN"/>
              </w:rPr>
              <w:t>19</w:t>
            </w:r>
          </w:p>
        </w:tc>
        <w:tc>
          <w:tcPr>
            <w:tcW w:w="1269" w:type="dxa"/>
            <w:vAlign w:val="center"/>
          </w:tcPr>
          <w:p w14:paraId="5E0342B0">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兴安</w:t>
            </w:r>
          </w:p>
        </w:tc>
        <w:tc>
          <w:tcPr>
            <w:tcW w:w="2659" w:type="dxa"/>
            <w:vAlign w:val="center"/>
          </w:tcPr>
          <w:p w14:paraId="143A3DA9">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本溪太子河河道生态治理工程（三期）</w:t>
            </w:r>
          </w:p>
        </w:tc>
        <w:tc>
          <w:tcPr>
            <w:tcW w:w="5860" w:type="dxa"/>
            <w:vAlign w:val="center"/>
          </w:tcPr>
          <w:p w14:paraId="471EF7B3">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建设用地分布于本溪市明山区，太子河下游南岸。全长约3.6km，总建设面积约75公顷，工程建设主要包括：湿地公园建设、景观提升工程、硬质河岸生态修复、河岸植被带建构、沿河湿地构建等</w:t>
            </w:r>
          </w:p>
        </w:tc>
        <w:tc>
          <w:tcPr>
            <w:tcW w:w="1243" w:type="dxa"/>
            <w:vAlign w:val="center"/>
          </w:tcPr>
          <w:p w14:paraId="70022A51">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23000</w:t>
            </w:r>
          </w:p>
        </w:tc>
        <w:tc>
          <w:tcPr>
            <w:tcW w:w="1214" w:type="dxa"/>
            <w:noWrap/>
            <w:vAlign w:val="center"/>
          </w:tcPr>
          <w:p w14:paraId="7EF5A42A">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水生态保护修复</w:t>
            </w:r>
          </w:p>
        </w:tc>
        <w:tc>
          <w:tcPr>
            <w:tcW w:w="1503" w:type="dxa"/>
            <w:vAlign w:val="center"/>
          </w:tcPr>
          <w:p w14:paraId="37A8B4A4">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河湖生态缓冲带修复</w:t>
            </w:r>
          </w:p>
        </w:tc>
        <w:tc>
          <w:tcPr>
            <w:tcW w:w="847" w:type="dxa"/>
            <w:noWrap/>
            <w:vAlign w:val="center"/>
          </w:tcPr>
          <w:p w14:paraId="1BB40D32">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2023~2024</w:t>
            </w:r>
          </w:p>
        </w:tc>
      </w:tr>
      <w:tr w14:paraId="02C75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32703D27">
            <w:pPr>
              <w:pStyle w:val="9"/>
              <w:spacing w:line="240" w:lineRule="auto"/>
              <w:ind w:firstLine="0" w:firstLineChars="0"/>
              <w:rPr>
                <w:rFonts w:hint="default" w:ascii="Times New Roman" w:hAnsi="Times New Roman" w:eastAsia="仿宋" w:cs="Times New Roman"/>
                <w:sz w:val="21"/>
                <w:szCs w:val="21"/>
                <w:lang w:val="en-US" w:eastAsia="zh-CN"/>
              </w:rPr>
            </w:pPr>
            <w:r>
              <w:rPr>
                <w:rFonts w:hint="eastAsia" w:ascii="Times New Roman" w:hAnsi="Times New Roman" w:cs="Times New Roman"/>
                <w:sz w:val="21"/>
                <w:szCs w:val="21"/>
                <w:lang w:val="en-US" w:eastAsia="zh-CN"/>
              </w:rPr>
              <w:t>20</w:t>
            </w:r>
          </w:p>
        </w:tc>
        <w:tc>
          <w:tcPr>
            <w:tcW w:w="1269" w:type="dxa"/>
            <w:vAlign w:val="center"/>
          </w:tcPr>
          <w:p w14:paraId="2AD5152A">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兴安</w:t>
            </w:r>
          </w:p>
        </w:tc>
        <w:tc>
          <w:tcPr>
            <w:tcW w:w="2659" w:type="dxa"/>
            <w:vAlign w:val="center"/>
          </w:tcPr>
          <w:p w14:paraId="35543C9B">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太子河沿岸钢渣坡综合治理生态修复工程</w:t>
            </w:r>
          </w:p>
        </w:tc>
        <w:tc>
          <w:tcPr>
            <w:tcW w:w="5860" w:type="dxa"/>
            <w:vAlign w:val="center"/>
          </w:tcPr>
          <w:p w14:paraId="3091DA8C">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太子河沿岸7公顷渣坡综合治理工程。</w:t>
            </w:r>
          </w:p>
        </w:tc>
        <w:tc>
          <w:tcPr>
            <w:tcW w:w="1243" w:type="dxa"/>
            <w:vAlign w:val="center"/>
          </w:tcPr>
          <w:p w14:paraId="0DBBD6B6">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5800</w:t>
            </w:r>
          </w:p>
        </w:tc>
        <w:tc>
          <w:tcPr>
            <w:tcW w:w="1214" w:type="dxa"/>
            <w:noWrap/>
            <w:vAlign w:val="center"/>
          </w:tcPr>
          <w:p w14:paraId="6085DE4F">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水生态保护修复</w:t>
            </w:r>
          </w:p>
        </w:tc>
        <w:tc>
          <w:tcPr>
            <w:tcW w:w="1503" w:type="dxa"/>
            <w:vAlign w:val="center"/>
          </w:tcPr>
          <w:p w14:paraId="0B086AC8">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河湖生态缓冲带修复</w:t>
            </w:r>
          </w:p>
        </w:tc>
        <w:tc>
          <w:tcPr>
            <w:tcW w:w="847" w:type="dxa"/>
            <w:noWrap/>
            <w:vAlign w:val="center"/>
          </w:tcPr>
          <w:p w14:paraId="61EF638B">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35623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030287E0">
            <w:pPr>
              <w:pStyle w:val="9"/>
              <w:spacing w:line="240" w:lineRule="auto"/>
              <w:ind w:firstLine="0" w:firstLineChars="0"/>
              <w:rPr>
                <w:rFonts w:hint="default" w:ascii="Times New Roman" w:hAnsi="Times New Roman" w:eastAsia="仿宋" w:cs="Times New Roman"/>
                <w:sz w:val="21"/>
                <w:szCs w:val="21"/>
                <w:lang w:val="en-US" w:eastAsia="zh-CN"/>
              </w:rPr>
            </w:pPr>
            <w:r>
              <w:rPr>
                <w:rFonts w:hint="eastAsia" w:ascii="Times New Roman" w:hAnsi="Times New Roman" w:cs="Times New Roman"/>
                <w:sz w:val="21"/>
                <w:szCs w:val="21"/>
                <w:lang w:val="en-US" w:eastAsia="zh-CN"/>
              </w:rPr>
              <w:t>21</w:t>
            </w:r>
          </w:p>
        </w:tc>
        <w:tc>
          <w:tcPr>
            <w:tcW w:w="1269" w:type="dxa"/>
            <w:vAlign w:val="center"/>
          </w:tcPr>
          <w:p w14:paraId="417A9D0D">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邱家</w:t>
            </w:r>
          </w:p>
        </w:tc>
        <w:tc>
          <w:tcPr>
            <w:tcW w:w="2659" w:type="dxa"/>
            <w:vAlign w:val="center"/>
          </w:tcPr>
          <w:p w14:paraId="67BE8A27">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南芬区污水管网项目</w:t>
            </w:r>
          </w:p>
        </w:tc>
        <w:tc>
          <w:tcPr>
            <w:tcW w:w="5860" w:type="dxa"/>
            <w:vAlign w:val="center"/>
          </w:tcPr>
          <w:p w14:paraId="1A1386B5">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新建污水管网10公里是为收集南芬区生活污水，防止对细河流域造成污染。</w:t>
            </w:r>
          </w:p>
        </w:tc>
        <w:tc>
          <w:tcPr>
            <w:tcW w:w="1243" w:type="dxa"/>
            <w:vAlign w:val="center"/>
          </w:tcPr>
          <w:p w14:paraId="0A17660C">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2060.5</w:t>
            </w:r>
          </w:p>
        </w:tc>
        <w:tc>
          <w:tcPr>
            <w:tcW w:w="1214" w:type="dxa"/>
            <w:noWrap/>
            <w:vAlign w:val="center"/>
          </w:tcPr>
          <w:p w14:paraId="5B165DAD">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城镇污水处理及管网建设</w:t>
            </w:r>
          </w:p>
        </w:tc>
        <w:tc>
          <w:tcPr>
            <w:tcW w:w="1503" w:type="dxa"/>
            <w:vAlign w:val="center"/>
          </w:tcPr>
          <w:p w14:paraId="3084DB5B">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配套管网工程</w:t>
            </w:r>
          </w:p>
        </w:tc>
        <w:tc>
          <w:tcPr>
            <w:tcW w:w="847" w:type="dxa"/>
            <w:noWrap/>
            <w:vAlign w:val="center"/>
          </w:tcPr>
          <w:p w14:paraId="72FAB479">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11263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1C1AF687">
            <w:pPr>
              <w:pStyle w:val="9"/>
              <w:spacing w:line="240" w:lineRule="auto"/>
              <w:ind w:firstLine="0" w:firstLineChars="0"/>
              <w:rPr>
                <w:rFonts w:hint="default" w:ascii="Times New Roman" w:hAnsi="Times New Roman" w:eastAsia="仿宋" w:cs="Times New Roman"/>
                <w:sz w:val="21"/>
                <w:szCs w:val="21"/>
                <w:lang w:val="en-US" w:eastAsia="zh-CN"/>
              </w:rPr>
            </w:pPr>
            <w:r>
              <w:rPr>
                <w:rFonts w:hint="eastAsia" w:ascii="Times New Roman" w:hAnsi="Times New Roman" w:cs="Times New Roman"/>
                <w:sz w:val="21"/>
                <w:szCs w:val="21"/>
                <w:lang w:val="en-US" w:eastAsia="zh-CN"/>
              </w:rPr>
              <w:t>22</w:t>
            </w:r>
          </w:p>
        </w:tc>
        <w:tc>
          <w:tcPr>
            <w:tcW w:w="1269" w:type="dxa"/>
            <w:vAlign w:val="center"/>
          </w:tcPr>
          <w:p w14:paraId="2885521C">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邱家</w:t>
            </w:r>
          </w:p>
        </w:tc>
        <w:tc>
          <w:tcPr>
            <w:tcW w:w="2659" w:type="dxa"/>
            <w:vAlign w:val="center"/>
          </w:tcPr>
          <w:p w14:paraId="6C629AF2">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南芬区甬子峪村污水治理项目</w:t>
            </w:r>
          </w:p>
        </w:tc>
        <w:tc>
          <w:tcPr>
            <w:tcW w:w="5860" w:type="dxa"/>
            <w:vAlign w:val="center"/>
          </w:tcPr>
          <w:p w14:paraId="59D4FFCE">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对本溪市南芬区甬子峪村生活污水进行收集处理，100户现有居民实行旱厕改水厕</w:t>
            </w:r>
          </w:p>
        </w:tc>
        <w:tc>
          <w:tcPr>
            <w:tcW w:w="1243" w:type="dxa"/>
            <w:vAlign w:val="center"/>
          </w:tcPr>
          <w:p w14:paraId="69702312">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409.43</w:t>
            </w:r>
          </w:p>
        </w:tc>
        <w:tc>
          <w:tcPr>
            <w:tcW w:w="1214" w:type="dxa"/>
            <w:noWrap/>
            <w:vAlign w:val="center"/>
          </w:tcPr>
          <w:p w14:paraId="2D475CDF">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城镇污水处理及管网建设</w:t>
            </w:r>
          </w:p>
        </w:tc>
        <w:tc>
          <w:tcPr>
            <w:tcW w:w="1503" w:type="dxa"/>
            <w:vAlign w:val="center"/>
          </w:tcPr>
          <w:p w14:paraId="054AF3C6">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配套管网工程</w:t>
            </w:r>
          </w:p>
        </w:tc>
        <w:tc>
          <w:tcPr>
            <w:tcW w:w="847" w:type="dxa"/>
            <w:noWrap/>
            <w:vAlign w:val="center"/>
          </w:tcPr>
          <w:p w14:paraId="5427B7C6">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7D8C5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25FF657C">
            <w:pPr>
              <w:pStyle w:val="9"/>
              <w:spacing w:line="240" w:lineRule="auto"/>
              <w:ind w:firstLine="0" w:firstLineChars="0"/>
              <w:rPr>
                <w:rFonts w:hint="default" w:ascii="Times New Roman" w:hAnsi="Times New Roman" w:eastAsia="仿宋" w:cs="Times New Roman"/>
                <w:sz w:val="21"/>
                <w:szCs w:val="21"/>
                <w:lang w:val="en-US" w:eastAsia="zh-CN"/>
              </w:rPr>
            </w:pPr>
            <w:r>
              <w:rPr>
                <w:rFonts w:hint="eastAsia" w:ascii="Times New Roman" w:hAnsi="Times New Roman" w:cs="Times New Roman"/>
                <w:sz w:val="21"/>
                <w:szCs w:val="21"/>
                <w:lang w:val="en-US" w:eastAsia="zh-CN"/>
              </w:rPr>
              <w:t>23</w:t>
            </w:r>
          </w:p>
        </w:tc>
        <w:tc>
          <w:tcPr>
            <w:tcW w:w="1269" w:type="dxa"/>
            <w:vAlign w:val="center"/>
          </w:tcPr>
          <w:p w14:paraId="62003D04">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邱家</w:t>
            </w:r>
          </w:p>
        </w:tc>
        <w:tc>
          <w:tcPr>
            <w:tcW w:w="2659" w:type="dxa"/>
            <w:vAlign w:val="center"/>
          </w:tcPr>
          <w:p w14:paraId="6697766D">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南芬区生态湿地保护利用设施建设项目</w:t>
            </w:r>
          </w:p>
        </w:tc>
        <w:tc>
          <w:tcPr>
            <w:tcW w:w="5860" w:type="dxa"/>
            <w:vAlign w:val="center"/>
          </w:tcPr>
          <w:p w14:paraId="4CB58773">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1.细河二侧游步道和木栈道建设:北侧长1910米，南侧长2115米，该河道设置2处翻板阐2.西山生态环境大门及门前广场建设占地7400平方米3.西山生态环境体闲服务设施建设，总共有三条游览登山游步道共5294米</w:t>
            </w:r>
          </w:p>
        </w:tc>
        <w:tc>
          <w:tcPr>
            <w:tcW w:w="1243" w:type="dxa"/>
            <w:vAlign w:val="center"/>
          </w:tcPr>
          <w:p w14:paraId="0FBC6FA3">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4886.75</w:t>
            </w:r>
          </w:p>
        </w:tc>
        <w:tc>
          <w:tcPr>
            <w:tcW w:w="1214" w:type="dxa"/>
            <w:noWrap/>
            <w:vAlign w:val="center"/>
          </w:tcPr>
          <w:p w14:paraId="55E1F99E">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水生态保护修复</w:t>
            </w:r>
          </w:p>
        </w:tc>
        <w:tc>
          <w:tcPr>
            <w:tcW w:w="1503" w:type="dxa"/>
            <w:vAlign w:val="center"/>
          </w:tcPr>
          <w:p w14:paraId="251599A5">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河湖生态缓冲带修复</w:t>
            </w:r>
          </w:p>
        </w:tc>
        <w:tc>
          <w:tcPr>
            <w:tcW w:w="847" w:type="dxa"/>
            <w:noWrap/>
            <w:vAlign w:val="center"/>
          </w:tcPr>
          <w:p w14:paraId="51A4A2AF">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632FF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6036E754">
            <w:pPr>
              <w:pStyle w:val="9"/>
              <w:spacing w:line="240" w:lineRule="auto"/>
              <w:ind w:firstLine="0" w:firstLineChars="0"/>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24</w:t>
            </w:r>
          </w:p>
        </w:tc>
        <w:tc>
          <w:tcPr>
            <w:tcW w:w="1269" w:type="dxa"/>
            <w:vAlign w:val="center"/>
          </w:tcPr>
          <w:p w14:paraId="6AB06265">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邱家</w:t>
            </w:r>
          </w:p>
        </w:tc>
        <w:tc>
          <w:tcPr>
            <w:tcW w:w="2659" w:type="dxa"/>
            <w:vAlign w:val="center"/>
          </w:tcPr>
          <w:p w14:paraId="12AFA433">
            <w:pPr>
              <w:pStyle w:val="9"/>
              <w:spacing w:line="240" w:lineRule="auto"/>
              <w:ind w:firstLine="0" w:firstLineChars="0"/>
              <w:rPr>
                <w:rFonts w:ascii="Times New Roman" w:hAnsi="Times New Roman" w:cs="Times New Roman"/>
                <w:sz w:val="21"/>
                <w:szCs w:val="21"/>
                <w:lang w:val="en-US"/>
              </w:rPr>
            </w:pPr>
            <w:r>
              <w:rPr>
                <w:rFonts w:hint="eastAsia" w:ascii="Times New Roman" w:hAnsi="Times New Roman" w:cs="Times New Roman"/>
                <w:sz w:val="21"/>
                <w:szCs w:val="21"/>
                <w:lang w:val="en-US" w:eastAsia="zh-CN"/>
              </w:rPr>
              <w:t>思山岭污水处理厂及配套官网项目</w:t>
            </w:r>
          </w:p>
        </w:tc>
        <w:tc>
          <w:tcPr>
            <w:tcW w:w="5860" w:type="dxa"/>
            <w:vAlign w:val="center"/>
          </w:tcPr>
          <w:p w14:paraId="36368D3E">
            <w:pPr>
              <w:pStyle w:val="9"/>
              <w:spacing w:line="240" w:lineRule="auto"/>
              <w:ind w:firstLine="0" w:firstLineChars="0"/>
              <w:rPr>
                <w:rFonts w:ascii="Times New Roman" w:hAnsi="Times New Roman" w:cs="Times New Roman"/>
                <w:sz w:val="21"/>
                <w:szCs w:val="21"/>
                <w:lang w:val="en-US"/>
              </w:rPr>
            </w:pPr>
            <w:r>
              <w:rPr>
                <w:rFonts w:hint="eastAsia" w:ascii="Times New Roman" w:hAnsi="Times New Roman" w:cs="Times New Roman"/>
                <w:sz w:val="21"/>
                <w:szCs w:val="21"/>
                <w:lang w:val="en-US"/>
              </w:rPr>
              <w:t>新建日处理污水5</w:t>
            </w:r>
            <w:r>
              <w:rPr>
                <w:rFonts w:ascii="Times New Roman" w:hAnsi="Times New Roman" w:cs="Times New Roman"/>
                <w:sz w:val="21"/>
                <w:szCs w:val="21"/>
                <w:lang w:val="en-US"/>
              </w:rPr>
              <w:t>00</w:t>
            </w:r>
            <w:r>
              <w:rPr>
                <w:rFonts w:hint="eastAsia" w:ascii="Times New Roman" w:hAnsi="Times New Roman" w:cs="Times New Roman"/>
                <w:sz w:val="21"/>
                <w:szCs w:val="21"/>
                <w:lang w:val="en-US"/>
              </w:rPr>
              <w:t>吨污水处理厂一座，配套污水管网5</w:t>
            </w:r>
            <w:r>
              <w:rPr>
                <w:rFonts w:ascii="Times New Roman" w:hAnsi="Times New Roman" w:cs="Times New Roman"/>
                <w:sz w:val="21"/>
                <w:szCs w:val="21"/>
                <w:lang w:val="en-US"/>
              </w:rPr>
              <w:t>.5</w:t>
            </w:r>
            <w:r>
              <w:rPr>
                <w:rFonts w:hint="eastAsia" w:ascii="Times New Roman" w:hAnsi="Times New Roman" w:cs="Times New Roman"/>
                <w:sz w:val="21"/>
                <w:szCs w:val="21"/>
                <w:lang w:val="en-US"/>
              </w:rPr>
              <w:t>公里。</w:t>
            </w:r>
          </w:p>
        </w:tc>
        <w:tc>
          <w:tcPr>
            <w:tcW w:w="1243" w:type="dxa"/>
            <w:vAlign w:val="center"/>
          </w:tcPr>
          <w:p w14:paraId="506BAC06">
            <w:pPr>
              <w:pStyle w:val="9"/>
              <w:spacing w:line="240" w:lineRule="auto"/>
              <w:ind w:firstLine="0" w:firstLineChars="0"/>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2014</w:t>
            </w:r>
          </w:p>
        </w:tc>
        <w:tc>
          <w:tcPr>
            <w:tcW w:w="1214" w:type="dxa"/>
            <w:noWrap/>
            <w:vAlign w:val="center"/>
          </w:tcPr>
          <w:p w14:paraId="1BE8AE71">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城镇污水处理及管网建设</w:t>
            </w:r>
          </w:p>
        </w:tc>
        <w:tc>
          <w:tcPr>
            <w:tcW w:w="1503" w:type="dxa"/>
            <w:vAlign w:val="center"/>
          </w:tcPr>
          <w:p w14:paraId="22AD8F33">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城镇污水处理及管网建设</w:t>
            </w:r>
          </w:p>
        </w:tc>
        <w:tc>
          <w:tcPr>
            <w:tcW w:w="847" w:type="dxa"/>
            <w:noWrap/>
            <w:vAlign w:val="center"/>
          </w:tcPr>
          <w:p w14:paraId="44214149">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140E1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393E2692">
            <w:pPr>
              <w:pStyle w:val="9"/>
              <w:spacing w:line="240" w:lineRule="auto"/>
              <w:ind w:firstLine="0" w:firstLineChars="0"/>
              <w:rPr>
                <w:rFonts w:hint="default" w:ascii="Times New Roman" w:hAnsi="Times New Roman" w:eastAsia="仿宋" w:cs="Times New Roman"/>
                <w:sz w:val="21"/>
                <w:szCs w:val="21"/>
                <w:lang w:val="en-US" w:eastAsia="zh-CN"/>
              </w:rPr>
            </w:pPr>
            <w:r>
              <w:rPr>
                <w:rFonts w:hint="eastAsia" w:ascii="Times New Roman" w:hAnsi="Times New Roman" w:cs="Times New Roman"/>
                <w:sz w:val="21"/>
                <w:szCs w:val="21"/>
                <w:lang w:val="en-US" w:eastAsia="zh-CN"/>
              </w:rPr>
              <w:t>25</w:t>
            </w:r>
          </w:p>
        </w:tc>
        <w:tc>
          <w:tcPr>
            <w:tcW w:w="1269" w:type="dxa"/>
            <w:vAlign w:val="center"/>
          </w:tcPr>
          <w:p w14:paraId="1BED160B">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姚千户桥</w:t>
            </w:r>
          </w:p>
        </w:tc>
        <w:tc>
          <w:tcPr>
            <w:tcW w:w="2659" w:type="dxa"/>
            <w:vAlign w:val="center"/>
          </w:tcPr>
          <w:p w14:paraId="2119A925">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歪头山独立工矿区雨污分流工程</w:t>
            </w:r>
          </w:p>
        </w:tc>
        <w:tc>
          <w:tcPr>
            <w:tcW w:w="5860" w:type="dxa"/>
            <w:vAlign w:val="center"/>
          </w:tcPr>
          <w:p w14:paraId="3A2734A8">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在歪头山镇矿区新建雨污分流管网5公里</w:t>
            </w:r>
          </w:p>
        </w:tc>
        <w:tc>
          <w:tcPr>
            <w:tcW w:w="1243" w:type="dxa"/>
            <w:vAlign w:val="center"/>
          </w:tcPr>
          <w:p w14:paraId="7F5A19A3">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3000</w:t>
            </w:r>
          </w:p>
        </w:tc>
        <w:tc>
          <w:tcPr>
            <w:tcW w:w="1214" w:type="dxa"/>
            <w:noWrap/>
            <w:vAlign w:val="center"/>
          </w:tcPr>
          <w:p w14:paraId="06DECCAA">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城镇污水处理及管网建设</w:t>
            </w:r>
          </w:p>
        </w:tc>
        <w:tc>
          <w:tcPr>
            <w:tcW w:w="1503" w:type="dxa"/>
            <w:vAlign w:val="center"/>
          </w:tcPr>
          <w:p w14:paraId="5AD5D3BA">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配套管网工程</w:t>
            </w:r>
          </w:p>
        </w:tc>
        <w:tc>
          <w:tcPr>
            <w:tcW w:w="847" w:type="dxa"/>
            <w:noWrap/>
            <w:vAlign w:val="center"/>
          </w:tcPr>
          <w:p w14:paraId="4D884F3A">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74731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679A555F">
            <w:pPr>
              <w:pStyle w:val="9"/>
              <w:spacing w:line="240" w:lineRule="auto"/>
              <w:ind w:firstLine="0" w:firstLineChars="0"/>
              <w:rPr>
                <w:rFonts w:hint="default" w:ascii="Times New Roman" w:hAnsi="Times New Roman" w:eastAsia="仿宋" w:cs="Times New Roman"/>
                <w:sz w:val="21"/>
                <w:szCs w:val="21"/>
                <w:lang w:val="en-US" w:eastAsia="zh-CN"/>
              </w:rPr>
            </w:pPr>
            <w:r>
              <w:rPr>
                <w:rFonts w:hint="eastAsia" w:ascii="Times New Roman" w:hAnsi="Times New Roman" w:cs="Times New Roman"/>
                <w:sz w:val="21"/>
                <w:szCs w:val="21"/>
                <w:lang w:val="en-US" w:eastAsia="zh-CN"/>
              </w:rPr>
              <w:t>26</w:t>
            </w:r>
          </w:p>
        </w:tc>
        <w:tc>
          <w:tcPr>
            <w:tcW w:w="1269" w:type="dxa"/>
            <w:vAlign w:val="center"/>
          </w:tcPr>
          <w:p w14:paraId="4B49A4C8">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姚千户桥</w:t>
            </w:r>
          </w:p>
        </w:tc>
        <w:tc>
          <w:tcPr>
            <w:tcW w:w="2659" w:type="dxa"/>
            <w:vAlign w:val="center"/>
          </w:tcPr>
          <w:p w14:paraId="3EBBD1B4">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沙河东路西路管网完善工程</w:t>
            </w:r>
          </w:p>
        </w:tc>
        <w:tc>
          <w:tcPr>
            <w:tcW w:w="5860" w:type="dxa"/>
            <w:vAlign w:val="center"/>
          </w:tcPr>
          <w:p w14:paraId="10B5D2CC">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1）沙河东路：沿河修建道路2.663km，规划红线宽度24m，路面宽度16m。建设内容包括桥涵工程、排水工程、照明工程、绿化工程等内容。项目建设对抑制河岸水土流失，美化河堤景观，控制河岸小开荒及无关人员进入河道保护范围有积极作用。（2）沿河修建道路6043m。建设内容包括桥涵工程、排水工程、绿化工程等。</w:t>
            </w:r>
          </w:p>
        </w:tc>
        <w:tc>
          <w:tcPr>
            <w:tcW w:w="1243" w:type="dxa"/>
            <w:vAlign w:val="center"/>
          </w:tcPr>
          <w:p w14:paraId="158824FC">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5798.13</w:t>
            </w:r>
          </w:p>
        </w:tc>
        <w:tc>
          <w:tcPr>
            <w:tcW w:w="1214" w:type="dxa"/>
            <w:noWrap/>
            <w:vAlign w:val="center"/>
          </w:tcPr>
          <w:p w14:paraId="23A2D071">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城镇污水处理及管网建设</w:t>
            </w:r>
          </w:p>
        </w:tc>
        <w:tc>
          <w:tcPr>
            <w:tcW w:w="1503" w:type="dxa"/>
            <w:vAlign w:val="center"/>
          </w:tcPr>
          <w:p w14:paraId="248E1F1B">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配套管网工程</w:t>
            </w:r>
          </w:p>
        </w:tc>
        <w:tc>
          <w:tcPr>
            <w:tcW w:w="847" w:type="dxa"/>
            <w:noWrap/>
            <w:vAlign w:val="center"/>
          </w:tcPr>
          <w:p w14:paraId="3012AA5E">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3D28F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7F070BDD">
            <w:pPr>
              <w:pStyle w:val="9"/>
              <w:spacing w:line="240" w:lineRule="auto"/>
              <w:ind w:firstLine="0" w:firstLineChars="0"/>
              <w:rPr>
                <w:rFonts w:hint="default" w:ascii="Times New Roman" w:hAnsi="Times New Roman" w:eastAsia="仿宋" w:cs="Times New Roman"/>
                <w:sz w:val="21"/>
                <w:szCs w:val="21"/>
                <w:lang w:val="en-US" w:eastAsia="zh-CN"/>
              </w:rPr>
            </w:pPr>
            <w:r>
              <w:rPr>
                <w:rFonts w:hint="eastAsia" w:ascii="Times New Roman" w:hAnsi="Times New Roman" w:cs="Times New Roman"/>
                <w:sz w:val="21"/>
                <w:szCs w:val="21"/>
                <w:lang w:val="en-US" w:eastAsia="zh-CN"/>
              </w:rPr>
              <w:t>27</w:t>
            </w:r>
          </w:p>
        </w:tc>
        <w:tc>
          <w:tcPr>
            <w:tcW w:w="1269" w:type="dxa"/>
            <w:vAlign w:val="center"/>
          </w:tcPr>
          <w:p w14:paraId="25507B94">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姚千户桥</w:t>
            </w:r>
          </w:p>
        </w:tc>
        <w:tc>
          <w:tcPr>
            <w:tcW w:w="2659" w:type="dxa"/>
            <w:vAlign w:val="center"/>
          </w:tcPr>
          <w:p w14:paraId="4711BDFA">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北沙河流域生态廊道建设工程</w:t>
            </w:r>
          </w:p>
        </w:tc>
        <w:tc>
          <w:tcPr>
            <w:tcW w:w="5860" w:type="dxa"/>
            <w:vAlign w:val="center"/>
          </w:tcPr>
          <w:p w14:paraId="1D6F3A1F">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在北沙河南支3号闸至日月桥2.6公里范围以及北沙河黄木支流河入河上游100米至张边线桥2.9公里内建设河道湿地湿地面积为29公顷。北沙河南支M桥至溪湖区交界2.5公里无堤河段，本溪抚顺交界至沈本线公路桥9.2公里河段，建设自然生态型的渗透性护岸。北沙河南支城区段5.6公里两坡面栽植湿生植物及灌木进行护坡。</w:t>
            </w:r>
          </w:p>
        </w:tc>
        <w:tc>
          <w:tcPr>
            <w:tcW w:w="1243" w:type="dxa"/>
            <w:vAlign w:val="center"/>
          </w:tcPr>
          <w:p w14:paraId="0256345F">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5979.2</w:t>
            </w:r>
          </w:p>
        </w:tc>
        <w:tc>
          <w:tcPr>
            <w:tcW w:w="1214" w:type="dxa"/>
            <w:noWrap/>
            <w:vAlign w:val="center"/>
          </w:tcPr>
          <w:p w14:paraId="3E0F4127">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水生态保护修复</w:t>
            </w:r>
          </w:p>
        </w:tc>
        <w:tc>
          <w:tcPr>
            <w:tcW w:w="1503" w:type="dxa"/>
            <w:vAlign w:val="center"/>
          </w:tcPr>
          <w:p w14:paraId="79DA88EA">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河湖生态缓冲带修复</w:t>
            </w:r>
          </w:p>
        </w:tc>
        <w:tc>
          <w:tcPr>
            <w:tcW w:w="847" w:type="dxa"/>
            <w:noWrap/>
            <w:vAlign w:val="center"/>
          </w:tcPr>
          <w:p w14:paraId="33D53210">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72E28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6A066B2A">
            <w:pPr>
              <w:pStyle w:val="9"/>
              <w:spacing w:line="240" w:lineRule="auto"/>
              <w:ind w:firstLine="0" w:firstLineChars="0"/>
              <w:rPr>
                <w:rFonts w:hint="default" w:ascii="Times New Roman" w:hAnsi="Times New Roman" w:eastAsia="仿宋" w:cs="Times New Roman"/>
                <w:sz w:val="21"/>
                <w:szCs w:val="21"/>
                <w:lang w:val="en-US" w:eastAsia="zh-CN"/>
              </w:rPr>
            </w:pPr>
            <w:r>
              <w:rPr>
                <w:rFonts w:hint="eastAsia" w:ascii="Times New Roman" w:hAnsi="Times New Roman" w:cs="Times New Roman"/>
                <w:sz w:val="21"/>
                <w:szCs w:val="21"/>
                <w:lang w:val="en-US" w:eastAsia="zh-CN"/>
              </w:rPr>
              <w:t>28</w:t>
            </w:r>
          </w:p>
        </w:tc>
        <w:tc>
          <w:tcPr>
            <w:tcW w:w="1269" w:type="dxa"/>
            <w:vAlign w:val="center"/>
          </w:tcPr>
          <w:p w14:paraId="64A33C9B">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姚千户桥</w:t>
            </w:r>
          </w:p>
        </w:tc>
        <w:tc>
          <w:tcPr>
            <w:tcW w:w="2659" w:type="dxa"/>
            <w:vAlign w:val="center"/>
          </w:tcPr>
          <w:p w14:paraId="6BCF7ED3">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本溪高新区日月湖湿地公园建设项目</w:t>
            </w:r>
          </w:p>
        </w:tc>
        <w:tc>
          <w:tcPr>
            <w:tcW w:w="5860" w:type="dxa"/>
            <w:vAlign w:val="center"/>
          </w:tcPr>
          <w:p w14:paraId="353A2444">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4号闸至沈本交界6公里范围河道自然恢复生态湿地；4号闸至沈本交界6公里外延20米范围为，适度建设绿化植被，丰富植物多样性；以北沙河南支、大柳峪河入河口处，西南侧为沈丹铁路，西侧为李时珍大街，北侧为木兰路，东南侧为药都大街，建设面积13公顷湿地，净化支流河水质及营建湿地景观。本溪市岱金峪河至沈本市界，建设12公顷湿地，提升歪头山污水处理厂尾水水质，补充北沙河生态用水。</w:t>
            </w:r>
          </w:p>
        </w:tc>
        <w:tc>
          <w:tcPr>
            <w:tcW w:w="1243" w:type="dxa"/>
            <w:vAlign w:val="center"/>
          </w:tcPr>
          <w:p w14:paraId="100D7BBA">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10416.88</w:t>
            </w:r>
          </w:p>
        </w:tc>
        <w:tc>
          <w:tcPr>
            <w:tcW w:w="1214" w:type="dxa"/>
            <w:noWrap/>
            <w:vAlign w:val="center"/>
          </w:tcPr>
          <w:p w14:paraId="09934E7E">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水生态保护修复</w:t>
            </w:r>
          </w:p>
        </w:tc>
        <w:tc>
          <w:tcPr>
            <w:tcW w:w="1503" w:type="dxa"/>
            <w:vAlign w:val="center"/>
          </w:tcPr>
          <w:p w14:paraId="7D0CCE5B">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河湖生态缓冲带修复</w:t>
            </w:r>
          </w:p>
        </w:tc>
        <w:tc>
          <w:tcPr>
            <w:tcW w:w="847" w:type="dxa"/>
            <w:noWrap/>
            <w:vAlign w:val="center"/>
          </w:tcPr>
          <w:p w14:paraId="69EE82A4">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062B8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7A559098">
            <w:pPr>
              <w:pStyle w:val="9"/>
              <w:spacing w:line="240" w:lineRule="auto"/>
              <w:ind w:firstLine="0" w:firstLineChars="0"/>
              <w:rPr>
                <w:rFonts w:hint="default" w:ascii="Times New Roman" w:hAnsi="Times New Roman" w:eastAsia="仿宋" w:cs="Times New Roman"/>
                <w:sz w:val="21"/>
                <w:szCs w:val="21"/>
                <w:highlight w:val="yellow"/>
                <w:lang w:val="en-US" w:eastAsia="zh-CN"/>
              </w:rPr>
            </w:pPr>
            <w:r>
              <w:rPr>
                <w:rFonts w:hint="eastAsia" w:ascii="Times New Roman" w:hAnsi="Times New Roman" w:cs="Times New Roman"/>
                <w:sz w:val="21"/>
                <w:szCs w:val="21"/>
                <w:highlight w:val="yellow"/>
                <w:lang w:val="en-US" w:eastAsia="zh-CN"/>
              </w:rPr>
              <w:t>29</w:t>
            </w:r>
          </w:p>
        </w:tc>
        <w:tc>
          <w:tcPr>
            <w:tcW w:w="1269" w:type="dxa"/>
            <w:vAlign w:val="center"/>
          </w:tcPr>
          <w:p w14:paraId="011B9CDC">
            <w:pPr>
              <w:pStyle w:val="9"/>
              <w:spacing w:line="240" w:lineRule="auto"/>
              <w:ind w:firstLine="0" w:firstLineChars="0"/>
              <w:rPr>
                <w:rFonts w:ascii="Times New Roman" w:hAnsi="Times New Roman" w:cs="Times New Roman"/>
                <w:sz w:val="21"/>
                <w:szCs w:val="21"/>
                <w:highlight w:val="yellow"/>
                <w:lang w:val="en-US"/>
              </w:rPr>
            </w:pPr>
            <w:r>
              <w:rPr>
                <w:rFonts w:ascii="Times New Roman" w:hAnsi="Times New Roman" w:cs="Times New Roman"/>
                <w:sz w:val="21"/>
                <w:szCs w:val="21"/>
                <w:highlight w:val="yellow"/>
                <w:lang w:val="en-US"/>
              </w:rPr>
              <w:t>姚千户桥</w:t>
            </w:r>
          </w:p>
        </w:tc>
        <w:tc>
          <w:tcPr>
            <w:tcW w:w="2659" w:type="dxa"/>
            <w:vAlign w:val="center"/>
          </w:tcPr>
          <w:p w14:paraId="5A415D42">
            <w:pPr>
              <w:pStyle w:val="9"/>
              <w:spacing w:line="240" w:lineRule="auto"/>
              <w:ind w:firstLine="0" w:firstLineChars="0"/>
              <w:rPr>
                <w:rFonts w:ascii="Times New Roman" w:hAnsi="Times New Roman" w:cs="Times New Roman"/>
                <w:sz w:val="21"/>
                <w:szCs w:val="21"/>
                <w:highlight w:val="yellow"/>
                <w:lang w:val="en-US"/>
              </w:rPr>
            </w:pPr>
            <w:r>
              <w:rPr>
                <w:rFonts w:ascii="Times New Roman" w:hAnsi="Times New Roman" w:cs="Times New Roman"/>
                <w:sz w:val="21"/>
                <w:szCs w:val="21"/>
                <w:highlight w:val="yellow"/>
                <w:lang w:val="en-US"/>
              </w:rPr>
              <w:t>沈本新城污水处理厂 二期扩建工程</w:t>
            </w:r>
          </w:p>
        </w:tc>
        <w:tc>
          <w:tcPr>
            <w:tcW w:w="5860" w:type="dxa"/>
            <w:vAlign w:val="center"/>
          </w:tcPr>
          <w:p w14:paraId="7E00EFD4">
            <w:pPr>
              <w:pStyle w:val="9"/>
              <w:spacing w:line="240" w:lineRule="auto"/>
              <w:ind w:firstLine="0" w:firstLineChars="0"/>
              <w:rPr>
                <w:rFonts w:ascii="Times New Roman" w:hAnsi="Times New Roman" w:cs="Times New Roman"/>
                <w:sz w:val="21"/>
                <w:szCs w:val="21"/>
                <w:highlight w:val="yellow"/>
                <w:lang w:val="en-US"/>
              </w:rPr>
            </w:pPr>
            <w:r>
              <w:rPr>
                <w:rFonts w:ascii="Times New Roman" w:hAnsi="Times New Roman" w:cs="Times New Roman"/>
                <w:sz w:val="21"/>
                <w:szCs w:val="21"/>
                <w:highlight w:val="yellow"/>
                <w:lang w:val="en-US"/>
              </w:rPr>
              <w:t>在现有基础上再增加污水处理能力2万立方米/ 日，扩容后沈本新城污水处理厂处理日处理能力达到4万立方米 /日</w:t>
            </w:r>
          </w:p>
        </w:tc>
        <w:tc>
          <w:tcPr>
            <w:tcW w:w="1243" w:type="dxa"/>
            <w:vAlign w:val="center"/>
          </w:tcPr>
          <w:p w14:paraId="366BB094">
            <w:pPr>
              <w:pStyle w:val="9"/>
              <w:spacing w:line="240" w:lineRule="auto"/>
              <w:ind w:firstLine="0" w:firstLineChars="0"/>
              <w:rPr>
                <w:rFonts w:ascii="Times New Roman" w:hAnsi="Times New Roman" w:cs="Times New Roman"/>
                <w:sz w:val="21"/>
                <w:szCs w:val="21"/>
                <w:highlight w:val="yellow"/>
                <w:lang w:val="en-US"/>
              </w:rPr>
            </w:pPr>
            <w:r>
              <w:rPr>
                <w:rFonts w:ascii="Times New Roman" w:hAnsi="Times New Roman" w:cs="Times New Roman"/>
                <w:sz w:val="21"/>
                <w:szCs w:val="21"/>
                <w:highlight w:val="yellow"/>
                <w:lang w:val="en-US"/>
              </w:rPr>
              <w:t>10000</w:t>
            </w:r>
          </w:p>
        </w:tc>
        <w:tc>
          <w:tcPr>
            <w:tcW w:w="1214" w:type="dxa"/>
            <w:noWrap/>
            <w:vAlign w:val="center"/>
          </w:tcPr>
          <w:p w14:paraId="00F0F0DE">
            <w:pPr>
              <w:pStyle w:val="9"/>
              <w:spacing w:line="240" w:lineRule="auto"/>
              <w:ind w:firstLine="0" w:firstLineChars="0"/>
              <w:rPr>
                <w:rFonts w:ascii="Times New Roman" w:hAnsi="Times New Roman" w:cs="Times New Roman"/>
                <w:sz w:val="21"/>
                <w:szCs w:val="21"/>
                <w:highlight w:val="yellow"/>
                <w:lang w:val="en-US"/>
              </w:rPr>
            </w:pPr>
            <w:r>
              <w:rPr>
                <w:rFonts w:ascii="Times New Roman" w:hAnsi="Times New Roman" w:cs="Times New Roman"/>
                <w:sz w:val="21"/>
                <w:szCs w:val="21"/>
                <w:highlight w:val="yellow"/>
                <w:lang w:val="en-US"/>
              </w:rPr>
              <w:t>城镇污水处理及管网建设</w:t>
            </w:r>
          </w:p>
        </w:tc>
        <w:tc>
          <w:tcPr>
            <w:tcW w:w="1503" w:type="dxa"/>
            <w:vAlign w:val="center"/>
          </w:tcPr>
          <w:p w14:paraId="3E5D189E">
            <w:pPr>
              <w:pStyle w:val="9"/>
              <w:spacing w:line="240" w:lineRule="auto"/>
              <w:ind w:firstLine="0" w:firstLineChars="0"/>
              <w:rPr>
                <w:rFonts w:ascii="Times New Roman" w:hAnsi="Times New Roman" w:cs="Times New Roman"/>
                <w:sz w:val="21"/>
                <w:szCs w:val="21"/>
                <w:highlight w:val="yellow"/>
                <w:lang w:val="en-US"/>
              </w:rPr>
            </w:pPr>
            <w:r>
              <w:rPr>
                <w:rFonts w:ascii="Times New Roman" w:hAnsi="Times New Roman" w:cs="Times New Roman"/>
                <w:sz w:val="21"/>
                <w:szCs w:val="21"/>
                <w:highlight w:val="yellow"/>
                <w:lang w:val="en-US"/>
              </w:rPr>
              <w:t>城镇污水处理设施建设与改造</w:t>
            </w:r>
          </w:p>
        </w:tc>
        <w:tc>
          <w:tcPr>
            <w:tcW w:w="847" w:type="dxa"/>
            <w:noWrap/>
            <w:vAlign w:val="center"/>
          </w:tcPr>
          <w:p w14:paraId="1130BE3E">
            <w:pPr>
              <w:pStyle w:val="9"/>
              <w:spacing w:line="240" w:lineRule="auto"/>
              <w:ind w:firstLine="0" w:firstLineChars="0"/>
              <w:rPr>
                <w:rFonts w:ascii="Times New Roman" w:hAnsi="Times New Roman" w:cs="Times New Roman"/>
                <w:sz w:val="21"/>
                <w:szCs w:val="21"/>
                <w:highlight w:val="yellow"/>
                <w:lang w:val="en-US"/>
              </w:rPr>
            </w:pPr>
            <w:r>
              <w:rPr>
                <w:rFonts w:ascii="Times New Roman" w:hAnsi="Times New Roman" w:cs="Times New Roman"/>
                <w:sz w:val="21"/>
                <w:szCs w:val="21"/>
                <w:highlight w:val="yellow"/>
                <w:lang w:val="en-US"/>
              </w:rPr>
              <w:t>2021~2025</w:t>
            </w:r>
          </w:p>
        </w:tc>
      </w:tr>
      <w:tr w14:paraId="0C4E8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2B4A688A">
            <w:pPr>
              <w:pStyle w:val="9"/>
              <w:spacing w:line="240" w:lineRule="auto"/>
              <w:ind w:firstLine="0" w:firstLineChars="0"/>
              <w:rPr>
                <w:rFonts w:hint="default" w:ascii="Times New Roman" w:hAnsi="Times New Roman" w:eastAsia="仿宋" w:cs="Times New Roman"/>
                <w:sz w:val="21"/>
                <w:szCs w:val="21"/>
                <w:lang w:val="en-US" w:eastAsia="zh-CN"/>
              </w:rPr>
            </w:pPr>
            <w:r>
              <w:rPr>
                <w:rFonts w:hint="eastAsia" w:ascii="Times New Roman" w:hAnsi="Times New Roman" w:cs="Times New Roman"/>
                <w:sz w:val="21"/>
                <w:szCs w:val="21"/>
                <w:lang w:val="en-US" w:eastAsia="zh-CN"/>
              </w:rPr>
              <w:t>30</w:t>
            </w:r>
          </w:p>
        </w:tc>
        <w:tc>
          <w:tcPr>
            <w:tcW w:w="1269" w:type="dxa"/>
            <w:vAlign w:val="center"/>
          </w:tcPr>
          <w:p w14:paraId="4748534A">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姚千户桥</w:t>
            </w:r>
          </w:p>
        </w:tc>
        <w:tc>
          <w:tcPr>
            <w:tcW w:w="2659" w:type="dxa"/>
            <w:vAlign w:val="center"/>
          </w:tcPr>
          <w:p w14:paraId="5095D1D7">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临时污水处理站并网工程建设</w:t>
            </w:r>
          </w:p>
        </w:tc>
        <w:tc>
          <w:tcPr>
            <w:tcW w:w="5860" w:type="dxa"/>
            <w:vAlign w:val="center"/>
          </w:tcPr>
          <w:p w14:paraId="55752ADE">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将松木堡、石桥子老街、滨河工业区污水收集至市政污水处理厂集中处置，取消 临时污水处理站</w:t>
            </w:r>
          </w:p>
        </w:tc>
        <w:tc>
          <w:tcPr>
            <w:tcW w:w="1243" w:type="dxa"/>
            <w:vAlign w:val="center"/>
          </w:tcPr>
          <w:p w14:paraId="0D745AD2">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1000</w:t>
            </w:r>
          </w:p>
        </w:tc>
        <w:tc>
          <w:tcPr>
            <w:tcW w:w="1214" w:type="dxa"/>
            <w:noWrap/>
            <w:vAlign w:val="center"/>
          </w:tcPr>
          <w:p w14:paraId="139AEDDE">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城镇污水处理及管网建设</w:t>
            </w:r>
          </w:p>
        </w:tc>
        <w:tc>
          <w:tcPr>
            <w:tcW w:w="1503" w:type="dxa"/>
            <w:vAlign w:val="center"/>
          </w:tcPr>
          <w:p w14:paraId="59DD2FCE">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城镇污水处理设施建设与改造</w:t>
            </w:r>
          </w:p>
        </w:tc>
        <w:tc>
          <w:tcPr>
            <w:tcW w:w="847" w:type="dxa"/>
            <w:noWrap/>
            <w:vAlign w:val="center"/>
          </w:tcPr>
          <w:p w14:paraId="582F8801">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3DA42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0381A3F9">
            <w:pPr>
              <w:pStyle w:val="9"/>
              <w:spacing w:line="240" w:lineRule="auto"/>
              <w:ind w:firstLine="0" w:firstLineChars="0"/>
              <w:rPr>
                <w:rFonts w:hint="default" w:ascii="Times New Roman" w:hAnsi="Times New Roman" w:eastAsia="仿宋" w:cs="Times New Roman"/>
                <w:sz w:val="21"/>
                <w:szCs w:val="21"/>
                <w:lang w:val="en-US" w:eastAsia="zh-CN"/>
              </w:rPr>
            </w:pPr>
            <w:r>
              <w:rPr>
                <w:rFonts w:hint="eastAsia" w:ascii="Times New Roman" w:hAnsi="Times New Roman" w:cs="Times New Roman"/>
                <w:sz w:val="21"/>
                <w:szCs w:val="21"/>
                <w:lang w:val="en-US" w:eastAsia="zh-CN"/>
              </w:rPr>
              <w:t>31</w:t>
            </w:r>
          </w:p>
        </w:tc>
        <w:tc>
          <w:tcPr>
            <w:tcW w:w="1269" w:type="dxa"/>
            <w:vAlign w:val="center"/>
          </w:tcPr>
          <w:p w14:paraId="3C207CC9">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姚千户桥</w:t>
            </w:r>
          </w:p>
        </w:tc>
        <w:tc>
          <w:tcPr>
            <w:tcW w:w="2659" w:type="dxa"/>
            <w:vAlign w:val="center"/>
          </w:tcPr>
          <w:p w14:paraId="75AB649F">
            <w:pPr>
              <w:pStyle w:val="9"/>
              <w:spacing w:line="240" w:lineRule="auto"/>
              <w:ind w:firstLine="0" w:firstLineChars="0"/>
              <w:rPr>
                <w:rFonts w:ascii="Times New Roman" w:hAnsi="Times New Roman" w:cs="Times New Roman"/>
                <w:sz w:val="21"/>
                <w:szCs w:val="21"/>
                <w:lang w:val="en-US"/>
              </w:rPr>
            </w:pPr>
            <w:r>
              <w:rPr>
                <w:rFonts w:hint="eastAsia" w:ascii="Times New Roman" w:hAnsi="Times New Roman" w:cs="Times New Roman"/>
                <w:sz w:val="21"/>
                <w:szCs w:val="21"/>
                <w:lang w:val="en-US" w:eastAsia="zh-CN"/>
              </w:rPr>
              <w:t>绿色原料药产业园区</w:t>
            </w:r>
            <w:r>
              <w:rPr>
                <w:rFonts w:ascii="Times New Roman" w:hAnsi="Times New Roman" w:cs="Times New Roman"/>
                <w:sz w:val="21"/>
                <w:szCs w:val="21"/>
                <w:lang w:val="en-US"/>
              </w:rPr>
              <w:t>工业污水处理厂</w:t>
            </w:r>
          </w:p>
        </w:tc>
        <w:tc>
          <w:tcPr>
            <w:tcW w:w="5860" w:type="dxa"/>
            <w:vAlign w:val="center"/>
          </w:tcPr>
          <w:p w14:paraId="2B01E163">
            <w:pPr>
              <w:pStyle w:val="9"/>
              <w:spacing w:line="240" w:lineRule="auto"/>
              <w:ind w:firstLine="0" w:firstLineChars="0"/>
              <w:rPr>
                <w:rFonts w:hint="eastAsia" w:ascii="Times New Roman" w:hAnsi="Times New Roman" w:eastAsia="仿宋" w:cs="Times New Roman"/>
                <w:sz w:val="21"/>
                <w:szCs w:val="21"/>
                <w:lang w:val="en-US" w:eastAsia="zh-CN"/>
              </w:rPr>
            </w:pPr>
            <w:r>
              <w:rPr>
                <w:rFonts w:hint="eastAsia" w:ascii="Times New Roman" w:hAnsi="Times New Roman" w:cs="Times New Roman"/>
                <w:sz w:val="21"/>
                <w:szCs w:val="21"/>
                <w:lang w:val="en-US" w:eastAsia="zh-CN"/>
              </w:rPr>
              <w:t>规划</w:t>
            </w:r>
            <w:r>
              <w:rPr>
                <w:rFonts w:ascii="Times New Roman" w:hAnsi="Times New Roman" w:cs="Times New Roman"/>
                <w:sz w:val="21"/>
                <w:szCs w:val="21"/>
                <w:lang w:val="en-US"/>
              </w:rPr>
              <w:t>处理能力2万立方米/日，处理工业园区企业污水</w:t>
            </w:r>
            <w:r>
              <w:rPr>
                <w:rFonts w:hint="eastAsia" w:ascii="Times New Roman" w:hAnsi="Times New Roman" w:cs="Times New Roman"/>
                <w:sz w:val="21"/>
                <w:szCs w:val="21"/>
                <w:lang w:val="en-US" w:eastAsia="zh-CN"/>
              </w:rPr>
              <w:t>。</w:t>
            </w:r>
          </w:p>
        </w:tc>
        <w:tc>
          <w:tcPr>
            <w:tcW w:w="1243" w:type="dxa"/>
            <w:vAlign w:val="center"/>
          </w:tcPr>
          <w:p w14:paraId="5ECAE9BB">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20000</w:t>
            </w:r>
          </w:p>
        </w:tc>
        <w:tc>
          <w:tcPr>
            <w:tcW w:w="1214" w:type="dxa"/>
            <w:noWrap/>
            <w:vAlign w:val="center"/>
          </w:tcPr>
          <w:p w14:paraId="4AF7092F">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工业污染防治</w:t>
            </w:r>
          </w:p>
        </w:tc>
        <w:tc>
          <w:tcPr>
            <w:tcW w:w="1503" w:type="dxa"/>
            <w:vAlign w:val="center"/>
          </w:tcPr>
          <w:p w14:paraId="300DD260">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工业集聚区污水集中处理设施建设与改造</w:t>
            </w:r>
          </w:p>
        </w:tc>
        <w:tc>
          <w:tcPr>
            <w:tcW w:w="847" w:type="dxa"/>
            <w:noWrap/>
            <w:vAlign w:val="center"/>
          </w:tcPr>
          <w:p w14:paraId="5F33AAB8">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15DBB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4D9EEAFE">
            <w:pPr>
              <w:pStyle w:val="9"/>
              <w:spacing w:line="240" w:lineRule="auto"/>
              <w:ind w:firstLine="0" w:firstLineChars="0"/>
              <w:rPr>
                <w:rFonts w:hint="default" w:ascii="Times New Roman" w:hAnsi="Times New Roman" w:eastAsia="仿宋" w:cs="Times New Roman"/>
                <w:sz w:val="21"/>
                <w:szCs w:val="21"/>
                <w:lang w:val="en-US" w:eastAsia="zh-CN"/>
              </w:rPr>
            </w:pPr>
            <w:r>
              <w:rPr>
                <w:rFonts w:hint="eastAsia" w:ascii="Times New Roman" w:hAnsi="Times New Roman" w:cs="Times New Roman"/>
                <w:sz w:val="21"/>
                <w:szCs w:val="21"/>
                <w:lang w:val="en-US" w:eastAsia="zh-CN"/>
              </w:rPr>
              <w:t>32</w:t>
            </w:r>
          </w:p>
        </w:tc>
        <w:tc>
          <w:tcPr>
            <w:tcW w:w="1269" w:type="dxa"/>
            <w:vAlign w:val="center"/>
          </w:tcPr>
          <w:p w14:paraId="52A34C5A">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金银库沟门</w:t>
            </w:r>
          </w:p>
        </w:tc>
        <w:tc>
          <w:tcPr>
            <w:tcW w:w="2659" w:type="dxa"/>
            <w:noWrap/>
            <w:vAlign w:val="center"/>
          </w:tcPr>
          <w:p w14:paraId="7B71C4A3">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桓仁满族自治县农村污水收集处理项目</w:t>
            </w:r>
          </w:p>
        </w:tc>
        <w:tc>
          <w:tcPr>
            <w:tcW w:w="5860" w:type="dxa"/>
            <w:vAlign w:val="center"/>
          </w:tcPr>
          <w:p w14:paraId="4227A0E4">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桓仁县8个村庄污水处理设施及配套管网建设</w:t>
            </w:r>
          </w:p>
        </w:tc>
        <w:tc>
          <w:tcPr>
            <w:tcW w:w="1243" w:type="dxa"/>
            <w:noWrap/>
            <w:vAlign w:val="center"/>
          </w:tcPr>
          <w:p w14:paraId="64C04BB4">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4867.5</w:t>
            </w:r>
          </w:p>
        </w:tc>
        <w:tc>
          <w:tcPr>
            <w:tcW w:w="1214" w:type="dxa"/>
            <w:vAlign w:val="center"/>
          </w:tcPr>
          <w:p w14:paraId="56FD244B">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农业农村污染防治</w:t>
            </w:r>
          </w:p>
        </w:tc>
        <w:tc>
          <w:tcPr>
            <w:tcW w:w="1503" w:type="dxa"/>
            <w:vAlign w:val="center"/>
          </w:tcPr>
          <w:p w14:paraId="29C94409">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农村污水收集与处理工程</w:t>
            </w:r>
          </w:p>
        </w:tc>
        <w:tc>
          <w:tcPr>
            <w:tcW w:w="847" w:type="dxa"/>
            <w:noWrap/>
            <w:vAlign w:val="center"/>
          </w:tcPr>
          <w:p w14:paraId="3E2EDEE9">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0C699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1635C8BB">
            <w:pPr>
              <w:pStyle w:val="9"/>
              <w:spacing w:line="240" w:lineRule="auto"/>
              <w:ind w:firstLine="0" w:firstLineChars="0"/>
              <w:rPr>
                <w:rFonts w:hint="default" w:ascii="Times New Roman" w:hAnsi="Times New Roman" w:eastAsia="仿宋" w:cs="Times New Roman"/>
                <w:sz w:val="21"/>
                <w:szCs w:val="21"/>
                <w:lang w:val="en-US" w:eastAsia="zh-CN"/>
              </w:rPr>
            </w:pPr>
            <w:r>
              <w:rPr>
                <w:rFonts w:hint="eastAsia" w:ascii="Times New Roman" w:hAnsi="Times New Roman" w:cs="Times New Roman"/>
                <w:sz w:val="21"/>
                <w:szCs w:val="21"/>
                <w:lang w:val="en-US" w:eastAsia="zh-CN"/>
              </w:rPr>
              <w:t>33</w:t>
            </w:r>
          </w:p>
        </w:tc>
        <w:tc>
          <w:tcPr>
            <w:tcW w:w="1269" w:type="dxa"/>
            <w:vAlign w:val="center"/>
          </w:tcPr>
          <w:p w14:paraId="178D0BCC">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金银库沟门</w:t>
            </w:r>
          </w:p>
        </w:tc>
        <w:tc>
          <w:tcPr>
            <w:tcW w:w="2659" w:type="dxa"/>
            <w:vAlign w:val="center"/>
          </w:tcPr>
          <w:p w14:paraId="0719DF60">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输水河道水草清除定期清除工程</w:t>
            </w:r>
          </w:p>
        </w:tc>
        <w:tc>
          <w:tcPr>
            <w:tcW w:w="5860" w:type="dxa"/>
            <w:vAlign w:val="center"/>
          </w:tcPr>
          <w:p w14:paraId="478FC284">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定期清理桓仁水库输水河道的水草</w:t>
            </w:r>
          </w:p>
        </w:tc>
        <w:tc>
          <w:tcPr>
            <w:tcW w:w="1243" w:type="dxa"/>
            <w:vAlign w:val="center"/>
          </w:tcPr>
          <w:p w14:paraId="10B6CE1F">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110</w:t>
            </w:r>
          </w:p>
        </w:tc>
        <w:tc>
          <w:tcPr>
            <w:tcW w:w="1214" w:type="dxa"/>
            <w:noWrap/>
            <w:vAlign w:val="center"/>
          </w:tcPr>
          <w:p w14:paraId="6AAEC4CF">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水生态保护修复</w:t>
            </w:r>
          </w:p>
        </w:tc>
        <w:tc>
          <w:tcPr>
            <w:tcW w:w="1503" w:type="dxa"/>
            <w:vAlign w:val="center"/>
          </w:tcPr>
          <w:p w14:paraId="1DC6A98C">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河湖生态缓冲带修复</w:t>
            </w:r>
          </w:p>
        </w:tc>
        <w:tc>
          <w:tcPr>
            <w:tcW w:w="847" w:type="dxa"/>
            <w:noWrap/>
            <w:vAlign w:val="center"/>
          </w:tcPr>
          <w:p w14:paraId="4753A30E">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49001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3A675E4B">
            <w:pPr>
              <w:pStyle w:val="9"/>
              <w:spacing w:line="240" w:lineRule="auto"/>
              <w:ind w:firstLine="0" w:firstLineChars="0"/>
              <w:rPr>
                <w:rFonts w:hint="default" w:ascii="Times New Roman" w:hAnsi="Times New Roman" w:eastAsia="仿宋" w:cs="Times New Roman"/>
                <w:sz w:val="21"/>
                <w:szCs w:val="21"/>
                <w:lang w:val="en-US" w:eastAsia="zh-CN"/>
              </w:rPr>
            </w:pPr>
            <w:r>
              <w:rPr>
                <w:rFonts w:hint="eastAsia" w:ascii="Times New Roman" w:hAnsi="Times New Roman" w:cs="Times New Roman"/>
                <w:sz w:val="21"/>
                <w:szCs w:val="21"/>
                <w:lang w:val="en-US" w:eastAsia="zh-CN"/>
              </w:rPr>
              <w:t>34</w:t>
            </w:r>
          </w:p>
        </w:tc>
        <w:tc>
          <w:tcPr>
            <w:tcW w:w="1269" w:type="dxa"/>
            <w:vAlign w:val="center"/>
          </w:tcPr>
          <w:p w14:paraId="4BD1CD42">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金银库沟门</w:t>
            </w:r>
          </w:p>
        </w:tc>
        <w:tc>
          <w:tcPr>
            <w:tcW w:w="2659" w:type="dxa"/>
            <w:vAlign w:val="center"/>
          </w:tcPr>
          <w:p w14:paraId="7CD502B5">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桓仁水库库区垃圾清理项目</w:t>
            </w:r>
          </w:p>
        </w:tc>
        <w:tc>
          <w:tcPr>
            <w:tcW w:w="5860" w:type="dxa"/>
            <w:vAlign w:val="center"/>
          </w:tcPr>
          <w:p w14:paraId="5123169A">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定期清理桓仁水库的垃圾</w:t>
            </w:r>
          </w:p>
        </w:tc>
        <w:tc>
          <w:tcPr>
            <w:tcW w:w="1243" w:type="dxa"/>
            <w:vAlign w:val="center"/>
          </w:tcPr>
          <w:p w14:paraId="361D494B">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500</w:t>
            </w:r>
          </w:p>
        </w:tc>
        <w:tc>
          <w:tcPr>
            <w:tcW w:w="1214" w:type="dxa"/>
            <w:noWrap/>
            <w:vAlign w:val="center"/>
          </w:tcPr>
          <w:p w14:paraId="0BF0CA42">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水生态保护修复</w:t>
            </w:r>
          </w:p>
        </w:tc>
        <w:tc>
          <w:tcPr>
            <w:tcW w:w="1503" w:type="dxa"/>
            <w:vAlign w:val="center"/>
          </w:tcPr>
          <w:p w14:paraId="30372E80">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河湖生态缓冲带修复</w:t>
            </w:r>
          </w:p>
        </w:tc>
        <w:tc>
          <w:tcPr>
            <w:tcW w:w="847" w:type="dxa"/>
            <w:noWrap/>
            <w:vAlign w:val="center"/>
          </w:tcPr>
          <w:p w14:paraId="77FA60AB">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43BBC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422BE277">
            <w:pPr>
              <w:pStyle w:val="9"/>
              <w:spacing w:line="240" w:lineRule="auto"/>
              <w:ind w:firstLine="0" w:firstLineChars="0"/>
              <w:rPr>
                <w:rFonts w:hint="default" w:ascii="Times New Roman" w:hAnsi="Times New Roman" w:eastAsia="仿宋" w:cs="Times New Roman"/>
                <w:sz w:val="21"/>
                <w:szCs w:val="21"/>
                <w:lang w:val="en-US" w:eastAsia="zh-CN"/>
              </w:rPr>
            </w:pPr>
            <w:r>
              <w:rPr>
                <w:rFonts w:hint="eastAsia" w:ascii="Times New Roman" w:hAnsi="Times New Roman" w:cs="Times New Roman"/>
                <w:sz w:val="21"/>
                <w:szCs w:val="21"/>
                <w:lang w:val="en-US" w:eastAsia="zh-CN"/>
              </w:rPr>
              <w:t>35</w:t>
            </w:r>
          </w:p>
        </w:tc>
        <w:tc>
          <w:tcPr>
            <w:tcW w:w="1269" w:type="dxa"/>
            <w:vAlign w:val="center"/>
          </w:tcPr>
          <w:p w14:paraId="101FEF66">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金银库沟门</w:t>
            </w:r>
          </w:p>
        </w:tc>
        <w:tc>
          <w:tcPr>
            <w:tcW w:w="2659" w:type="dxa"/>
            <w:vAlign w:val="center"/>
          </w:tcPr>
          <w:p w14:paraId="12CA5011">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本溪市水生态环境调查项目</w:t>
            </w:r>
          </w:p>
        </w:tc>
        <w:tc>
          <w:tcPr>
            <w:tcW w:w="5860" w:type="dxa"/>
            <w:vAlign w:val="center"/>
          </w:tcPr>
          <w:p w14:paraId="0A6B0371">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以桓仁水库富营养化问题、TN问题为主，兼顾观音阁水库、太子河，开展水生态健康调查</w:t>
            </w:r>
          </w:p>
        </w:tc>
        <w:tc>
          <w:tcPr>
            <w:tcW w:w="1243" w:type="dxa"/>
            <w:vAlign w:val="center"/>
          </w:tcPr>
          <w:p w14:paraId="57FE4AEE">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900</w:t>
            </w:r>
          </w:p>
        </w:tc>
        <w:tc>
          <w:tcPr>
            <w:tcW w:w="1214" w:type="dxa"/>
            <w:noWrap/>
            <w:vAlign w:val="center"/>
          </w:tcPr>
          <w:p w14:paraId="29E41C4D">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风险预防</w:t>
            </w:r>
          </w:p>
        </w:tc>
        <w:tc>
          <w:tcPr>
            <w:tcW w:w="1503" w:type="dxa"/>
            <w:vAlign w:val="center"/>
          </w:tcPr>
          <w:p w14:paraId="69FF4FFA">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生态健康调查</w:t>
            </w:r>
          </w:p>
        </w:tc>
        <w:tc>
          <w:tcPr>
            <w:tcW w:w="847" w:type="dxa"/>
            <w:noWrap/>
            <w:vAlign w:val="center"/>
          </w:tcPr>
          <w:p w14:paraId="321DE245">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1D90D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67DF5FDF">
            <w:pPr>
              <w:pStyle w:val="9"/>
              <w:spacing w:line="240" w:lineRule="auto"/>
              <w:ind w:firstLine="0" w:firstLineChars="0"/>
              <w:rPr>
                <w:rFonts w:hint="default" w:ascii="Times New Roman" w:hAnsi="Times New Roman" w:eastAsia="仿宋" w:cs="Times New Roman"/>
                <w:sz w:val="21"/>
                <w:szCs w:val="21"/>
                <w:lang w:val="en-US" w:eastAsia="zh-CN"/>
              </w:rPr>
            </w:pPr>
            <w:r>
              <w:rPr>
                <w:rFonts w:hint="eastAsia" w:ascii="Times New Roman" w:hAnsi="Times New Roman" w:cs="Times New Roman"/>
                <w:sz w:val="21"/>
                <w:szCs w:val="21"/>
                <w:lang w:val="en-US" w:eastAsia="zh-CN"/>
              </w:rPr>
              <w:t>36</w:t>
            </w:r>
          </w:p>
        </w:tc>
        <w:tc>
          <w:tcPr>
            <w:tcW w:w="1269" w:type="dxa"/>
            <w:vAlign w:val="center"/>
          </w:tcPr>
          <w:p w14:paraId="2076CB04">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金银库沟门</w:t>
            </w:r>
          </w:p>
        </w:tc>
        <w:tc>
          <w:tcPr>
            <w:tcW w:w="2659" w:type="dxa"/>
            <w:vAlign w:val="center"/>
          </w:tcPr>
          <w:p w14:paraId="5A8CE030">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桓仁满族自治县水源保护区视频监控项目</w:t>
            </w:r>
          </w:p>
        </w:tc>
        <w:tc>
          <w:tcPr>
            <w:tcW w:w="5860" w:type="dxa"/>
            <w:vAlign w:val="center"/>
          </w:tcPr>
          <w:p w14:paraId="69174EE7">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在一级、二级保护区穿越道桥、人类活动扰动大的关键区域设置视频监控</w:t>
            </w:r>
          </w:p>
        </w:tc>
        <w:tc>
          <w:tcPr>
            <w:tcW w:w="1243" w:type="dxa"/>
            <w:vAlign w:val="center"/>
          </w:tcPr>
          <w:p w14:paraId="2A40972B">
            <w:pPr>
              <w:pStyle w:val="9"/>
              <w:spacing w:line="240" w:lineRule="auto"/>
              <w:ind w:firstLine="0" w:firstLineChars="0"/>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100</w:t>
            </w:r>
          </w:p>
        </w:tc>
        <w:tc>
          <w:tcPr>
            <w:tcW w:w="1214" w:type="dxa"/>
            <w:noWrap/>
            <w:vAlign w:val="center"/>
          </w:tcPr>
          <w:p w14:paraId="3EE733E0">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饮用水水源地规范化建设</w:t>
            </w:r>
          </w:p>
        </w:tc>
        <w:tc>
          <w:tcPr>
            <w:tcW w:w="1503" w:type="dxa"/>
            <w:vAlign w:val="center"/>
          </w:tcPr>
          <w:p w14:paraId="03A030B4">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视频监控设备</w:t>
            </w:r>
          </w:p>
        </w:tc>
        <w:tc>
          <w:tcPr>
            <w:tcW w:w="847" w:type="dxa"/>
            <w:noWrap/>
            <w:vAlign w:val="center"/>
          </w:tcPr>
          <w:p w14:paraId="765C51A0">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62AEB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50D6F98F">
            <w:pPr>
              <w:pStyle w:val="9"/>
              <w:spacing w:line="240" w:lineRule="auto"/>
              <w:ind w:firstLine="0" w:firstLineChars="0"/>
              <w:rPr>
                <w:rFonts w:hint="default" w:ascii="Times New Roman" w:hAnsi="Times New Roman" w:eastAsia="仿宋" w:cs="Times New Roman"/>
                <w:sz w:val="21"/>
                <w:szCs w:val="21"/>
                <w:lang w:val="en-US" w:eastAsia="zh-CN"/>
              </w:rPr>
            </w:pPr>
            <w:r>
              <w:rPr>
                <w:rFonts w:hint="eastAsia" w:ascii="Times New Roman" w:hAnsi="Times New Roman" w:cs="Times New Roman"/>
                <w:sz w:val="21"/>
                <w:szCs w:val="21"/>
                <w:lang w:val="en-US" w:eastAsia="zh-CN"/>
              </w:rPr>
              <w:t>37</w:t>
            </w:r>
          </w:p>
        </w:tc>
        <w:tc>
          <w:tcPr>
            <w:tcW w:w="1269" w:type="dxa"/>
            <w:vAlign w:val="center"/>
          </w:tcPr>
          <w:p w14:paraId="24E02B54">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凤鸣电站</w:t>
            </w:r>
          </w:p>
        </w:tc>
        <w:tc>
          <w:tcPr>
            <w:tcW w:w="2659" w:type="dxa"/>
            <w:vAlign w:val="center"/>
          </w:tcPr>
          <w:p w14:paraId="66F1DB8A">
            <w:pPr>
              <w:pStyle w:val="9"/>
              <w:spacing w:line="240" w:lineRule="auto"/>
              <w:ind w:firstLine="0" w:firstLineChars="0"/>
              <w:rPr>
                <w:rFonts w:ascii="Times New Roman" w:hAnsi="Times New Roman" w:cs="Times New Roman"/>
                <w:sz w:val="21"/>
                <w:szCs w:val="21"/>
                <w:lang w:val="en-US"/>
              </w:rPr>
            </w:pPr>
            <w:r>
              <w:rPr>
                <w:rFonts w:hint="eastAsia" w:ascii="Times New Roman" w:hAnsi="Times New Roman" w:cs="Times New Roman"/>
                <w:sz w:val="21"/>
                <w:szCs w:val="21"/>
                <w:lang w:val="en-US"/>
              </w:rPr>
              <w:t>桓仁满族自治县城区排水管网雨水、污水分流建设工程(一期）</w:t>
            </w:r>
          </w:p>
        </w:tc>
        <w:tc>
          <w:tcPr>
            <w:tcW w:w="5860" w:type="dxa"/>
            <w:vAlign w:val="center"/>
          </w:tcPr>
          <w:p w14:paraId="08E86D33">
            <w:pPr>
              <w:pStyle w:val="9"/>
              <w:spacing w:line="240" w:lineRule="auto"/>
              <w:ind w:firstLine="0" w:firstLineChars="0"/>
              <w:rPr>
                <w:rFonts w:ascii="Times New Roman" w:hAnsi="Times New Roman" w:cs="Times New Roman"/>
                <w:sz w:val="21"/>
                <w:szCs w:val="21"/>
                <w:lang w:val="en-US"/>
              </w:rPr>
            </w:pPr>
            <w:r>
              <w:rPr>
                <w:rFonts w:hint="eastAsia" w:ascii="Times New Roman" w:hAnsi="Times New Roman" w:cs="Times New Roman"/>
                <w:sz w:val="21"/>
                <w:szCs w:val="21"/>
                <w:lang w:val="en-US"/>
              </w:rPr>
              <w:t>新建柜仁县中心城区内长江大街、天山路、府安路、民族路4条市政道路的排水管(梁),新建雨水管线4300米，雨水口连</w:t>
            </w:r>
            <w:r>
              <w:rPr>
                <w:rFonts w:hint="eastAsia" w:ascii="Times New Roman" w:hAnsi="Times New Roman" w:cs="Times New Roman"/>
                <w:sz w:val="21"/>
                <w:szCs w:val="21"/>
                <w:lang w:val="en-US"/>
              </w:rPr>
              <w:tab/>
            </w:r>
            <w:r>
              <w:rPr>
                <w:rFonts w:hint="eastAsia" w:ascii="Times New Roman" w:hAnsi="Times New Roman" w:cs="Times New Roman"/>
                <w:sz w:val="21"/>
                <w:szCs w:val="21"/>
                <w:lang w:val="en-US"/>
              </w:rPr>
              <w:t>接管2154米，新建雨水检查井</w:t>
            </w:r>
            <w:r>
              <w:rPr>
                <w:rFonts w:hint="eastAsia" w:ascii="Times New Roman" w:hAnsi="Times New Roman" w:cs="Times New Roman"/>
                <w:sz w:val="21"/>
                <w:szCs w:val="21"/>
                <w:lang w:val="en-US"/>
              </w:rPr>
              <w:tab/>
            </w:r>
            <w:r>
              <w:rPr>
                <w:rFonts w:hint="eastAsia" w:ascii="Times New Roman" w:hAnsi="Times New Roman" w:cs="Times New Roman"/>
                <w:sz w:val="21"/>
                <w:szCs w:val="21"/>
                <w:lang w:val="en-US"/>
              </w:rPr>
              <w:t>139座，雨水口175座，新建污水管线6271米及道路恢复</w:t>
            </w:r>
          </w:p>
          <w:p w14:paraId="372B3E25">
            <w:pPr>
              <w:pStyle w:val="9"/>
              <w:spacing w:line="240" w:lineRule="auto"/>
              <w:ind w:firstLine="0" w:firstLineChars="0"/>
              <w:rPr>
                <w:rFonts w:ascii="Times New Roman" w:hAnsi="Times New Roman" w:cs="Times New Roman"/>
                <w:sz w:val="21"/>
                <w:szCs w:val="21"/>
                <w:lang w:val="en-US"/>
              </w:rPr>
            </w:pPr>
          </w:p>
        </w:tc>
        <w:tc>
          <w:tcPr>
            <w:tcW w:w="1243" w:type="dxa"/>
            <w:vAlign w:val="center"/>
          </w:tcPr>
          <w:p w14:paraId="1C772CDC">
            <w:pPr>
              <w:pStyle w:val="9"/>
              <w:spacing w:line="240" w:lineRule="auto"/>
              <w:ind w:firstLine="0" w:firstLineChars="0"/>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5380</w:t>
            </w:r>
          </w:p>
        </w:tc>
        <w:tc>
          <w:tcPr>
            <w:tcW w:w="1214" w:type="dxa"/>
            <w:noWrap/>
            <w:vAlign w:val="center"/>
          </w:tcPr>
          <w:p w14:paraId="47EB7AB3">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城镇污水处理及管网建设</w:t>
            </w:r>
          </w:p>
        </w:tc>
        <w:tc>
          <w:tcPr>
            <w:tcW w:w="1503" w:type="dxa"/>
            <w:vAlign w:val="center"/>
          </w:tcPr>
          <w:p w14:paraId="29512BDF">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配套管网工程</w:t>
            </w:r>
          </w:p>
        </w:tc>
        <w:tc>
          <w:tcPr>
            <w:tcW w:w="847" w:type="dxa"/>
            <w:noWrap/>
            <w:vAlign w:val="center"/>
          </w:tcPr>
          <w:p w14:paraId="536390AB">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469D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6532D2F0">
            <w:pPr>
              <w:pStyle w:val="9"/>
              <w:spacing w:line="240" w:lineRule="auto"/>
              <w:ind w:firstLine="0" w:firstLineChars="0"/>
              <w:rPr>
                <w:rFonts w:hint="default" w:ascii="Times New Roman" w:hAnsi="Times New Roman" w:eastAsia="仿宋" w:cs="Times New Roman"/>
                <w:sz w:val="21"/>
                <w:szCs w:val="21"/>
                <w:lang w:val="en-US" w:eastAsia="zh-CN" w:bidi="zh-CN"/>
              </w:rPr>
            </w:pPr>
            <w:r>
              <w:rPr>
                <w:rFonts w:hint="eastAsia" w:ascii="Times New Roman" w:hAnsi="Times New Roman" w:cs="Times New Roman"/>
                <w:sz w:val="21"/>
                <w:szCs w:val="21"/>
                <w:lang w:val="en-US" w:eastAsia="zh-CN"/>
              </w:rPr>
              <w:t>38</w:t>
            </w:r>
          </w:p>
        </w:tc>
        <w:tc>
          <w:tcPr>
            <w:tcW w:w="1269" w:type="dxa"/>
            <w:vAlign w:val="center"/>
          </w:tcPr>
          <w:p w14:paraId="2B9945F3">
            <w:pPr>
              <w:pStyle w:val="9"/>
              <w:spacing w:line="240" w:lineRule="auto"/>
              <w:ind w:firstLine="0" w:firstLineChars="0"/>
              <w:rPr>
                <w:rFonts w:ascii="Times New Roman" w:hAnsi="Times New Roman" w:cs="Times New Roman"/>
                <w:sz w:val="21"/>
                <w:szCs w:val="21"/>
                <w:lang w:val="en-US" w:eastAsia="zh-CN"/>
              </w:rPr>
            </w:pPr>
            <w:r>
              <w:rPr>
                <w:rFonts w:ascii="Times New Roman" w:hAnsi="Times New Roman" w:cs="Times New Roman"/>
                <w:sz w:val="21"/>
                <w:szCs w:val="21"/>
                <w:lang w:val="en-US"/>
              </w:rPr>
              <w:t>凤鸣电站</w:t>
            </w:r>
          </w:p>
        </w:tc>
        <w:tc>
          <w:tcPr>
            <w:tcW w:w="2659" w:type="dxa"/>
            <w:vAlign w:val="center"/>
          </w:tcPr>
          <w:p w14:paraId="253BDD3B">
            <w:pPr>
              <w:pStyle w:val="9"/>
              <w:spacing w:line="240" w:lineRule="auto"/>
              <w:ind w:firstLine="0" w:firstLineChars="0"/>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桓</w:t>
            </w:r>
            <w:r>
              <w:rPr>
                <w:rFonts w:hint="eastAsia" w:ascii="Times New Roman" w:hAnsi="Times New Roman" w:cs="Times New Roman"/>
                <w:sz w:val="21"/>
                <w:szCs w:val="21"/>
                <w:lang w:val="en-US"/>
              </w:rPr>
              <w:t>仁满族自治县城区排水管网雨水、污水分流建设工程(二</w:t>
            </w:r>
            <w:r>
              <w:rPr>
                <w:rFonts w:hint="eastAsia" w:ascii="Times New Roman" w:hAnsi="Times New Roman" w:cs="Times New Roman"/>
                <w:sz w:val="21"/>
                <w:szCs w:val="21"/>
                <w:lang w:val="en-US" w:eastAsia="zh-CN"/>
              </w:rPr>
              <w:t>期）</w:t>
            </w:r>
          </w:p>
        </w:tc>
        <w:tc>
          <w:tcPr>
            <w:tcW w:w="5860" w:type="dxa"/>
            <w:vAlign w:val="center"/>
          </w:tcPr>
          <w:p w14:paraId="0CC88BA7">
            <w:pPr>
              <w:pStyle w:val="9"/>
              <w:spacing w:line="240" w:lineRule="auto"/>
              <w:ind w:firstLine="0" w:firstLineChars="0"/>
              <w:rPr>
                <w:rFonts w:ascii="Times New Roman" w:hAnsi="Times New Roman" w:cs="Times New Roman"/>
                <w:sz w:val="21"/>
                <w:szCs w:val="21"/>
                <w:lang w:val="en-US"/>
              </w:rPr>
            </w:pPr>
            <w:r>
              <w:rPr>
                <w:rFonts w:hint="eastAsia" w:ascii="Times New Roman" w:hAnsi="Times New Roman" w:cs="Times New Roman"/>
                <w:sz w:val="21"/>
                <w:szCs w:val="21"/>
                <w:lang w:val="en-US"/>
              </w:rPr>
              <w:t>新建长江大街、黄河大街等雨水管线约11公里，污水管线约16</w:t>
            </w:r>
            <w:r>
              <w:rPr>
                <w:rFonts w:hint="eastAsia" w:ascii="Times New Roman" w:hAnsi="Times New Roman" w:cs="Times New Roman"/>
                <w:sz w:val="21"/>
                <w:szCs w:val="21"/>
                <w:lang w:val="en-US"/>
              </w:rPr>
              <w:tab/>
            </w:r>
            <w:r>
              <w:rPr>
                <w:rFonts w:hint="eastAsia" w:ascii="Times New Roman" w:hAnsi="Times New Roman" w:cs="Times New Roman"/>
                <w:sz w:val="21"/>
                <w:szCs w:val="21"/>
                <w:lang w:val="en-US"/>
              </w:rPr>
              <w:t>公里。</w:t>
            </w:r>
          </w:p>
        </w:tc>
        <w:tc>
          <w:tcPr>
            <w:tcW w:w="1243" w:type="dxa"/>
            <w:vAlign w:val="center"/>
          </w:tcPr>
          <w:p w14:paraId="7E2A0268">
            <w:pPr>
              <w:pStyle w:val="9"/>
              <w:spacing w:line="240" w:lineRule="auto"/>
              <w:ind w:firstLine="0" w:firstLineChars="0"/>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27365</w:t>
            </w:r>
          </w:p>
        </w:tc>
        <w:tc>
          <w:tcPr>
            <w:tcW w:w="1214" w:type="dxa"/>
            <w:noWrap/>
            <w:vAlign w:val="center"/>
          </w:tcPr>
          <w:p w14:paraId="2B823EEB">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城镇污水处理及管网建设</w:t>
            </w:r>
          </w:p>
        </w:tc>
        <w:tc>
          <w:tcPr>
            <w:tcW w:w="1503" w:type="dxa"/>
            <w:vAlign w:val="center"/>
          </w:tcPr>
          <w:p w14:paraId="6A2293BE">
            <w:pPr>
              <w:pStyle w:val="9"/>
              <w:spacing w:line="240" w:lineRule="auto"/>
              <w:ind w:firstLine="0" w:firstLineChars="0"/>
              <w:rPr>
                <w:rFonts w:ascii="Times New Roman" w:hAnsi="Times New Roman" w:cs="Times New Roman"/>
                <w:sz w:val="21"/>
                <w:szCs w:val="21"/>
                <w:lang w:val="en-US" w:eastAsia="zh-CN"/>
              </w:rPr>
            </w:pPr>
            <w:r>
              <w:rPr>
                <w:rFonts w:ascii="Times New Roman" w:hAnsi="Times New Roman" w:cs="Times New Roman"/>
                <w:sz w:val="21"/>
                <w:szCs w:val="21"/>
                <w:lang w:val="en-US"/>
              </w:rPr>
              <w:t>配套管网工程</w:t>
            </w:r>
          </w:p>
        </w:tc>
        <w:tc>
          <w:tcPr>
            <w:tcW w:w="847" w:type="dxa"/>
            <w:noWrap/>
            <w:vAlign w:val="center"/>
          </w:tcPr>
          <w:p w14:paraId="2AF4C3B7">
            <w:pPr>
              <w:pStyle w:val="9"/>
              <w:spacing w:line="240" w:lineRule="auto"/>
              <w:ind w:firstLine="0" w:firstLineChars="0"/>
              <w:rPr>
                <w:rFonts w:ascii="Times New Roman" w:hAnsi="Times New Roman" w:cs="Times New Roman"/>
                <w:sz w:val="21"/>
                <w:szCs w:val="21"/>
                <w:lang w:val="en-US" w:eastAsia="zh-CN"/>
              </w:rPr>
            </w:pPr>
            <w:r>
              <w:rPr>
                <w:rFonts w:ascii="Times New Roman" w:hAnsi="Times New Roman" w:cs="Times New Roman"/>
                <w:sz w:val="21"/>
                <w:szCs w:val="21"/>
                <w:lang w:val="en-US"/>
              </w:rPr>
              <w:t>2021~2025</w:t>
            </w:r>
          </w:p>
        </w:tc>
      </w:tr>
      <w:tr w14:paraId="661D8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5587895E">
            <w:pPr>
              <w:pStyle w:val="9"/>
              <w:spacing w:line="240" w:lineRule="auto"/>
              <w:ind w:firstLine="0" w:firstLineChars="0"/>
              <w:rPr>
                <w:rFonts w:hint="default" w:ascii="Times New Roman" w:hAnsi="Times New Roman" w:eastAsia="仿宋" w:cs="Times New Roman"/>
                <w:sz w:val="21"/>
                <w:szCs w:val="21"/>
                <w:lang w:val="en-US" w:eastAsia="zh-CN"/>
              </w:rPr>
            </w:pPr>
            <w:r>
              <w:rPr>
                <w:rFonts w:hint="eastAsia" w:ascii="Times New Roman" w:hAnsi="Times New Roman" w:cs="Times New Roman"/>
                <w:sz w:val="21"/>
                <w:szCs w:val="21"/>
                <w:lang w:val="en-US" w:eastAsia="zh-CN"/>
              </w:rPr>
              <w:t>39</w:t>
            </w:r>
          </w:p>
        </w:tc>
        <w:tc>
          <w:tcPr>
            <w:tcW w:w="1269" w:type="dxa"/>
            <w:vAlign w:val="center"/>
          </w:tcPr>
          <w:p w14:paraId="31984DD9">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河南堡</w:t>
            </w:r>
          </w:p>
        </w:tc>
        <w:tc>
          <w:tcPr>
            <w:tcW w:w="2659" w:type="dxa"/>
            <w:vAlign w:val="center"/>
          </w:tcPr>
          <w:p w14:paraId="6617459D">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草河掌镇环境综合治理项目（乡镇污水、农村垃圾）</w:t>
            </w:r>
          </w:p>
        </w:tc>
        <w:tc>
          <w:tcPr>
            <w:tcW w:w="5860" w:type="dxa"/>
            <w:vAlign w:val="center"/>
          </w:tcPr>
          <w:p w14:paraId="79E45191">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新建草河掌镇垃圾中转站及其配套设备</w:t>
            </w:r>
          </w:p>
        </w:tc>
        <w:tc>
          <w:tcPr>
            <w:tcW w:w="1243" w:type="dxa"/>
            <w:vAlign w:val="center"/>
          </w:tcPr>
          <w:p w14:paraId="4CCDB203">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1500</w:t>
            </w:r>
          </w:p>
        </w:tc>
        <w:tc>
          <w:tcPr>
            <w:tcW w:w="1214" w:type="dxa"/>
            <w:noWrap/>
            <w:vAlign w:val="center"/>
          </w:tcPr>
          <w:p w14:paraId="10452DD8">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农业农村污染防治</w:t>
            </w:r>
          </w:p>
        </w:tc>
        <w:tc>
          <w:tcPr>
            <w:tcW w:w="1503" w:type="dxa"/>
            <w:vAlign w:val="center"/>
          </w:tcPr>
          <w:p w14:paraId="4AEDCFE5">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农村环境连片整治</w:t>
            </w:r>
          </w:p>
        </w:tc>
        <w:tc>
          <w:tcPr>
            <w:tcW w:w="847" w:type="dxa"/>
            <w:noWrap/>
            <w:vAlign w:val="center"/>
          </w:tcPr>
          <w:p w14:paraId="78CDBE21">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1CA51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9" w:type="dxa"/>
            <w:vAlign w:val="center"/>
          </w:tcPr>
          <w:p w14:paraId="0DD8D22D">
            <w:pPr>
              <w:pStyle w:val="9"/>
              <w:spacing w:line="240" w:lineRule="auto"/>
              <w:ind w:firstLine="0" w:firstLineChars="0"/>
              <w:rPr>
                <w:rFonts w:hint="default" w:ascii="Times New Roman" w:hAnsi="Times New Roman" w:eastAsia="仿宋" w:cs="Times New Roman"/>
                <w:sz w:val="21"/>
                <w:szCs w:val="21"/>
                <w:lang w:val="en-US" w:eastAsia="zh-CN"/>
              </w:rPr>
            </w:pPr>
            <w:r>
              <w:rPr>
                <w:rFonts w:hint="eastAsia" w:ascii="Times New Roman" w:hAnsi="Times New Roman" w:cs="Times New Roman"/>
                <w:sz w:val="21"/>
                <w:szCs w:val="21"/>
                <w:lang w:val="en-US" w:eastAsia="zh-CN"/>
              </w:rPr>
              <w:t>40</w:t>
            </w:r>
          </w:p>
        </w:tc>
        <w:tc>
          <w:tcPr>
            <w:tcW w:w="1269" w:type="dxa"/>
            <w:vAlign w:val="center"/>
          </w:tcPr>
          <w:p w14:paraId="4E592FA1">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河南堡</w:t>
            </w:r>
          </w:p>
        </w:tc>
        <w:tc>
          <w:tcPr>
            <w:tcW w:w="2659" w:type="dxa"/>
            <w:vAlign w:val="center"/>
          </w:tcPr>
          <w:p w14:paraId="6E03F3DF">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草河城镇环境综合治理项目（乡镇污水、农村垃圾）</w:t>
            </w:r>
          </w:p>
        </w:tc>
        <w:tc>
          <w:tcPr>
            <w:tcW w:w="5860" w:type="dxa"/>
            <w:vAlign w:val="center"/>
          </w:tcPr>
          <w:p w14:paraId="764E6D49">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新建草河城镇垃圾中转站及其配套设备</w:t>
            </w:r>
          </w:p>
        </w:tc>
        <w:tc>
          <w:tcPr>
            <w:tcW w:w="1243" w:type="dxa"/>
            <w:vAlign w:val="center"/>
          </w:tcPr>
          <w:p w14:paraId="73E90804">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1500</w:t>
            </w:r>
          </w:p>
        </w:tc>
        <w:tc>
          <w:tcPr>
            <w:tcW w:w="1214" w:type="dxa"/>
            <w:noWrap/>
            <w:vAlign w:val="center"/>
          </w:tcPr>
          <w:p w14:paraId="6EF1F8E8">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农业农村污染防治</w:t>
            </w:r>
          </w:p>
        </w:tc>
        <w:tc>
          <w:tcPr>
            <w:tcW w:w="1503" w:type="dxa"/>
            <w:vAlign w:val="center"/>
          </w:tcPr>
          <w:p w14:paraId="2DA5487E">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农村环境连片整治</w:t>
            </w:r>
          </w:p>
        </w:tc>
        <w:tc>
          <w:tcPr>
            <w:tcW w:w="847" w:type="dxa"/>
            <w:noWrap/>
            <w:vAlign w:val="center"/>
          </w:tcPr>
          <w:p w14:paraId="261D49D1">
            <w:pPr>
              <w:pStyle w:val="9"/>
              <w:spacing w:line="240" w:lineRule="auto"/>
              <w:ind w:firstLine="0" w:firstLineChars="0"/>
              <w:rPr>
                <w:rFonts w:ascii="Times New Roman" w:hAnsi="Times New Roman" w:cs="Times New Roman"/>
                <w:sz w:val="21"/>
                <w:szCs w:val="21"/>
                <w:lang w:val="en-US"/>
              </w:rPr>
            </w:pPr>
            <w:r>
              <w:rPr>
                <w:rFonts w:ascii="Times New Roman" w:hAnsi="Times New Roman" w:cs="Times New Roman"/>
                <w:sz w:val="21"/>
                <w:szCs w:val="21"/>
                <w:lang w:val="en-US"/>
              </w:rPr>
              <w:t>2021~2025</w:t>
            </w:r>
          </w:p>
        </w:tc>
      </w:tr>
      <w:tr w14:paraId="3AABB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57" w:type="dxa"/>
            <w:gridSpan w:val="4"/>
            <w:vAlign w:val="center"/>
          </w:tcPr>
          <w:p w14:paraId="6AC16CEF">
            <w:pPr>
              <w:pStyle w:val="9"/>
              <w:spacing w:line="240" w:lineRule="auto"/>
              <w:ind w:firstLine="0" w:firstLineChars="0"/>
              <w:rPr>
                <w:rFonts w:ascii="Times New Roman" w:hAnsi="Times New Roman" w:cs="Times New Roman"/>
                <w:sz w:val="21"/>
                <w:szCs w:val="21"/>
              </w:rPr>
            </w:pPr>
            <w:r>
              <w:rPr>
                <w:rFonts w:ascii="Times New Roman" w:hAnsi="Times New Roman" w:cs="Times New Roman"/>
                <w:sz w:val="21"/>
                <w:szCs w:val="21"/>
                <w:lang w:val="en-US"/>
              </w:rPr>
              <w:t>合计</w:t>
            </w:r>
          </w:p>
        </w:tc>
        <w:tc>
          <w:tcPr>
            <w:tcW w:w="1243" w:type="dxa"/>
            <w:vAlign w:val="center"/>
          </w:tcPr>
          <w:p w14:paraId="779F47F8">
            <w:pPr>
              <w:keepNext w:val="0"/>
              <w:keepLines w:val="0"/>
              <w:widowControl/>
              <w:suppressLineNumbers w:val="0"/>
              <w:ind w:left="0" w:leftChars="0" w:firstLine="0" w:firstLineChars="0"/>
              <w:jc w:val="both"/>
              <w:textAlignment w:val="center"/>
              <w:rPr>
                <w:rFonts w:hint="default" w:ascii="Times New Roman" w:hAnsi="Times New Roman" w:eastAsia="宋体" w:cs="Times New Roman"/>
                <w:i w:val="0"/>
                <w:iCs w:val="0"/>
                <w:color w:val="000000"/>
                <w:sz w:val="21"/>
                <w:szCs w:val="21"/>
                <w:u w:val="none"/>
                <w:lang w:val="zh-CN" w:eastAsia="zh-CN" w:bidi="zh-CN"/>
              </w:rPr>
            </w:pPr>
            <w:r>
              <w:rPr>
                <w:rFonts w:hint="default" w:ascii="Times New Roman" w:hAnsi="Times New Roman" w:eastAsia="宋体" w:cs="Times New Roman"/>
                <w:i w:val="0"/>
                <w:iCs w:val="0"/>
                <w:color w:val="000000"/>
                <w:kern w:val="0"/>
                <w:sz w:val="21"/>
                <w:szCs w:val="21"/>
                <w:u w:val="none"/>
                <w:lang w:val="en-US" w:eastAsia="zh-CN" w:bidi="ar"/>
              </w:rPr>
              <w:t>237212.95</w:t>
            </w:r>
          </w:p>
        </w:tc>
        <w:tc>
          <w:tcPr>
            <w:tcW w:w="1214" w:type="dxa"/>
            <w:noWrap/>
            <w:vAlign w:val="center"/>
          </w:tcPr>
          <w:p w14:paraId="51FCE943">
            <w:pPr>
              <w:pStyle w:val="9"/>
              <w:spacing w:line="240" w:lineRule="auto"/>
              <w:ind w:firstLine="0" w:firstLineChars="0"/>
              <w:rPr>
                <w:rFonts w:ascii="Times New Roman" w:hAnsi="Times New Roman" w:cs="Times New Roman"/>
                <w:sz w:val="21"/>
                <w:szCs w:val="21"/>
              </w:rPr>
            </w:pPr>
            <w:r>
              <w:rPr>
                <w:rFonts w:ascii="Times New Roman" w:hAnsi="Times New Roman" w:cs="Times New Roman"/>
                <w:sz w:val="21"/>
                <w:szCs w:val="21"/>
                <w:lang w:val="en-US"/>
              </w:rPr>
              <w:t>—</w:t>
            </w:r>
          </w:p>
        </w:tc>
        <w:tc>
          <w:tcPr>
            <w:tcW w:w="1503" w:type="dxa"/>
            <w:vAlign w:val="center"/>
          </w:tcPr>
          <w:p w14:paraId="3DAE454B">
            <w:pPr>
              <w:pStyle w:val="9"/>
              <w:spacing w:line="240" w:lineRule="auto"/>
              <w:ind w:firstLine="0" w:firstLineChars="0"/>
              <w:rPr>
                <w:rFonts w:ascii="Times New Roman" w:hAnsi="Times New Roman" w:cs="Times New Roman"/>
                <w:sz w:val="21"/>
                <w:szCs w:val="21"/>
              </w:rPr>
            </w:pPr>
          </w:p>
        </w:tc>
        <w:tc>
          <w:tcPr>
            <w:tcW w:w="847" w:type="dxa"/>
            <w:noWrap/>
            <w:vAlign w:val="center"/>
          </w:tcPr>
          <w:p w14:paraId="59C21FBC">
            <w:pPr>
              <w:pStyle w:val="9"/>
              <w:spacing w:line="240" w:lineRule="auto"/>
              <w:ind w:firstLine="0" w:firstLineChars="0"/>
              <w:rPr>
                <w:rFonts w:ascii="Times New Roman" w:hAnsi="Times New Roman" w:cs="Times New Roman"/>
                <w:sz w:val="21"/>
                <w:szCs w:val="21"/>
              </w:rPr>
            </w:pPr>
          </w:p>
        </w:tc>
      </w:tr>
    </w:tbl>
    <w:p w14:paraId="7D7D84E5">
      <w:pPr>
        <w:ind w:firstLine="560"/>
      </w:pPr>
    </w:p>
    <w:sectPr>
      <w:footerReference r:id="rId13" w:type="default"/>
      <w:pgSz w:w="16840" w:h="11910" w:orient="landscape"/>
      <w:pgMar w:top="567" w:right="567" w:bottom="567" w:left="567" w:header="567" w:footer="96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Microsoft JhengHei">
    <w:panose1 w:val="020B0604030504040204"/>
    <w:charset w:val="88"/>
    <w:family w:val="swiss"/>
    <w:pitch w:val="default"/>
    <w:sig w:usb0="00000087" w:usb1="28AF4000" w:usb2="00000016" w:usb3="00000000" w:csb0="00100009"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C9434">
    <w:pPr>
      <w:pStyle w:val="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6F108">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623CB">
    <w:pPr>
      <w:pStyle w:val="1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7C081">
    <w:pPr>
      <w:pStyle w:val="13"/>
      <w:ind w:firstLine="360"/>
      <w:jc w:val="center"/>
      <w:rPr>
        <w:lang w:val="en-US"/>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4B50A3">
                          <w:pPr>
                            <w:pStyle w:val="13"/>
                            <w:ind w:firstLine="360"/>
                          </w:pPr>
                          <w:r>
                            <w:fldChar w:fldCharType="begin"/>
                          </w:r>
                          <w:r>
                            <w:instrText xml:space="preserve"> PAGE  \* MERGEFORMAT </w:instrText>
                          </w:r>
                          <w:r>
                            <w:fldChar w:fldCharType="separate"/>
                          </w:r>
                          <w:r>
                            <w:t>27</w:t>
                          </w:r>
                          <w:r>
                            <w:fldChar w:fldCharType="end"/>
                          </w:r>
                        </w:p>
                      </w:txbxContent>
                    </wps:txbx>
                    <wps:bodyPr wrap="none" lIns="0" tIns="0" rIns="0" bIns="0" upright="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mLMpMkBAACZ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I6&#10;29MHqLHrIWBfGu78kFunPGAyqx5UtPmNegjW0dzz1Vw5JCLyR+vVel1hSWBtPiAOe/w8REhvpbck&#10;Bw2NeHvFVH56D2lsnVvyNOfvtTGY57VxfyUQM2dY5j5yzFEa9sNEfO/bM+rp8eIb6nDPKTHvHPqa&#10;d2QO4hzs5+AYoj50SG1ZeEG4PSYkUbjlCSPsNBhvrKibtiuvxJ/n0vX4R21/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YsykyQEAAJkDAAAOAAAAAAAAAAEAIAAAAB4BAABkcnMvZTJvRG9j&#10;LnhtbFBLBQYAAAAABgAGAFkBAABZBQAAAAA=&#10;">
              <v:fill on="f" focussize="0,0"/>
              <v:stroke on="f"/>
              <v:imagedata o:title=""/>
              <o:lock v:ext="edit" aspectratio="f"/>
              <v:textbox inset="0mm,0mm,0mm,0mm" style="mso-fit-shape-to-text:t;">
                <w:txbxContent>
                  <w:p w14:paraId="704B50A3">
                    <w:pPr>
                      <w:pStyle w:val="13"/>
                      <w:ind w:firstLine="360"/>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CA49B">
    <w:pPr>
      <w:pStyle w:val="9"/>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460B71">
                          <w:pPr>
                            <w:pStyle w:val="13"/>
                            <w:ind w:firstLine="360"/>
                          </w:pPr>
                          <w:r>
                            <w:fldChar w:fldCharType="begin"/>
                          </w:r>
                          <w:r>
                            <w:instrText xml:space="preserve"> PAGE  \* MERGEFORMAT </w:instrText>
                          </w:r>
                          <w:r>
                            <w:fldChar w:fldCharType="separate"/>
                          </w:r>
                          <w:r>
                            <w:t>28</w:t>
                          </w:r>
                          <w: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7JFfzIAQAAmQMAAA4AAAAAAAAAAQAgAAAAHgEAAGRycy9lMm9Eb2Mu&#10;eG1sUEsFBgAAAAAGAAYAWQEAAFgFAAAAAA==&#10;">
              <v:fill on="f" focussize="0,0"/>
              <v:stroke on="f"/>
              <v:imagedata o:title=""/>
              <o:lock v:ext="edit" aspectratio="f"/>
              <v:textbox inset="0mm,0mm,0mm,0mm" style="mso-fit-shape-to-text:t;">
                <w:txbxContent>
                  <w:p w14:paraId="5F460B71">
                    <w:pPr>
                      <w:pStyle w:val="13"/>
                      <w:ind w:firstLine="360"/>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FFB8C">
    <w:pPr>
      <w:pStyle w:val="1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9D760">
    <w:pPr>
      <w:pStyle w:val="1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16747">
    <w:pPr>
      <w:pStyle w:val="1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A7AA1">
    <w:pPr>
      <w:pStyle w:val="1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3MGFmMGZiZTRmN2IwNzEwNjVkYzZlNmMwOWEwOWMifQ=="/>
  </w:docVars>
  <w:rsids>
    <w:rsidRoot w:val="67CD4341"/>
    <w:rsid w:val="00007D68"/>
    <w:rsid w:val="00025A68"/>
    <w:rsid w:val="000A542D"/>
    <w:rsid w:val="000B17E0"/>
    <w:rsid w:val="000C2FC4"/>
    <w:rsid w:val="00101E01"/>
    <w:rsid w:val="0011319A"/>
    <w:rsid w:val="001D7B11"/>
    <w:rsid w:val="001F14A7"/>
    <w:rsid w:val="00202B31"/>
    <w:rsid w:val="002707B6"/>
    <w:rsid w:val="00292A48"/>
    <w:rsid w:val="00293A65"/>
    <w:rsid w:val="002B1B73"/>
    <w:rsid w:val="0030727E"/>
    <w:rsid w:val="00345256"/>
    <w:rsid w:val="003842E3"/>
    <w:rsid w:val="003950FE"/>
    <w:rsid w:val="003D2F7D"/>
    <w:rsid w:val="003D4184"/>
    <w:rsid w:val="003E0A5B"/>
    <w:rsid w:val="003E1C7C"/>
    <w:rsid w:val="003E7FFB"/>
    <w:rsid w:val="003F7154"/>
    <w:rsid w:val="004272E8"/>
    <w:rsid w:val="0044759E"/>
    <w:rsid w:val="00496BAD"/>
    <w:rsid w:val="004B2E54"/>
    <w:rsid w:val="004C0146"/>
    <w:rsid w:val="004D7DCE"/>
    <w:rsid w:val="004E38A1"/>
    <w:rsid w:val="004F3F38"/>
    <w:rsid w:val="00504F74"/>
    <w:rsid w:val="00527F34"/>
    <w:rsid w:val="005617B7"/>
    <w:rsid w:val="00566C96"/>
    <w:rsid w:val="00574A72"/>
    <w:rsid w:val="005B7314"/>
    <w:rsid w:val="005C6708"/>
    <w:rsid w:val="005F17AB"/>
    <w:rsid w:val="00626F5E"/>
    <w:rsid w:val="00681B16"/>
    <w:rsid w:val="006829CC"/>
    <w:rsid w:val="00684858"/>
    <w:rsid w:val="00763C58"/>
    <w:rsid w:val="007820D6"/>
    <w:rsid w:val="00832BEF"/>
    <w:rsid w:val="00840323"/>
    <w:rsid w:val="008426ED"/>
    <w:rsid w:val="00851333"/>
    <w:rsid w:val="00863722"/>
    <w:rsid w:val="0087310A"/>
    <w:rsid w:val="008B3839"/>
    <w:rsid w:val="008D1F5E"/>
    <w:rsid w:val="008F294F"/>
    <w:rsid w:val="009726C7"/>
    <w:rsid w:val="0098567C"/>
    <w:rsid w:val="009A7D76"/>
    <w:rsid w:val="009E67BA"/>
    <w:rsid w:val="00A37668"/>
    <w:rsid w:val="00A55F52"/>
    <w:rsid w:val="00A6597F"/>
    <w:rsid w:val="00AC3B8B"/>
    <w:rsid w:val="00B1037F"/>
    <w:rsid w:val="00B500BA"/>
    <w:rsid w:val="00B608B6"/>
    <w:rsid w:val="00B71CFE"/>
    <w:rsid w:val="00BA07F2"/>
    <w:rsid w:val="00BB1A64"/>
    <w:rsid w:val="00BB2E2A"/>
    <w:rsid w:val="00C45FB5"/>
    <w:rsid w:val="00CA5738"/>
    <w:rsid w:val="00CE00E7"/>
    <w:rsid w:val="00D07819"/>
    <w:rsid w:val="00D167E3"/>
    <w:rsid w:val="00D433FD"/>
    <w:rsid w:val="00D47540"/>
    <w:rsid w:val="00D92E11"/>
    <w:rsid w:val="00E67180"/>
    <w:rsid w:val="00E81426"/>
    <w:rsid w:val="00E844A6"/>
    <w:rsid w:val="00E8534E"/>
    <w:rsid w:val="00EA52E2"/>
    <w:rsid w:val="00EA7D3E"/>
    <w:rsid w:val="00EB111B"/>
    <w:rsid w:val="00F1243E"/>
    <w:rsid w:val="00F14E16"/>
    <w:rsid w:val="00F248DE"/>
    <w:rsid w:val="00F25B1F"/>
    <w:rsid w:val="00F44237"/>
    <w:rsid w:val="00F64E33"/>
    <w:rsid w:val="00F87044"/>
    <w:rsid w:val="00F92148"/>
    <w:rsid w:val="00FB294E"/>
    <w:rsid w:val="00FB65E3"/>
    <w:rsid w:val="00FC665B"/>
    <w:rsid w:val="00FD5A49"/>
    <w:rsid w:val="05CC7AEF"/>
    <w:rsid w:val="092447E8"/>
    <w:rsid w:val="13E372CB"/>
    <w:rsid w:val="14D26E5F"/>
    <w:rsid w:val="1557EC67"/>
    <w:rsid w:val="15744E0F"/>
    <w:rsid w:val="160F3C2F"/>
    <w:rsid w:val="1AFA7E80"/>
    <w:rsid w:val="1E801912"/>
    <w:rsid w:val="22EF75D3"/>
    <w:rsid w:val="242A5E44"/>
    <w:rsid w:val="268B1BA1"/>
    <w:rsid w:val="26E55775"/>
    <w:rsid w:val="288B1133"/>
    <w:rsid w:val="2A4C49D6"/>
    <w:rsid w:val="2C1D755F"/>
    <w:rsid w:val="2CA57F06"/>
    <w:rsid w:val="2DDE3AFF"/>
    <w:rsid w:val="2E0F302F"/>
    <w:rsid w:val="2E723BF3"/>
    <w:rsid w:val="2FFF2C11"/>
    <w:rsid w:val="30285291"/>
    <w:rsid w:val="313C5BE2"/>
    <w:rsid w:val="35312DF1"/>
    <w:rsid w:val="3E2473C1"/>
    <w:rsid w:val="3E69733E"/>
    <w:rsid w:val="3F4F5519"/>
    <w:rsid w:val="3FEE25A6"/>
    <w:rsid w:val="45FA62CB"/>
    <w:rsid w:val="4679D0B4"/>
    <w:rsid w:val="4AD63AF9"/>
    <w:rsid w:val="50953152"/>
    <w:rsid w:val="51295324"/>
    <w:rsid w:val="53F22534"/>
    <w:rsid w:val="543F2BA4"/>
    <w:rsid w:val="567D0979"/>
    <w:rsid w:val="57352515"/>
    <w:rsid w:val="57BD453A"/>
    <w:rsid w:val="57E819A4"/>
    <w:rsid w:val="5A7C2980"/>
    <w:rsid w:val="5D094684"/>
    <w:rsid w:val="5FC23932"/>
    <w:rsid w:val="65BA4FA3"/>
    <w:rsid w:val="67CD4341"/>
    <w:rsid w:val="69C67CF0"/>
    <w:rsid w:val="6E9739F3"/>
    <w:rsid w:val="6EED0DA2"/>
    <w:rsid w:val="6F77CA8B"/>
    <w:rsid w:val="6FEFD8B3"/>
    <w:rsid w:val="714B1823"/>
    <w:rsid w:val="71C62E5E"/>
    <w:rsid w:val="72F13CD2"/>
    <w:rsid w:val="74422293"/>
    <w:rsid w:val="7FEFB34B"/>
    <w:rsid w:val="DCCE261F"/>
    <w:rsid w:val="EED57B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adjustRightInd w:val="0"/>
      <w:snapToGrid w:val="0"/>
      <w:spacing w:line="360" w:lineRule="auto"/>
      <w:ind w:firstLine="400" w:firstLineChars="200"/>
      <w:jc w:val="both"/>
    </w:pPr>
    <w:rPr>
      <w:rFonts w:ascii="Times New Roman" w:hAnsi="Times New Roman" w:eastAsia="仿宋" w:cs="仿宋"/>
      <w:sz w:val="28"/>
      <w:szCs w:val="22"/>
      <w:lang w:val="zh-CN" w:eastAsia="zh-CN" w:bidi="zh-CN"/>
    </w:rPr>
  </w:style>
  <w:style w:type="paragraph" w:styleId="3">
    <w:name w:val="heading 1"/>
    <w:basedOn w:val="1"/>
    <w:next w:val="1"/>
    <w:qFormat/>
    <w:uiPriority w:val="1"/>
    <w:pPr>
      <w:spacing w:before="260" w:after="260"/>
      <w:ind w:firstLine="0" w:firstLineChars="0"/>
      <w:jc w:val="center"/>
      <w:outlineLvl w:val="0"/>
    </w:pPr>
    <w:rPr>
      <w:rFonts w:ascii="黑体" w:hAnsi="黑体" w:eastAsia="微软雅黑" w:cs="黑体"/>
      <w:b/>
      <w:bCs/>
      <w:sz w:val="32"/>
      <w:szCs w:val="32"/>
    </w:rPr>
  </w:style>
  <w:style w:type="paragraph" w:styleId="4">
    <w:name w:val="heading 2"/>
    <w:basedOn w:val="1"/>
    <w:next w:val="1"/>
    <w:qFormat/>
    <w:uiPriority w:val="1"/>
    <w:pPr>
      <w:spacing w:before="260" w:after="260"/>
      <w:ind w:firstLine="0" w:firstLineChars="0"/>
      <w:jc w:val="center"/>
      <w:outlineLvl w:val="1"/>
    </w:pPr>
    <w:rPr>
      <w:rFonts w:ascii="Times New Roman" w:hAnsi="Times New Roman" w:cs="Microsoft JhengHei"/>
      <w:b/>
      <w:bCs/>
      <w:sz w:val="30"/>
      <w:szCs w:val="30"/>
    </w:rPr>
  </w:style>
  <w:style w:type="paragraph" w:styleId="5">
    <w:name w:val="heading 3"/>
    <w:basedOn w:val="1"/>
    <w:next w:val="1"/>
    <w:unhideWhenUsed/>
    <w:qFormat/>
    <w:uiPriority w:val="0"/>
    <w:pPr>
      <w:keepNext/>
      <w:keepLines/>
      <w:ind w:firstLine="0" w:firstLineChars="0"/>
      <w:outlineLvl w:val="2"/>
    </w:pPr>
    <w:rPr>
      <w:b/>
    </w:rPr>
  </w:style>
  <w:style w:type="paragraph" w:styleId="6">
    <w:name w:val="heading 4"/>
    <w:basedOn w:val="1"/>
    <w:next w:val="1"/>
    <w:qFormat/>
    <w:uiPriority w:val="9"/>
    <w:pPr>
      <w:keepNext/>
      <w:keepLines/>
      <w:ind w:firstLine="0" w:firstLineChars="0"/>
      <w:outlineLvl w:val="3"/>
    </w:pPr>
    <w:rPr>
      <w:bCs/>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1"/>
    <w:qFormat/>
    <w:uiPriority w:val="0"/>
    <w:pPr>
      <w:jc w:val="left"/>
    </w:pPr>
  </w:style>
  <w:style w:type="paragraph" w:styleId="7">
    <w:name w:val="Document Map"/>
    <w:basedOn w:val="1"/>
    <w:link w:val="26"/>
    <w:qFormat/>
    <w:uiPriority w:val="0"/>
    <w:rPr>
      <w:rFonts w:ascii="宋体" w:eastAsia="宋体"/>
      <w:sz w:val="18"/>
      <w:szCs w:val="18"/>
    </w:rPr>
  </w:style>
  <w:style w:type="paragraph" w:styleId="8">
    <w:name w:val="annotation text"/>
    <w:basedOn w:val="1"/>
    <w:qFormat/>
    <w:uiPriority w:val="0"/>
    <w:pPr>
      <w:jc w:val="left"/>
    </w:pPr>
  </w:style>
  <w:style w:type="paragraph" w:styleId="9">
    <w:name w:val="Body Text"/>
    <w:basedOn w:val="1"/>
    <w:next w:val="1"/>
    <w:qFormat/>
    <w:uiPriority w:val="1"/>
    <w:rPr>
      <w:rFonts w:ascii="宋体" w:hAnsi="宋体" w:cs="宋体"/>
      <w:szCs w:val="30"/>
    </w:rPr>
  </w:style>
  <w:style w:type="paragraph" w:styleId="10">
    <w:name w:val="toc 3"/>
    <w:basedOn w:val="1"/>
    <w:next w:val="1"/>
    <w:qFormat/>
    <w:uiPriority w:val="39"/>
    <w:pPr>
      <w:spacing w:before="43"/>
      <w:ind w:left="640"/>
    </w:pPr>
    <w:rPr>
      <w:rFonts w:ascii="黑体" w:hAnsi="黑体" w:cs="黑体"/>
      <w:sz w:val="21"/>
      <w:szCs w:val="21"/>
    </w:rPr>
  </w:style>
  <w:style w:type="paragraph" w:styleId="11">
    <w:name w:val="Body Text Indent 2"/>
    <w:basedOn w:val="1"/>
    <w:unhideWhenUsed/>
    <w:qFormat/>
    <w:uiPriority w:val="99"/>
  </w:style>
  <w:style w:type="paragraph" w:styleId="12">
    <w:name w:val="Balloon Text"/>
    <w:basedOn w:val="1"/>
    <w:link w:val="27"/>
    <w:qFormat/>
    <w:uiPriority w:val="0"/>
    <w:pPr>
      <w:spacing w:line="240" w:lineRule="auto"/>
    </w:pPr>
    <w:rPr>
      <w:sz w:val="18"/>
      <w:szCs w:val="18"/>
    </w:rPr>
  </w:style>
  <w:style w:type="paragraph" w:styleId="13">
    <w:name w:val="footer"/>
    <w:basedOn w:val="1"/>
    <w:link w:val="29"/>
    <w:qFormat/>
    <w:uiPriority w:val="99"/>
    <w:pPr>
      <w:tabs>
        <w:tab w:val="center" w:pos="4153"/>
        <w:tab w:val="right" w:pos="8306"/>
      </w:tabs>
      <w:jc w:val="left"/>
    </w:pPr>
    <w:rPr>
      <w:sz w:val="18"/>
    </w:rPr>
  </w:style>
  <w:style w:type="paragraph" w:styleId="14">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pPr>
    <w:rPr>
      <w:sz w:val="18"/>
    </w:rPr>
  </w:style>
  <w:style w:type="paragraph" w:styleId="15">
    <w:name w:val="toc 1"/>
    <w:basedOn w:val="1"/>
    <w:next w:val="1"/>
    <w:qFormat/>
    <w:uiPriority w:val="39"/>
    <w:pPr>
      <w:spacing w:before="43"/>
      <w:ind w:right="258"/>
      <w:jc w:val="right"/>
    </w:pPr>
    <w:rPr>
      <w:rFonts w:ascii="黑体" w:hAnsi="黑体" w:cs="黑体"/>
      <w:b/>
      <w:sz w:val="21"/>
      <w:szCs w:val="21"/>
    </w:rPr>
  </w:style>
  <w:style w:type="paragraph" w:styleId="16">
    <w:name w:val="toc 2"/>
    <w:basedOn w:val="1"/>
    <w:next w:val="1"/>
    <w:qFormat/>
    <w:uiPriority w:val="39"/>
    <w:pPr>
      <w:spacing w:before="43"/>
      <w:ind w:left="220"/>
    </w:pPr>
    <w:rPr>
      <w:rFonts w:ascii="黑体" w:hAnsi="黑体" w:cs="黑体"/>
      <w:sz w:val="21"/>
      <w:szCs w:val="21"/>
    </w:rPr>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unhideWhenUsed/>
    <w:qFormat/>
    <w:uiPriority w:val="99"/>
    <w:pPr>
      <w:widowControl/>
      <w:autoSpaceDE/>
      <w:autoSpaceDN/>
      <w:adjustRightInd/>
      <w:snapToGrid/>
      <w:spacing w:before="100" w:beforeAutospacing="1" w:after="100" w:afterAutospacing="1" w:line="240" w:lineRule="auto"/>
      <w:ind w:firstLine="0" w:firstLineChars="0"/>
      <w:jc w:val="left"/>
    </w:pPr>
    <w:rPr>
      <w:rFonts w:ascii="宋体" w:hAnsi="宋体" w:eastAsia="宋体" w:cs="宋体"/>
      <w:sz w:val="24"/>
      <w:szCs w:val="24"/>
      <w:lang w:val="en-US" w:bidi="ar-SA"/>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Hyperlink"/>
    <w:basedOn w:val="21"/>
    <w:unhideWhenUsed/>
    <w:qFormat/>
    <w:uiPriority w:val="99"/>
    <w:rPr>
      <w:color w:val="0563C1" w:themeColor="hyperlink"/>
      <w:u w:val="single"/>
      <w14:textFill>
        <w14:solidFill>
          <w14:schemeClr w14:val="hlink"/>
        </w14:solidFill>
      </w14:textFill>
    </w:rPr>
  </w:style>
  <w:style w:type="character" w:styleId="23">
    <w:name w:val="annotation reference"/>
    <w:basedOn w:val="21"/>
    <w:qFormat/>
    <w:uiPriority w:val="0"/>
    <w:rPr>
      <w:sz w:val="21"/>
      <w:szCs w:val="21"/>
    </w:rPr>
  </w:style>
  <w:style w:type="character" w:customStyle="1" w:styleId="24">
    <w:name w:val="font11"/>
    <w:basedOn w:val="21"/>
    <w:qFormat/>
    <w:uiPriority w:val="0"/>
    <w:rPr>
      <w:rFonts w:hint="eastAsia" w:ascii="仿宋" w:hAnsi="仿宋" w:eastAsia="仿宋" w:cs="仿宋"/>
      <w:color w:val="000000"/>
      <w:sz w:val="24"/>
      <w:szCs w:val="24"/>
      <w:u w:val="none"/>
    </w:rPr>
  </w:style>
  <w:style w:type="character" w:customStyle="1" w:styleId="25">
    <w:name w:val="font31"/>
    <w:basedOn w:val="21"/>
    <w:qFormat/>
    <w:uiPriority w:val="0"/>
    <w:rPr>
      <w:rFonts w:hint="default" w:ascii="Times New Roman" w:hAnsi="Times New Roman" w:cs="Times New Roman"/>
      <w:color w:val="000000"/>
      <w:sz w:val="24"/>
      <w:szCs w:val="24"/>
      <w:u w:val="none"/>
    </w:rPr>
  </w:style>
  <w:style w:type="character" w:customStyle="1" w:styleId="26">
    <w:name w:val="文档结构图 Char"/>
    <w:basedOn w:val="21"/>
    <w:link w:val="7"/>
    <w:qFormat/>
    <w:uiPriority w:val="0"/>
    <w:rPr>
      <w:rFonts w:ascii="宋体" w:cs="仿宋"/>
      <w:sz w:val="18"/>
      <w:szCs w:val="18"/>
      <w:lang w:val="zh-CN" w:bidi="zh-CN"/>
    </w:rPr>
  </w:style>
  <w:style w:type="character" w:customStyle="1" w:styleId="27">
    <w:name w:val="批注框文本 Char"/>
    <w:basedOn w:val="21"/>
    <w:link w:val="12"/>
    <w:qFormat/>
    <w:uiPriority w:val="0"/>
    <w:rPr>
      <w:rFonts w:eastAsia="仿宋" w:cs="仿宋"/>
      <w:sz w:val="18"/>
      <w:szCs w:val="18"/>
      <w:lang w:val="zh-CN" w:bidi="zh-CN"/>
    </w:rPr>
  </w:style>
  <w:style w:type="character" w:customStyle="1" w:styleId="28">
    <w:name w:val="bjh-p"/>
    <w:basedOn w:val="21"/>
    <w:qFormat/>
    <w:uiPriority w:val="0"/>
  </w:style>
  <w:style w:type="character" w:customStyle="1" w:styleId="29">
    <w:name w:val="页脚 Char"/>
    <w:basedOn w:val="21"/>
    <w:link w:val="13"/>
    <w:qFormat/>
    <w:uiPriority w:val="99"/>
    <w:rPr>
      <w:rFonts w:eastAsia="仿宋" w:cs="仿宋"/>
      <w:sz w:val="18"/>
      <w:szCs w:val="22"/>
      <w:lang w:val="zh-CN" w:bidi="zh-CN"/>
    </w:rPr>
  </w:style>
  <w:style w:type="character" w:customStyle="1" w:styleId="30">
    <w:name w:val="font51"/>
    <w:basedOn w:val="21"/>
    <w:qFormat/>
    <w:uiPriority w:val="0"/>
    <w:rPr>
      <w:rFonts w:ascii="仿宋" w:hAnsi="仿宋" w:eastAsia="仿宋" w:cs="仿宋"/>
      <w:b/>
      <w:color w:val="000000"/>
      <w:sz w:val="24"/>
      <w:szCs w:val="24"/>
      <w:u w:val="none"/>
    </w:rPr>
  </w:style>
  <w:style w:type="character" w:customStyle="1" w:styleId="31">
    <w:name w:val="font01"/>
    <w:basedOn w:val="2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42</Pages>
  <Words>5375</Words>
  <Characters>5655</Characters>
  <Lines>211</Lines>
  <Paragraphs>59</Paragraphs>
  <TotalTime>37</TotalTime>
  <ScaleCrop>false</ScaleCrop>
  <LinksUpToDate>false</LinksUpToDate>
  <CharactersWithSpaces>5898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2021-10-20T18:51:00Z</dcterms:created>
  <dc:creator>WPS_1559532119</dc:creator>
  <cp:lastModifiedBy>快乐的七爷</cp:lastModifiedBy>
  <cp:lastPrinted>2021-10-20T10:08:00Z</cp:lastPrinted>
  <dcterms:modified xsi:type="dcterms:W3CDTF">2026-03-13T03:04:33Z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5C6440E7224D48648C19F081C225EF6D</vt:lpwstr>
  </property>
  <property fmtid="{D5CDD505-2E9C-101B-9397-08002B2CF9AE}" pid="4" name="KSOTemplateDocerSaveRecord">
    <vt:lpwstr>eyJoZGlkIjoiMmE2YTM5OWUzZWFhNzRkNDVmOWYyYzg1NDFhYTJiNWQiLCJ1c2VySWQiOiIyODQ4Mjg5ODkifQ==</vt:lpwstr>
  </property>
</Properties>
</file>