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E448F">
      <w:pPr>
        <w:adjustRightInd w:val="0"/>
        <w:snapToGrid w:val="0"/>
        <w:spacing w:line="360" w:lineRule="auto"/>
        <w:jc w:val="right"/>
        <w:rPr>
          <w:rFonts w:hint="eastAsia" w:ascii="仿宋" w:hAnsi="仿宋" w:eastAsia="仿宋" w:cs="仿宋"/>
          <w:color w:val="000000"/>
          <w:sz w:val="32"/>
          <w:szCs w:val="32"/>
          <w:lang w:eastAsia="zh-CN"/>
        </w:rPr>
      </w:pPr>
      <w:bookmarkStart w:id="0" w:name="OLE_LINK1"/>
    </w:p>
    <w:p w14:paraId="5E1C8B6E">
      <w:pPr>
        <w:adjustRightInd w:val="0"/>
        <w:snapToGrid w:val="0"/>
        <w:spacing w:line="360" w:lineRule="auto"/>
        <w:jc w:val="right"/>
        <w:rPr>
          <w:rFonts w:hint="eastAsia" w:ascii="仿宋" w:hAnsi="仿宋" w:eastAsia="仿宋" w:cs="仿宋"/>
          <w:color w:val="000000"/>
          <w:sz w:val="32"/>
          <w:szCs w:val="32"/>
        </w:rPr>
      </w:pPr>
    </w:p>
    <w:p w14:paraId="0BF57850">
      <w:pPr>
        <w:pStyle w:val="10"/>
        <w:rPr>
          <w:rFonts w:hint="eastAsia"/>
        </w:rPr>
      </w:pPr>
    </w:p>
    <w:p w14:paraId="31345171">
      <w:pPr>
        <w:adjustRightInd w:val="0"/>
        <w:snapToGrid w:val="0"/>
        <w:spacing w:line="360" w:lineRule="auto"/>
        <w:jc w:val="right"/>
        <w:rPr>
          <w:rFonts w:hint="eastAsia" w:ascii="仿宋" w:hAnsi="仿宋" w:eastAsia="仿宋" w:cs="仿宋"/>
          <w:color w:val="000000"/>
          <w:sz w:val="32"/>
          <w:szCs w:val="32"/>
        </w:rPr>
      </w:pPr>
    </w:p>
    <w:p w14:paraId="63F05920">
      <w:pPr>
        <w:adjustRightInd w:val="0"/>
        <w:snapToGrid w:val="0"/>
        <w:spacing w:line="360" w:lineRule="auto"/>
        <w:jc w:val="right"/>
        <w:rPr>
          <w:rFonts w:ascii="仿宋" w:hAnsi="仿宋" w:eastAsia="仿宋" w:cs="仿宋"/>
          <w:color w:val="000000"/>
          <w:sz w:val="32"/>
          <w:szCs w:val="32"/>
          <w:shd w:val="clear" w:color="FFFFFF" w:fill="D9D9D9"/>
        </w:rPr>
      </w:pPr>
      <w:r>
        <w:rPr>
          <w:rFonts w:hint="eastAsia" w:ascii="仿宋" w:hAnsi="仿宋" w:eastAsia="仿宋" w:cs="仿宋"/>
          <w:color w:val="000000"/>
          <w:sz w:val="32"/>
          <w:szCs w:val="32"/>
          <w:shd w:val="clear" w:color="FFFFFF" w:fill="D9D9D9"/>
        </w:rPr>
        <w:t>本环建</w:t>
      </w:r>
      <w:r>
        <w:rPr>
          <w:rFonts w:hint="eastAsia" w:ascii="仿宋" w:hAnsi="仿宋" w:eastAsia="仿宋" w:cs="仿宋"/>
          <w:color w:val="000000"/>
          <w:sz w:val="32"/>
          <w:szCs w:val="32"/>
          <w:shd w:val="clear" w:color="FFFFFF" w:fill="D9D9D9"/>
          <w:lang w:eastAsia="zh-CN"/>
        </w:rPr>
        <w:t>表</w:t>
      </w:r>
      <w:r>
        <w:rPr>
          <w:rFonts w:hint="eastAsia" w:ascii="仿宋" w:hAnsi="仿宋" w:eastAsia="仿宋" w:cs="仿宋"/>
          <w:color w:val="000000"/>
          <w:sz w:val="32"/>
          <w:szCs w:val="32"/>
          <w:shd w:val="clear" w:color="FFFFFF" w:fill="D9D9D9"/>
        </w:rPr>
        <w:t>字</w:t>
      </w:r>
      <w:r>
        <w:rPr>
          <w:rFonts w:hint="eastAsia" w:ascii="仿宋" w:hAnsi="仿宋" w:eastAsia="仿宋" w:cs="仿宋"/>
          <w:sz w:val="32"/>
          <w:szCs w:val="32"/>
          <w:shd w:val="clear" w:color="FFFFFF" w:fill="D9D9D9"/>
        </w:rPr>
        <w:t>〔</w:t>
      </w:r>
      <w:r>
        <w:rPr>
          <w:rFonts w:hint="eastAsia" w:ascii="仿宋" w:hAnsi="仿宋" w:eastAsia="仿宋"/>
          <w:sz w:val="32"/>
          <w:szCs w:val="32"/>
          <w:shd w:val="clear" w:color="FFFFFF" w:fill="D9D9D9"/>
        </w:rPr>
        <w:t>20</w:t>
      </w:r>
      <w:r>
        <w:rPr>
          <w:rFonts w:hint="eastAsia" w:ascii="仿宋" w:hAnsi="仿宋" w:eastAsia="仿宋"/>
          <w:sz w:val="32"/>
          <w:szCs w:val="32"/>
          <w:shd w:val="clear" w:color="FFFFFF" w:fill="D9D9D9"/>
          <w:lang w:val="en-US" w:eastAsia="zh-CN"/>
        </w:rPr>
        <w:t>20</w:t>
      </w:r>
      <w:r>
        <w:rPr>
          <w:rFonts w:hint="eastAsia" w:ascii="仿宋" w:hAnsi="仿宋" w:eastAsia="仿宋" w:cs="仿宋"/>
          <w:sz w:val="32"/>
          <w:szCs w:val="32"/>
          <w:shd w:val="clear" w:color="FFFFFF" w:fill="D9D9D9"/>
        </w:rPr>
        <w:t>〕</w:t>
      </w:r>
      <w:r>
        <w:rPr>
          <w:rFonts w:hint="eastAsia" w:ascii="仿宋" w:hAnsi="仿宋" w:eastAsia="仿宋"/>
          <w:color w:val="auto"/>
          <w:sz w:val="32"/>
          <w:szCs w:val="32"/>
          <w:highlight w:val="none"/>
          <w:shd w:val="clear" w:color="FFFFFF" w:fill="D9D9D9"/>
          <w:lang w:val="en-US" w:eastAsia="zh-CN"/>
        </w:rPr>
        <w:t xml:space="preserve"> </w:t>
      </w:r>
      <w:r>
        <w:rPr>
          <w:rFonts w:hint="eastAsia" w:ascii="仿宋" w:hAnsi="仿宋" w:eastAsia="仿宋"/>
          <w:color w:val="auto"/>
          <w:sz w:val="32"/>
          <w:szCs w:val="32"/>
          <w:highlight w:val="none"/>
          <w:shd w:val="clear" w:color="FFFFFF" w:fill="D9D9D9"/>
        </w:rPr>
        <w:t>号</w:t>
      </w:r>
    </w:p>
    <w:p w14:paraId="698F6816">
      <w:pPr>
        <w:spacing w:line="360" w:lineRule="auto"/>
        <w:jc w:val="center"/>
        <w:rPr>
          <w:rFonts w:hint="eastAsia" w:ascii="宋体" w:hAnsi="宋体"/>
          <w:b/>
          <w:sz w:val="44"/>
          <w:szCs w:val="44"/>
        </w:rPr>
      </w:pPr>
      <w:r>
        <w:rPr>
          <w:rFonts w:hint="eastAsia" w:ascii="宋体" w:hAnsi="宋体"/>
          <w:b/>
          <w:sz w:val="44"/>
          <w:szCs w:val="44"/>
        </w:rPr>
        <w:t>关于《北营</w:t>
      </w:r>
      <w:r>
        <w:rPr>
          <w:rFonts w:hint="eastAsia" w:ascii="宋体" w:hAnsi="宋体"/>
          <w:b/>
          <w:sz w:val="44"/>
          <w:szCs w:val="44"/>
          <w:lang w:eastAsia="zh-CN"/>
        </w:rPr>
        <w:t>炼铁厂</w:t>
      </w:r>
      <w:r>
        <w:rPr>
          <w:rFonts w:hint="eastAsia" w:ascii="宋体" w:hAnsi="宋体"/>
          <w:b/>
          <w:sz w:val="44"/>
          <w:szCs w:val="44"/>
        </w:rPr>
        <w:t>生灰破碎还建工程</w:t>
      </w:r>
    </w:p>
    <w:p w14:paraId="29C83FA5">
      <w:pPr>
        <w:spacing w:line="360" w:lineRule="auto"/>
        <w:jc w:val="center"/>
        <w:rPr>
          <w:rFonts w:hint="eastAsia" w:ascii="宋体" w:hAnsi="宋体" w:eastAsia="宋体"/>
          <w:b/>
          <w:sz w:val="44"/>
          <w:szCs w:val="44"/>
          <w:lang w:eastAsia="zh-CN"/>
        </w:rPr>
      </w:pPr>
      <w:r>
        <w:rPr>
          <w:rFonts w:hint="eastAsia" w:ascii="宋体" w:hAnsi="宋体"/>
          <w:b/>
          <w:sz w:val="44"/>
          <w:szCs w:val="44"/>
        </w:rPr>
        <w:t>环境影响报告</w:t>
      </w:r>
      <w:r>
        <w:rPr>
          <w:rFonts w:hint="eastAsia" w:ascii="宋体" w:hAnsi="宋体"/>
          <w:b/>
          <w:sz w:val="44"/>
          <w:szCs w:val="44"/>
          <w:lang w:eastAsia="zh-CN"/>
        </w:rPr>
        <w:t>表</w:t>
      </w:r>
      <w:r>
        <w:rPr>
          <w:rFonts w:hint="eastAsia" w:ascii="宋体" w:hAnsi="宋体"/>
          <w:b/>
          <w:sz w:val="44"/>
          <w:szCs w:val="44"/>
        </w:rPr>
        <w:t>》</w:t>
      </w:r>
      <w:r>
        <w:rPr>
          <w:rFonts w:hint="eastAsia" w:ascii="宋体" w:hAnsi="宋体"/>
          <w:b/>
          <w:sz w:val="44"/>
          <w:szCs w:val="44"/>
          <w:lang w:eastAsia="zh-CN"/>
        </w:rPr>
        <w:t>的批复</w:t>
      </w:r>
    </w:p>
    <w:bookmarkEnd w:id="0"/>
    <w:p w14:paraId="1C059A1B">
      <w:pPr>
        <w:tabs>
          <w:tab w:val="left" w:pos="4425"/>
        </w:tabs>
        <w:adjustRightInd w:val="0"/>
        <w:snapToGrid w:val="0"/>
        <w:spacing w:line="360" w:lineRule="auto"/>
        <w:ind w:left="0" w:leftChars="0" w:firstLine="0" w:firstLineChars="0"/>
        <w:jc w:val="center"/>
        <w:rPr>
          <w:rFonts w:hint="eastAsia" w:ascii="仿宋_GB2312" w:hAnsi="仿宋" w:eastAsia="仿宋_GB2312" w:cs="仿宋"/>
          <w:sz w:val="32"/>
          <w:szCs w:val="32"/>
          <w:lang w:eastAsia="zh-CN"/>
        </w:rPr>
      </w:pPr>
      <w:r>
        <w:rPr>
          <w:rFonts w:hint="eastAsia" w:ascii="仿宋_GB2312" w:hAnsi="仿宋" w:eastAsia="仿宋_GB2312" w:cs="仿宋"/>
          <w:sz w:val="32"/>
          <w:szCs w:val="32"/>
          <w:lang w:eastAsia="zh-CN"/>
        </w:rPr>
        <w:t>（征求意见稿）</w:t>
      </w:r>
    </w:p>
    <w:p w14:paraId="381291FD">
      <w:pPr>
        <w:rPr>
          <w:rFonts w:hint="eastAsia" w:ascii="仿宋_GB2312" w:hAnsi="仿宋" w:eastAsia="仿宋_GB2312" w:cs="仿宋"/>
          <w:sz w:val="32"/>
          <w:szCs w:val="32"/>
        </w:rPr>
      </w:pPr>
    </w:p>
    <w:p w14:paraId="23DE3DE4">
      <w:pPr>
        <w:rPr>
          <w:rFonts w:eastAsia="仿宋_GB2312"/>
          <w:sz w:val="32"/>
          <w:szCs w:val="32"/>
        </w:rPr>
      </w:pPr>
      <w:r>
        <w:rPr>
          <w:rFonts w:hint="eastAsia" w:ascii="仿宋_GB2312" w:hAnsi="仿宋" w:eastAsia="仿宋_GB2312" w:cs="仿宋"/>
          <w:sz w:val="32"/>
          <w:szCs w:val="32"/>
        </w:rPr>
        <w:t>本溪</w:t>
      </w:r>
      <w:r>
        <w:rPr>
          <w:rFonts w:hint="eastAsia" w:ascii="仿宋_GB2312" w:hAnsi="仿宋" w:eastAsia="仿宋_GB2312" w:cs="仿宋"/>
          <w:sz w:val="32"/>
          <w:szCs w:val="32"/>
          <w:lang w:eastAsia="zh-CN"/>
        </w:rPr>
        <w:t>北方铁业有限</w:t>
      </w:r>
      <w:r>
        <w:rPr>
          <w:rFonts w:hint="eastAsia" w:ascii="仿宋_GB2312" w:hAnsi="仿宋" w:eastAsia="仿宋_GB2312" w:cs="仿宋"/>
          <w:sz w:val="32"/>
          <w:szCs w:val="32"/>
        </w:rPr>
        <w:t>公司</w:t>
      </w:r>
      <w:r>
        <w:rPr>
          <w:rFonts w:eastAsia="仿宋_GB2312"/>
          <w:sz w:val="32"/>
          <w:szCs w:val="32"/>
        </w:rPr>
        <w:t>：</w:t>
      </w:r>
    </w:p>
    <w:p w14:paraId="593F24C0">
      <w:pPr>
        <w:tabs>
          <w:tab w:val="left" w:pos="4425"/>
        </w:tabs>
        <w:adjustRightInd w:val="0"/>
        <w:snapToGrid w:val="0"/>
        <w:spacing w:line="360" w:lineRule="auto"/>
        <w:ind w:firstLine="640" w:firstLineChars="200"/>
      </w:pPr>
      <w:r>
        <w:rPr>
          <w:rFonts w:hint="eastAsia" w:ascii="仿宋" w:hAnsi="仿宋" w:eastAsia="仿宋" w:cs="仿宋"/>
          <w:sz w:val="32"/>
          <w:szCs w:val="32"/>
        </w:rPr>
        <w:t>你单位报送的</w:t>
      </w:r>
      <w:r>
        <w:rPr>
          <w:rFonts w:hint="eastAsia" w:ascii="仿宋_GB2312" w:hAnsi="仿宋" w:eastAsia="仿宋_GB2312" w:cs="仿宋"/>
          <w:sz w:val="32"/>
          <w:szCs w:val="32"/>
        </w:rPr>
        <w:t>《北营</w:t>
      </w:r>
      <w:r>
        <w:rPr>
          <w:rFonts w:hint="eastAsia" w:ascii="仿宋_GB2312" w:hAnsi="仿宋" w:eastAsia="仿宋_GB2312" w:cs="仿宋"/>
          <w:sz w:val="32"/>
          <w:szCs w:val="32"/>
          <w:lang w:eastAsia="zh-CN"/>
        </w:rPr>
        <w:t>炼铁厂</w:t>
      </w:r>
      <w:r>
        <w:rPr>
          <w:rFonts w:hint="eastAsia" w:ascii="仿宋_GB2312" w:hAnsi="仿宋" w:eastAsia="仿宋_GB2312" w:cs="仿宋"/>
          <w:sz w:val="32"/>
          <w:szCs w:val="32"/>
        </w:rPr>
        <w:t>生灰破碎还建工程环境影响报告</w:t>
      </w:r>
      <w:r>
        <w:rPr>
          <w:rFonts w:hint="eastAsia" w:ascii="仿宋_GB2312" w:hAnsi="仿宋" w:eastAsia="仿宋_GB2312" w:cs="仿宋"/>
          <w:sz w:val="32"/>
          <w:szCs w:val="32"/>
          <w:lang w:eastAsia="zh-CN"/>
        </w:rPr>
        <w:t>表</w:t>
      </w:r>
      <w:r>
        <w:rPr>
          <w:rFonts w:hint="eastAsia" w:ascii="仿宋_GB2312" w:hAnsi="仿宋" w:eastAsia="仿宋_GB2312" w:cs="仿宋"/>
          <w:sz w:val="32"/>
          <w:szCs w:val="32"/>
        </w:rPr>
        <w:t>》</w:t>
      </w:r>
      <w:r>
        <w:rPr>
          <w:rFonts w:hint="eastAsia" w:ascii="仿宋" w:hAnsi="仿宋" w:eastAsia="仿宋" w:cs="仿宋"/>
          <w:sz w:val="32"/>
          <w:szCs w:val="32"/>
        </w:rPr>
        <w:t>（以下简称</w:t>
      </w:r>
      <w:r>
        <w:rPr>
          <w:rFonts w:hint="eastAsia" w:ascii="仿宋" w:hAnsi="仿宋" w:eastAsia="仿宋" w:cs="仿宋"/>
          <w:sz w:val="32"/>
          <w:szCs w:val="32"/>
          <w:lang w:eastAsia="zh-CN"/>
        </w:rPr>
        <w:t>《</w:t>
      </w:r>
      <w:r>
        <w:rPr>
          <w:rFonts w:hint="eastAsia" w:ascii="仿宋" w:hAnsi="仿宋" w:eastAsia="仿宋" w:cs="仿宋"/>
          <w:sz w:val="32"/>
          <w:szCs w:val="32"/>
        </w:rPr>
        <w:t>报告</w:t>
      </w:r>
      <w:r>
        <w:rPr>
          <w:rFonts w:hint="eastAsia" w:ascii="仿宋" w:hAnsi="仿宋" w:eastAsia="仿宋" w:cs="仿宋"/>
          <w:sz w:val="32"/>
          <w:szCs w:val="32"/>
          <w:lang w:eastAsia="zh-CN"/>
        </w:rPr>
        <w:t>表》</w:t>
      </w:r>
      <w:r>
        <w:rPr>
          <w:rFonts w:hint="eastAsia" w:ascii="仿宋" w:hAnsi="仿宋" w:eastAsia="仿宋" w:cs="仿宋"/>
          <w:sz w:val="32"/>
          <w:szCs w:val="32"/>
        </w:rPr>
        <w:t>）收悉。根据</w:t>
      </w:r>
      <w:r>
        <w:rPr>
          <w:rFonts w:hint="eastAsia" w:ascii="仿宋" w:hAnsi="仿宋" w:eastAsia="仿宋" w:cs="仿宋"/>
          <w:sz w:val="32"/>
          <w:szCs w:val="32"/>
          <w:lang w:eastAsia="zh-CN"/>
        </w:rPr>
        <w:t>《</w:t>
      </w:r>
      <w:r>
        <w:rPr>
          <w:rFonts w:hint="eastAsia" w:ascii="仿宋" w:hAnsi="仿宋" w:eastAsia="仿宋" w:cs="仿宋"/>
          <w:sz w:val="32"/>
          <w:szCs w:val="32"/>
        </w:rPr>
        <w:t>报告</w:t>
      </w:r>
      <w:r>
        <w:rPr>
          <w:rFonts w:hint="eastAsia" w:ascii="仿宋" w:hAnsi="仿宋" w:eastAsia="仿宋" w:cs="仿宋"/>
          <w:sz w:val="32"/>
          <w:szCs w:val="32"/>
          <w:lang w:eastAsia="zh-CN"/>
        </w:rPr>
        <w:t>表》</w:t>
      </w:r>
      <w:r>
        <w:rPr>
          <w:rFonts w:hint="eastAsia" w:ascii="仿宋" w:hAnsi="仿宋" w:eastAsia="仿宋" w:cs="仿宋"/>
          <w:sz w:val="32"/>
          <w:szCs w:val="32"/>
        </w:rPr>
        <w:t>结论及</w:t>
      </w:r>
      <w:r>
        <w:rPr>
          <w:rFonts w:hint="eastAsia" w:ascii="仿宋" w:hAnsi="仿宋" w:eastAsia="仿宋" w:cs="仿宋"/>
          <w:sz w:val="32"/>
          <w:szCs w:val="32"/>
          <w:lang w:eastAsia="zh-CN"/>
        </w:rPr>
        <w:t>专家评审</w:t>
      </w:r>
      <w:r>
        <w:rPr>
          <w:rFonts w:hint="eastAsia" w:ascii="仿宋" w:hAnsi="仿宋" w:eastAsia="仿宋" w:cs="仿宋"/>
          <w:sz w:val="32"/>
          <w:szCs w:val="32"/>
        </w:rPr>
        <w:t>意见，经我局研究，现批复如下：</w:t>
      </w:r>
    </w:p>
    <w:p w14:paraId="2C55A930">
      <w:pPr>
        <w:spacing w:line="360" w:lineRule="auto"/>
        <w:ind w:firstLine="640" w:firstLineChars="200"/>
        <w:rPr>
          <w:rFonts w:hint="eastAsia" w:ascii="黑体" w:eastAsia="黑体"/>
          <w:sz w:val="32"/>
          <w:szCs w:val="32"/>
        </w:rPr>
      </w:pPr>
      <w:r>
        <w:rPr>
          <w:rFonts w:hint="eastAsia" w:ascii="黑体" w:eastAsia="黑体"/>
          <w:sz w:val="32"/>
          <w:szCs w:val="32"/>
        </w:rPr>
        <w:t>一、项目概况</w:t>
      </w:r>
    </w:p>
    <w:p w14:paraId="70BC353C">
      <w:pPr>
        <w:spacing w:line="360" w:lineRule="auto"/>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本项目位于北营炼</w:t>
      </w:r>
      <w:r>
        <w:rPr>
          <w:rFonts w:hint="eastAsia" w:ascii="仿宋_GB2312" w:hAnsi="仿宋" w:eastAsia="仿宋_GB2312" w:cs="仿宋"/>
          <w:sz w:val="32"/>
          <w:szCs w:val="32"/>
          <w:lang w:eastAsia="zh-CN"/>
        </w:rPr>
        <w:t>钢</w:t>
      </w:r>
      <w:r>
        <w:rPr>
          <w:rFonts w:hint="eastAsia" w:ascii="仿宋_GB2312" w:hAnsi="仿宋" w:eastAsia="仿宋_GB2312" w:cs="仿宋"/>
          <w:sz w:val="32"/>
          <w:szCs w:val="32"/>
        </w:rPr>
        <w:t>厂 4#、5#弗卡斯窑区域，投资</w:t>
      </w:r>
      <w:r>
        <w:rPr>
          <w:rFonts w:hint="eastAsia" w:ascii="仿宋_GB2312" w:hAnsi="仿宋" w:eastAsia="仿宋_GB2312" w:cs="仿宋"/>
          <w:sz w:val="32"/>
          <w:szCs w:val="32"/>
          <w:lang w:val="en-US" w:eastAsia="zh-CN"/>
        </w:rPr>
        <w:t>1500</w:t>
      </w:r>
      <w:r>
        <w:rPr>
          <w:rFonts w:hint="eastAsia" w:ascii="仿宋_GB2312" w:hAnsi="仿宋" w:eastAsia="仿宋_GB2312" w:cs="仿宋"/>
          <w:sz w:val="32"/>
          <w:szCs w:val="32"/>
        </w:rPr>
        <w:t>万元</w:t>
      </w:r>
      <w:r>
        <w:rPr>
          <w:rFonts w:hint="eastAsia" w:ascii="仿宋_GB2312" w:hAnsi="仿宋" w:eastAsia="仿宋_GB2312" w:cs="仿宋"/>
          <w:sz w:val="32"/>
          <w:szCs w:val="32"/>
          <w:lang w:eastAsia="zh-CN"/>
        </w:rPr>
        <w:t>，拆除原铁业公司生灰破碎区域的厂房及设施，并在炼钢厂现有</w:t>
      </w:r>
      <w:r>
        <w:rPr>
          <w:rFonts w:hint="eastAsia" w:ascii="仿宋_GB2312" w:hAnsi="仿宋" w:eastAsia="仿宋_GB2312" w:cs="仿宋"/>
          <w:sz w:val="32"/>
          <w:szCs w:val="32"/>
        </w:rPr>
        <w:t>4#、5#弗卡斯窑区域</w:t>
      </w:r>
      <w:r>
        <w:rPr>
          <w:rFonts w:hint="eastAsia" w:ascii="仿宋_GB2312" w:hAnsi="仿宋" w:eastAsia="仿宋_GB2312" w:cs="仿宋"/>
          <w:sz w:val="32"/>
          <w:szCs w:val="32"/>
          <w:lang w:eastAsia="zh-CN"/>
        </w:rPr>
        <w:t>建设一套日产450吨生灰破碎生产系统。生灰破碎工艺主要由原料系统、破碎系统、成品储运系统及除尘系统等组成。项目</w:t>
      </w:r>
      <w:r>
        <w:rPr>
          <w:rFonts w:hint="eastAsia" w:ascii="仿宋_GB2312" w:hAnsi="仿宋" w:eastAsia="仿宋_GB2312" w:cs="仿宋"/>
          <w:sz w:val="32"/>
          <w:szCs w:val="32"/>
        </w:rPr>
        <w:t>占地面积</w:t>
      </w:r>
      <w:r>
        <w:rPr>
          <w:rFonts w:hint="eastAsia" w:ascii="仿宋_GB2312" w:hAnsi="仿宋" w:eastAsia="仿宋_GB2312" w:cs="仿宋"/>
          <w:sz w:val="32"/>
          <w:szCs w:val="32"/>
          <w:lang w:val="en-US" w:eastAsia="zh-CN"/>
        </w:rPr>
        <w:t>849.96m</w:t>
      </w:r>
      <w:r>
        <w:rPr>
          <w:rFonts w:hint="eastAsia" w:ascii="仿宋_GB2312" w:hAnsi="仿宋" w:eastAsia="仿宋_GB2312" w:cs="仿宋"/>
          <w:sz w:val="32"/>
          <w:szCs w:val="32"/>
          <w:vertAlign w:val="superscript"/>
          <w:lang w:val="en-US" w:eastAsia="zh-CN"/>
        </w:rPr>
        <w:t>2</w:t>
      </w:r>
      <w:r>
        <w:rPr>
          <w:rFonts w:hint="eastAsia" w:ascii="仿宋_GB2312" w:hAnsi="仿宋" w:eastAsia="仿宋_GB2312" w:cs="仿宋"/>
          <w:sz w:val="32"/>
          <w:szCs w:val="32"/>
        </w:rPr>
        <w:t>。环保投资152万元</w:t>
      </w:r>
      <w:r>
        <w:rPr>
          <w:rFonts w:hint="eastAsia" w:ascii="仿宋_GB2312" w:hAnsi="仿宋" w:eastAsia="仿宋_GB2312" w:cs="仿宋"/>
          <w:sz w:val="32"/>
          <w:szCs w:val="32"/>
          <w:lang w:eastAsia="zh-CN"/>
        </w:rPr>
        <w:t>，占总投资额的</w:t>
      </w:r>
      <w:r>
        <w:rPr>
          <w:rFonts w:hint="eastAsia" w:ascii="仿宋_GB2312" w:hAnsi="仿宋" w:eastAsia="仿宋_GB2312" w:cs="仿宋"/>
          <w:sz w:val="32"/>
          <w:szCs w:val="32"/>
          <w:lang w:val="en-US" w:eastAsia="zh-CN"/>
        </w:rPr>
        <w:t>10.13%</w:t>
      </w:r>
      <w:r>
        <w:rPr>
          <w:rFonts w:hint="eastAsia" w:ascii="仿宋_GB2312" w:hAnsi="仿宋" w:eastAsia="仿宋_GB2312" w:cs="仿宋"/>
          <w:sz w:val="32"/>
          <w:szCs w:val="32"/>
          <w:lang w:eastAsia="zh-CN"/>
        </w:rPr>
        <w:t>。</w:t>
      </w:r>
    </w:p>
    <w:p w14:paraId="72FBEFBA">
      <w:pPr>
        <w:spacing w:line="360" w:lineRule="auto"/>
        <w:ind w:firstLine="640" w:firstLineChars="200"/>
        <w:rPr>
          <w:rFonts w:ascii="仿宋_GB2312" w:hAnsi="仿宋" w:eastAsia="仿宋_GB2312" w:cs="仿宋"/>
          <w:sz w:val="32"/>
          <w:szCs w:val="32"/>
        </w:rPr>
      </w:pPr>
      <w:r>
        <w:rPr>
          <w:rFonts w:ascii="仿宋_GB2312" w:hAnsi="仿宋" w:eastAsia="仿宋_GB2312" w:cs="仿宋"/>
          <w:sz w:val="32"/>
          <w:szCs w:val="32"/>
        </w:rPr>
        <w:t>根据</w:t>
      </w:r>
      <w:r>
        <w:rPr>
          <w:rFonts w:hint="eastAsia" w:ascii="仿宋_GB2312" w:hAnsi="仿宋" w:eastAsia="仿宋_GB2312" w:cs="仿宋"/>
          <w:sz w:val="32"/>
          <w:szCs w:val="32"/>
        </w:rPr>
        <w:t>《产业结构调整指导目录（2019年本）》</w:t>
      </w:r>
      <w:r>
        <w:rPr>
          <w:rFonts w:ascii="仿宋_GB2312" w:hAnsi="仿宋" w:eastAsia="仿宋_GB2312" w:cs="仿宋"/>
          <w:sz w:val="32"/>
          <w:szCs w:val="32"/>
        </w:rPr>
        <w:t>本项目属于允许类</w:t>
      </w:r>
      <w:r>
        <w:rPr>
          <w:rFonts w:hint="eastAsia" w:ascii="仿宋_GB2312" w:hAnsi="仿宋" w:eastAsia="仿宋_GB2312" w:cs="仿宋"/>
          <w:sz w:val="32"/>
          <w:szCs w:val="32"/>
          <w:lang w:eastAsia="zh-CN"/>
        </w:rPr>
        <w:t>，</w:t>
      </w:r>
      <w:r>
        <w:rPr>
          <w:rFonts w:ascii="仿宋_GB2312" w:hAnsi="仿宋" w:eastAsia="仿宋_GB2312" w:cs="仿宋"/>
          <w:sz w:val="32"/>
          <w:szCs w:val="32"/>
        </w:rPr>
        <w:t>项目选址位于</w:t>
      </w:r>
      <w:r>
        <w:rPr>
          <w:rFonts w:hint="eastAsia" w:ascii="仿宋_GB2312" w:hAnsi="仿宋" w:eastAsia="仿宋_GB2312" w:cs="仿宋"/>
          <w:sz w:val="32"/>
          <w:szCs w:val="32"/>
          <w:lang w:eastAsia="zh-CN"/>
        </w:rPr>
        <w:t>北营公司工业</w:t>
      </w:r>
      <w:r>
        <w:rPr>
          <w:rFonts w:ascii="仿宋_GB2312" w:hAnsi="仿宋" w:eastAsia="仿宋_GB2312" w:cs="仿宋"/>
          <w:sz w:val="32"/>
          <w:szCs w:val="32"/>
        </w:rPr>
        <w:t>用地范围内，符合《本溪市土地利用总体规划（2006-2020年）》要求</w:t>
      </w:r>
      <w:r>
        <w:rPr>
          <w:rFonts w:hint="eastAsia" w:ascii="仿宋_GB2312" w:hAnsi="仿宋" w:eastAsia="仿宋_GB2312" w:cs="仿宋"/>
          <w:sz w:val="32"/>
          <w:szCs w:val="32"/>
        </w:rPr>
        <w:t>，符合</w:t>
      </w:r>
      <w:r>
        <w:rPr>
          <w:rFonts w:ascii="仿宋_GB2312" w:hAnsi="仿宋" w:eastAsia="仿宋_GB2312" w:cs="仿宋"/>
          <w:sz w:val="32"/>
          <w:szCs w:val="32"/>
        </w:rPr>
        <w:t>《本溪市城市总体规划（2007-2020年）》的相关规定。</w:t>
      </w:r>
    </w:p>
    <w:p w14:paraId="143E9769">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综上，我局原则同意你</w:t>
      </w:r>
      <w:r>
        <w:rPr>
          <w:rFonts w:hint="eastAsia" w:ascii="仿宋" w:hAnsi="仿宋" w:eastAsia="仿宋" w:cs="仿宋"/>
          <w:color w:val="000000"/>
          <w:sz w:val="32"/>
          <w:szCs w:val="32"/>
          <w:lang w:eastAsia="zh-CN"/>
        </w:rPr>
        <w:t>公司</w:t>
      </w:r>
      <w:r>
        <w:rPr>
          <w:rFonts w:hint="eastAsia" w:ascii="仿宋" w:hAnsi="仿宋" w:eastAsia="仿宋" w:cs="仿宋"/>
          <w:color w:val="000000"/>
          <w:sz w:val="32"/>
          <w:szCs w:val="32"/>
        </w:rPr>
        <w:t>按照</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报告</w:t>
      </w:r>
      <w:r>
        <w:rPr>
          <w:rFonts w:hint="eastAsia" w:ascii="仿宋" w:hAnsi="仿宋" w:eastAsia="仿宋" w:cs="仿宋"/>
          <w:color w:val="000000"/>
          <w:sz w:val="32"/>
          <w:szCs w:val="32"/>
          <w:lang w:eastAsia="zh-CN"/>
        </w:rPr>
        <w:t>表》</w:t>
      </w:r>
      <w:r>
        <w:rPr>
          <w:rFonts w:hint="eastAsia" w:ascii="仿宋" w:hAnsi="仿宋" w:eastAsia="仿宋" w:cs="仿宋"/>
          <w:color w:val="000000"/>
          <w:sz w:val="32"/>
          <w:szCs w:val="32"/>
        </w:rPr>
        <w:t>中所列建设项目的</w:t>
      </w:r>
      <w:r>
        <w:rPr>
          <w:rFonts w:hint="eastAsia" w:ascii="仿宋" w:hAnsi="仿宋" w:eastAsia="仿宋" w:cs="仿宋"/>
          <w:color w:val="000000"/>
          <w:sz w:val="32"/>
          <w:szCs w:val="32"/>
          <w:lang w:eastAsia="zh-CN"/>
        </w:rPr>
        <w:t>地点、</w:t>
      </w:r>
      <w:r>
        <w:rPr>
          <w:rFonts w:hint="eastAsia" w:ascii="仿宋" w:hAnsi="仿宋" w:eastAsia="仿宋" w:cs="仿宋"/>
          <w:color w:val="000000"/>
          <w:sz w:val="32"/>
          <w:szCs w:val="32"/>
        </w:rPr>
        <w:t>规模、</w:t>
      </w:r>
      <w:r>
        <w:rPr>
          <w:rFonts w:hint="eastAsia" w:ascii="仿宋" w:hAnsi="仿宋" w:eastAsia="仿宋" w:cs="仿宋"/>
          <w:color w:val="000000"/>
          <w:sz w:val="32"/>
          <w:szCs w:val="32"/>
          <w:lang w:eastAsia="zh-CN"/>
        </w:rPr>
        <w:t>生产工艺、</w:t>
      </w:r>
      <w:r>
        <w:rPr>
          <w:rFonts w:hint="eastAsia" w:ascii="仿宋" w:hAnsi="仿宋" w:eastAsia="仿宋" w:cs="仿宋"/>
          <w:color w:val="000000"/>
          <w:sz w:val="32"/>
          <w:szCs w:val="32"/>
        </w:rPr>
        <w:t>环境保护对策措施及下述要求进行项目建设。</w:t>
      </w:r>
    </w:p>
    <w:p w14:paraId="18AADA2A">
      <w:pPr>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二、项目设计、建设和环境管理过程中应重点做好以下几方面工作：</w:t>
      </w:r>
    </w:p>
    <w:p w14:paraId="6DBC97E1">
      <w:pPr>
        <w:numPr>
          <w:ilvl w:val="0"/>
          <w:numId w:val="0"/>
        </w:numPr>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（一）</w:t>
      </w:r>
      <w:r>
        <w:rPr>
          <w:rFonts w:hint="eastAsia" w:ascii="仿宋" w:hAnsi="仿宋" w:eastAsia="仿宋" w:cs="仿宋"/>
          <w:color w:val="000000"/>
          <w:sz w:val="32"/>
          <w:szCs w:val="32"/>
        </w:rPr>
        <w:t>加强施工期环境管理。有效控制施工扬尘，妥善处置施工弃土、弃渣等固体废物，</w:t>
      </w:r>
      <w:r>
        <w:rPr>
          <w:rFonts w:hint="eastAsia" w:ascii="仿宋" w:hAnsi="仿宋" w:eastAsia="仿宋" w:cs="仿宋"/>
          <w:color w:val="000000"/>
          <w:sz w:val="32"/>
          <w:szCs w:val="32"/>
          <w:lang w:eastAsia="zh-CN"/>
        </w:rPr>
        <w:t>拆除过程产生的废弃设备设施、建筑垃圾等要做好分类及回收。施工现场周围应设置标准围栏</w:t>
      </w:r>
      <w:bookmarkStart w:id="1" w:name="_GoBack"/>
      <w:bookmarkEnd w:id="1"/>
      <w:r>
        <w:rPr>
          <w:rFonts w:hint="eastAsia" w:ascii="仿宋" w:hAnsi="仿宋" w:eastAsia="仿宋" w:cs="仿宋"/>
          <w:color w:val="000000"/>
          <w:sz w:val="32"/>
          <w:szCs w:val="32"/>
          <w:lang w:eastAsia="zh-CN"/>
        </w:rPr>
        <w:t>，实行封闭或半封闭式施工。运输车辆应做好覆盖，</w:t>
      </w:r>
      <w:r>
        <w:rPr>
          <w:rFonts w:hint="eastAsia" w:ascii="仿宋" w:hAnsi="仿宋" w:eastAsia="仿宋" w:cs="仿宋"/>
          <w:color w:val="000000"/>
          <w:sz w:val="32"/>
          <w:szCs w:val="32"/>
        </w:rPr>
        <w:t>防止施工噪声、废水、扬尘、固废等污染周围环境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施工场界噪声满足《建筑施工场界环境噪声排放标准》（GB12523-2011）要求</w:t>
      </w:r>
      <w:r>
        <w:rPr>
          <w:rFonts w:hint="eastAsia" w:ascii="仿宋" w:hAnsi="仿宋" w:eastAsia="仿宋" w:cs="仿宋"/>
          <w:color w:val="000000"/>
          <w:sz w:val="32"/>
          <w:szCs w:val="32"/>
          <w:lang w:eastAsia="zh-CN"/>
        </w:rPr>
        <w:t>。</w:t>
      </w:r>
    </w:p>
    <w:p w14:paraId="0106EB2B">
      <w:pPr>
        <w:numPr>
          <w:ilvl w:val="0"/>
          <w:numId w:val="0"/>
        </w:numPr>
        <w:ind w:firstLine="640" w:firstLineChars="200"/>
        <w:rPr>
          <w:rFonts w:hint="eastAsia" w:ascii="仿宋_GB2312" w:hAnsi="仿宋" w:eastAsia="仿宋_GB2312" w:cs="仿宋"/>
          <w:sz w:val="32"/>
          <w:szCs w:val="32"/>
          <w:lang w:eastAsia="zh-CN"/>
        </w:rPr>
      </w:pPr>
      <w:r>
        <w:rPr>
          <w:rFonts w:hint="eastAsia" w:ascii="Times New Roman" w:hAnsi="Times New Roman" w:eastAsia="仿宋_GB2312" w:cs="Times New Roman"/>
          <w:color w:val="000000"/>
          <w:sz w:val="32"/>
          <w:szCs w:val="32"/>
          <w:lang w:eastAsia="zh-CN"/>
        </w:rPr>
        <w:t>（二）强化大气环境管控措施。矿槽卸料、转运站卸料、原料仓落料、石灰石破碎、破碎机出料、储矿仓落、产品装车、等环节产生的粉尘经袋式除尘器收集处理（</w:t>
      </w:r>
      <w:r>
        <w:rPr>
          <w:rFonts w:ascii="仿宋_GB2312" w:hAnsi="仿宋" w:eastAsia="仿宋_GB2312" w:cs="仿宋"/>
          <w:sz w:val="32"/>
          <w:szCs w:val="32"/>
        </w:rPr>
        <w:t>处理效率</w:t>
      </w:r>
      <w:r>
        <w:rPr>
          <w:rFonts w:hint="eastAsia" w:ascii="仿宋_GB2312" w:hAnsi="仿宋" w:eastAsia="仿宋_GB2312" w:cs="仿宋"/>
          <w:sz w:val="32"/>
          <w:szCs w:val="32"/>
        </w:rPr>
        <w:t>9</w:t>
      </w:r>
      <w:r>
        <w:rPr>
          <w:rFonts w:hint="eastAsia" w:ascii="仿宋_GB2312" w:hAnsi="仿宋" w:eastAsia="仿宋_GB2312" w:cs="仿宋"/>
          <w:sz w:val="32"/>
          <w:szCs w:val="32"/>
          <w:lang w:val="en-US" w:eastAsia="zh-CN"/>
        </w:rPr>
        <w:t>9.7</w:t>
      </w:r>
      <w:r>
        <w:rPr>
          <w:rFonts w:ascii="仿宋_GB2312" w:hAnsi="仿宋" w:eastAsia="仿宋_GB2312" w:cs="仿宋"/>
          <w:sz w:val="32"/>
          <w:szCs w:val="32"/>
        </w:rPr>
        <w:t>%</w:t>
      </w:r>
      <w:r>
        <w:rPr>
          <w:rFonts w:hint="eastAsia" w:ascii="宋体" w:hAnsi="宋体" w:cs="宋体"/>
          <w:color w:val="000000"/>
          <w:kern w:val="0"/>
          <w:lang w:eastAsia="zh-CN" w:bidi="ar"/>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处理后的废气</w:t>
      </w:r>
      <w:r>
        <w:rPr>
          <w:rFonts w:hint="eastAsia" w:ascii="仿宋_GB2312" w:hAnsi="仿宋" w:eastAsia="仿宋_GB2312" w:cs="仿宋"/>
          <w:sz w:val="32"/>
          <w:szCs w:val="32"/>
          <w:lang w:eastAsia="zh-CN"/>
        </w:rPr>
        <w:t>经</w:t>
      </w:r>
      <w:r>
        <w:rPr>
          <w:rFonts w:hint="eastAsia" w:ascii="仿宋_GB2312" w:hAnsi="仿宋" w:eastAsia="仿宋_GB2312" w:cs="仿宋"/>
          <w:sz w:val="32"/>
          <w:szCs w:val="32"/>
        </w:rPr>
        <w:t>15</w:t>
      </w:r>
      <w:r>
        <w:rPr>
          <w:rFonts w:ascii="仿宋_GB2312" w:hAnsi="仿宋" w:eastAsia="仿宋_GB2312" w:cs="仿宋"/>
          <w:sz w:val="32"/>
          <w:szCs w:val="32"/>
        </w:rPr>
        <w:t>m</w:t>
      </w:r>
      <w:r>
        <w:rPr>
          <w:rFonts w:hint="eastAsia" w:ascii="仿宋_GB2312" w:hAnsi="仿宋" w:eastAsia="仿宋_GB2312" w:cs="仿宋"/>
          <w:sz w:val="32"/>
          <w:szCs w:val="32"/>
        </w:rPr>
        <w:t>高排气筒</w:t>
      </w:r>
      <w:r>
        <w:rPr>
          <w:rFonts w:hint="eastAsia" w:ascii="仿宋_GB2312" w:hAnsi="仿宋" w:eastAsia="仿宋_GB2312" w:cs="仿宋"/>
          <w:sz w:val="32"/>
          <w:szCs w:val="32"/>
          <w:lang w:eastAsia="zh-CN"/>
        </w:rPr>
        <w:t>排放。排放达到《关于推进实施钢铁行业超低排放的意见》（环大气【</w:t>
      </w:r>
      <w:r>
        <w:rPr>
          <w:rFonts w:hint="eastAsia" w:ascii="仿宋_GB2312" w:hAnsi="仿宋" w:eastAsia="仿宋_GB2312" w:cs="仿宋"/>
          <w:sz w:val="32"/>
          <w:szCs w:val="32"/>
          <w:lang w:val="en-US" w:eastAsia="zh-CN"/>
        </w:rPr>
        <w:t>2019</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35号</w:t>
      </w:r>
      <w:r>
        <w:rPr>
          <w:rFonts w:hint="eastAsia" w:ascii="仿宋_GB2312" w:hAnsi="仿宋" w:eastAsia="仿宋_GB2312" w:cs="仿宋"/>
          <w:sz w:val="32"/>
          <w:szCs w:val="32"/>
          <w:lang w:eastAsia="zh-CN"/>
        </w:rPr>
        <w:t>）附件</w:t>
      </w:r>
      <w:r>
        <w:rPr>
          <w:rFonts w:hint="eastAsia" w:ascii="仿宋_GB2312" w:hAnsi="仿宋" w:eastAsia="仿宋_GB2312" w:cs="仿宋"/>
          <w:sz w:val="32"/>
          <w:szCs w:val="32"/>
          <w:lang w:val="en-US" w:eastAsia="zh-CN"/>
        </w:rPr>
        <w:t>2“烧结（球团）”生产工序中“烧结机机尾其他生产设备”颗粒物</w:t>
      </w:r>
      <w:r>
        <w:rPr>
          <w:rFonts w:hint="eastAsia" w:ascii="仿宋_GB2312" w:hAnsi="仿宋" w:eastAsia="仿宋_GB2312" w:cs="仿宋"/>
          <w:sz w:val="32"/>
          <w:szCs w:val="32"/>
          <w:lang w:eastAsia="zh-CN"/>
        </w:rPr>
        <w:t>≤10mg/m</w:t>
      </w:r>
      <w:r>
        <w:rPr>
          <w:rFonts w:hint="eastAsia" w:ascii="仿宋_GB2312" w:hAnsi="仿宋" w:eastAsia="仿宋_GB2312" w:cs="仿宋"/>
          <w:sz w:val="32"/>
          <w:szCs w:val="32"/>
          <w:vertAlign w:val="superscript"/>
          <w:lang w:eastAsia="zh-CN"/>
        </w:rPr>
        <w:t>3</w:t>
      </w:r>
      <w:r>
        <w:rPr>
          <w:rFonts w:hint="eastAsia" w:ascii="仿宋_GB2312" w:hAnsi="仿宋" w:eastAsia="仿宋_GB2312" w:cs="仿宋"/>
          <w:sz w:val="32"/>
          <w:szCs w:val="32"/>
          <w:lang w:eastAsia="zh-CN"/>
        </w:rPr>
        <w:t>的标准要求。无组织粉尘采取破碎厂房和传送皮带封闭及厂房外四周洒水抑尘的措施，达到《钢铁烧结、球团工业大气污染物排放标准》（GB2866</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lang w:eastAsia="zh-CN"/>
        </w:rPr>
        <w:t>-2012）中表4中“有厂房生产车间”颗粒物≤</w:t>
      </w:r>
      <w:r>
        <w:rPr>
          <w:rFonts w:hint="eastAsia" w:ascii="仿宋_GB2312" w:hAnsi="仿宋" w:eastAsia="仿宋_GB2312" w:cs="仿宋"/>
          <w:sz w:val="32"/>
          <w:szCs w:val="32"/>
          <w:lang w:val="en-US" w:eastAsia="zh-CN"/>
        </w:rPr>
        <w:t>8</w:t>
      </w:r>
      <w:r>
        <w:rPr>
          <w:rFonts w:hint="eastAsia" w:ascii="仿宋_GB2312" w:hAnsi="仿宋" w:eastAsia="仿宋_GB2312" w:cs="仿宋"/>
          <w:sz w:val="32"/>
          <w:szCs w:val="32"/>
          <w:lang w:eastAsia="zh-CN"/>
        </w:rPr>
        <w:t>mg/m</w:t>
      </w:r>
      <w:r>
        <w:rPr>
          <w:rFonts w:hint="eastAsia" w:ascii="仿宋_GB2312" w:hAnsi="仿宋" w:eastAsia="仿宋_GB2312" w:cs="仿宋"/>
          <w:sz w:val="32"/>
          <w:szCs w:val="32"/>
          <w:vertAlign w:val="superscript"/>
          <w:lang w:eastAsia="zh-CN"/>
        </w:rPr>
        <w:t>3</w:t>
      </w:r>
      <w:r>
        <w:rPr>
          <w:rFonts w:hint="eastAsia" w:ascii="仿宋_GB2312" w:hAnsi="仿宋" w:eastAsia="仿宋_GB2312" w:cs="仿宋"/>
          <w:sz w:val="32"/>
          <w:szCs w:val="32"/>
          <w:vertAlign w:val="baseline"/>
          <w:lang w:eastAsia="zh-CN"/>
        </w:rPr>
        <w:t>的标准</w:t>
      </w:r>
      <w:r>
        <w:rPr>
          <w:rFonts w:hint="eastAsia" w:ascii="仿宋_GB2312" w:hAnsi="仿宋" w:eastAsia="仿宋_GB2312" w:cs="仿宋"/>
          <w:sz w:val="32"/>
          <w:szCs w:val="32"/>
          <w:lang w:eastAsia="zh-CN"/>
        </w:rPr>
        <w:t>要求。</w:t>
      </w:r>
    </w:p>
    <w:p w14:paraId="3D13DAD3">
      <w:pPr>
        <w:widowControl/>
        <w:ind w:firstLine="640" w:firstLineChars="200"/>
        <w:jc w:val="left"/>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eastAsia="zh-CN"/>
        </w:rPr>
        <w:t>（三）</w:t>
      </w:r>
      <w:r>
        <w:rPr>
          <w:rFonts w:hint="eastAsia" w:ascii="仿宋" w:hAnsi="仿宋" w:eastAsia="仿宋" w:cs="仿宋"/>
          <w:color w:val="000000"/>
          <w:sz w:val="32"/>
          <w:szCs w:val="32"/>
          <w:highlight w:val="none"/>
        </w:rPr>
        <w:t>本项目无生产废水产生，全厂不新增员工，无新增生活废水。</w:t>
      </w:r>
      <w:r>
        <w:rPr>
          <w:rFonts w:hint="eastAsia" w:ascii="仿宋" w:hAnsi="仿宋" w:eastAsia="仿宋" w:cs="仿宋"/>
          <w:color w:val="000000"/>
          <w:sz w:val="32"/>
          <w:szCs w:val="32"/>
          <w:highlight w:val="none"/>
          <w:lang w:eastAsia="zh-CN"/>
        </w:rPr>
        <w:t>生活废水排入北营污水处理站，不设生产废水排放口。</w:t>
      </w:r>
    </w:p>
    <w:p w14:paraId="21C3B6C5">
      <w:pPr>
        <w:pStyle w:val="10"/>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 w:hAnsi="仿宋" w:eastAsia="仿宋" w:cs="仿宋"/>
          <w:sz w:val="32"/>
          <w:szCs w:val="32"/>
        </w:rPr>
      </w:pPr>
      <w:r>
        <w:rPr>
          <w:rFonts w:hint="eastAsia" w:eastAsia="仿宋_GB2312"/>
          <w:color w:val="000000"/>
          <w:sz w:val="32"/>
          <w:szCs w:val="32"/>
          <w:lang w:val="zh-TW" w:eastAsia="zh-CN"/>
        </w:rPr>
        <w:t>（四）</w:t>
      </w:r>
      <w:r>
        <w:rPr>
          <w:rFonts w:hint="eastAsia"/>
          <w:color w:val="000000"/>
          <w:sz w:val="32"/>
          <w:szCs w:val="32"/>
          <w:lang w:val="zh-TW" w:eastAsia="zh-CN"/>
        </w:rPr>
        <w:t>加强噪声污染控制。生产</w:t>
      </w:r>
      <w:r>
        <w:rPr>
          <w:rFonts w:hint="eastAsia" w:eastAsia="仿宋_GB2312"/>
          <w:color w:val="000000"/>
          <w:sz w:val="32"/>
          <w:szCs w:val="32"/>
          <w:lang w:val="zh-TW"/>
        </w:rPr>
        <w:t>设备</w:t>
      </w:r>
      <w:r>
        <w:rPr>
          <w:rFonts w:hint="eastAsia" w:eastAsia="仿宋_GB2312"/>
          <w:color w:val="000000"/>
          <w:sz w:val="32"/>
          <w:szCs w:val="32"/>
          <w:lang w:val="zh-TW" w:eastAsia="zh-CN"/>
        </w:rPr>
        <w:t>应</w:t>
      </w:r>
      <w:r>
        <w:rPr>
          <w:rFonts w:hint="eastAsia" w:eastAsia="仿宋_GB2312"/>
          <w:color w:val="000000"/>
          <w:sz w:val="32"/>
          <w:szCs w:val="32"/>
          <w:lang w:val="zh-TW"/>
        </w:rPr>
        <w:t>选购节能、低耗、低噪先进设备，设备安装过程做好基础减振、消声等防护措施，厂房加强隔声防护。</w:t>
      </w:r>
      <w:r>
        <w:rPr>
          <w:rFonts w:hint="eastAsia" w:ascii="仿宋" w:hAnsi="仿宋" w:eastAsia="仿宋" w:cs="仿宋"/>
          <w:sz w:val="32"/>
          <w:szCs w:val="32"/>
        </w:rPr>
        <w:t>厂界噪声</w:t>
      </w:r>
      <w:r>
        <w:rPr>
          <w:rFonts w:hint="eastAsia" w:ascii="仿宋" w:hAnsi="仿宋" w:eastAsia="仿宋" w:cs="仿宋"/>
          <w:sz w:val="32"/>
          <w:szCs w:val="32"/>
          <w:lang w:eastAsia="zh-CN"/>
        </w:rPr>
        <w:t>应达到</w:t>
      </w:r>
      <w:r>
        <w:rPr>
          <w:rFonts w:hint="eastAsia" w:ascii="仿宋" w:hAnsi="仿宋" w:eastAsia="仿宋" w:cs="仿宋"/>
          <w:sz w:val="32"/>
          <w:szCs w:val="32"/>
        </w:rPr>
        <w:t>《工业企业厂界环境噪声排放标准》（GB12348-2008）中3类标准。</w:t>
      </w:r>
    </w:p>
    <w:p w14:paraId="5C568F6E">
      <w:pPr>
        <w:pStyle w:val="10"/>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 w:hAnsi="仿宋" w:eastAsia="仿宋" w:cs="仿宋"/>
          <w:color w:val="000000"/>
          <w:sz w:val="32"/>
          <w:szCs w:val="32"/>
          <w:lang w:eastAsia="zh-CN"/>
        </w:rPr>
      </w:pPr>
      <w:r>
        <w:rPr>
          <w:rFonts w:hint="eastAsia" w:eastAsia="仿宋_GB2312"/>
          <w:color w:val="000000"/>
          <w:sz w:val="32"/>
          <w:szCs w:val="32"/>
          <w:lang w:val="zh-TW" w:eastAsia="zh-CN"/>
        </w:rPr>
        <w:t>（五）制定并落实好固体废弃物的回收、利用等措施。</w:t>
      </w:r>
      <w:r>
        <w:rPr>
          <w:rFonts w:hint="eastAsia"/>
          <w:color w:val="000000"/>
          <w:sz w:val="32"/>
          <w:szCs w:val="32"/>
          <w:lang w:val="zh-TW" w:eastAsia="zh-CN"/>
        </w:rPr>
        <w:t>经布袋除尘器收集下来的除尘灰</w:t>
      </w:r>
      <w:r>
        <w:rPr>
          <w:rFonts w:hint="eastAsia" w:eastAsia="仿宋_GB2312"/>
          <w:color w:val="000000"/>
          <w:sz w:val="32"/>
          <w:szCs w:val="32"/>
          <w:lang w:val="zh-TW" w:eastAsia="zh-CN"/>
        </w:rPr>
        <w:t>存放于成品仓内，回用于烧结工序</w:t>
      </w:r>
      <w:r>
        <w:rPr>
          <w:rFonts w:hint="eastAsia" w:eastAsia="仿宋_GB2312"/>
          <w:color w:val="000000"/>
          <w:sz w:val="32"/>
          <w:szCs w:val="32"/>
          <w:lang w:val="en-US" w:eastAsia="zh-CN"/>
        </w:rPr>
        <w:t>。</w:t>
      </w:r>
      <w:r>
        <w:rPr>
          <w:rFonts w:hint="eastAsia"/>
          <w:color w:val="000000"/>
          <w:sz w:val="32"/>
          <w:szCs w:val="32"/>
          <w:lang w:val="en-US" w:eastAsia="zh-CN"/>
        </w:rPr>
        <w:t>贮存、回收等工序应满足</w:t>
      </w:r>
      <w:r>
        <w:rPr>
          <w:rFonts w:hint="eastAsia" w:eastAsia="仿宋_GB2312"/>
          <w:color w:val="000000"/>
          <w:sz w:val="32"/>
          <w:szCs w:val="32"/>
          <w:lang w:val="en-US" w:eastAsia="zh-CN"/>
        </w:rPr>
        <w:t>《一般工业固体废物贮存、处置场污染控制标准》（GB18599－2001）及修改单</w:t>
      </w:r>
      <w:r>
        <w:rPr>
          <w:rFonts w:hint="eastAsia"/>
          <w:color w:val="000000"/>
          <w:sz w:val="32"/>
          <w:szCs w:val="32"/>
          <w:lang w:val="en-US" w:eastAsia="zh-CN"/>
        </w:rPr>
        <w:t>中要求</w:t>
      </w:r>
      <w:r>
        <w:rPr>
          <w:rFonts w:hint="eastAsia" w:ascii="仿宋" w:hAnsi="仿宋" w:eastAsia="仿宋" w:cs="仿宋"/>
          <w:color w:val="000000"/>
          <w:sz w:val="32"/>
          <w:szCs w:val="32"/>
          <w:lang w:eastAsia="zh-CN"/>
        </w:rPr>
        <w:t>。</w:t>
      </w:r>
    </w:p>
    <w:p w14:paraId="5D0B4CCC">
      <w:pPr>
        <w:spacing w:line="360" w:lineRule="auto"/>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lang w:val="en-US" w:eastAsia="zh-CN"/>
        </w:rPr>
        <w:t>三、</w:t>
      </w:r>
      <w:r>
        <w:rPr>
          <w:rFonts w:hint="eastAsia" w:ascii="仿宋" w:hAnsi="仿宋" w:eastAsia="仿宋" w:cs="仿宋"/>
          <w:color w:val="000000"/>
          <w:sz w:val="32"/>
          <w:szCs w:val="32"/>
        </w:rPr>
        <w:t>本项目</w:t>
      </w:r>
      <w:r>
        <w:rPr>
          <w:rFonts w:hint="eastAsia" w:ascii="仿宋" w:hAnsi="仿宋" w:eastAsia="仿宋" w:cs="仿宋"/>
          <w:color w:val="000000"/>
          <w:sz w:val="32"/>
          <w:szCs w:val="32"/>
          <w:lang w:eastAsia="zh-CN"/>
        </w:rPr>
        <w:t>不申请</w:t>
      </w:r>
      <w:r>
        <w:rPr>
          <w:rFonts w:hint="eastAsia" w:ascii="仿宋" w:hAnsi="仿宋" w:eastAsia="仿宋" w:cs="仿宋"/>
          <w:color w:val="000000"/>
          <w:sz w:val="32"/>
          <w:szCs w:val="32"/>
        </w:rPr>
        <w:t>污染物总量控制指标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项目建设必须严格执行环境保护“三同时”制度。项目竣工后，建设单位应按相关规定开展自主验收，并向社会进行公示。</w:t>
      </w:r>
    </w:p>
    <w:p w14:paraId="71E1CA29">
      <w:pPr>
        <w:spacing w:line="360" w:lineRule="auto"/>
        <w:ind w:firstLine="640" w:firstLineChars="200"/>
        <w:rPr>
          <w:rFonts w:hint="eastAsia" w:ascii="仿宋" w:hAnsi="仿宋" w:eastAsia="仿宋" w:cs="仿宋"/>
          <w:color w:val="000000"/>
          <w:sz w:val="32"/>
          <w:szCs w:val="32"/>
          <w:highlight w:val="red"/>
        </w:rPr>
      </w:pPr>
      <w:r>
        <w:rPr>
          <w:rFonts w:hint="eastAsia" w:ascii="仿宋" w:hAnsi="仿宋" w:eastAsia="仿宋" w:cs="仿宋"/>
          <w:color w:val="000000"/>
          <w:sz w:val="32"/>
          <w:szCs w:val="32"/>
          <w:lang w:eastAsia="zh-CN"/>
        </w:rPr>
        <w:t>四</w:t>
      </w:r>
      <w:r>
        <w:rPr>
          <w:rFonts w:hint="eastAsia" w:ascii="仿宋" w:hAnsi="仿宋" w:eastAsia="仿宋" w:cs="仿宋"/>
          <w:color w:val="000000"/>
          <w:sz w:val="32"/>
          <w:szCs w:val="32"/>
        </w:rPr>
        <w:t>、项目建设期及日常环境监督检查工作由</w:t>
      </w:r>
      <w:r>
        <w:rPr>
          <w:rFonts w:hint="eastAsia" w:ascii="仿宋" w:hAnsi="仿宋" w:eastAsia="仿宋" w:cs="仿宋"/>
          <w:color w:val="000000"/>
          <w:sz w:val="32"/>
          <w:szCs w:val="32"/>
          <w:lang w:eastAsia="zh-CN"/>
        </w:rPr>
        <w:t>本溪市环境监察局</w:t>
      </w:r>
      <w:r>
        <w:rPr>
          <w:rFonts w:hint="eastAsia" w:ascii="仿宋" w:hAnsi="仿宋" w:eastAsia="仿宋" w:cs="仿宋"/>
          <w:color w:val="000000"/>
          <w:sz w:val="32"/>
          <w:szCs w:val="32"/>
        </w:rPr>
        <w:t>负责。</w:t>
      </w:r>
    </w:p>
    <w:p w14:paraId="0DB1C3BC">
      <w:pPr>
        <w:pStyle w:val="10"/>
        <w:rPr>
          <w:rFonts w:hint="eastAsia"/>
          <w:lang w:eastAsia="zh-CN"/>
        </w:rPr>
      </w:pPr>
    </w:p>
    <w:p w14:paraId="5264D0BE">
      <w:pPr>
        <w:spacing w:line="360" w:lineRule="auto"/>
        <w:rPr>
          <w:rFonts w:hint="eastAsia" w:ascii="仿宋_GB2312" w:hAnsi="仿宋" w:eastAsia="仿宋_GB2312" w:cs="仿宋"/>
          <w:sz w:val="32"/>
          <w:szCs w:val="32"/>
        </w:rPr>
      </w:pPr>
    </w:p>
    <w:p w14:paraId="650F3DA7">
      <w:pPr>
        <w:spacing w:line="360" w:lineRule="auto"/>
        <w:rPr>
          <w:rFonts w:hint="eastAsia" w:ascii="仿宋_GB2312" w:eastAsia="仿宋_GB2312"/>
          <w:sz w:val="32"/>
          <w:szCs w:val="32"/>
        </w:rPr>
      </w:pPr>
    </w:p>
    <w:p w14:paraId="21598AF4">
      <w:pPr>
        <w:spacing w:line="360" w:lineRule="auto"/>
        <w:jc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lang w:eastAsia="zh-CN"/>
        </w:rPr>
        <w:t>本溪市生态环境局</w:t>
      </w:r>
    </w:p>
    <w:p w14:paraId="247EE002">
      <w:pPr>
        <w:spacing w:line="360" w:lineRule="auto"/>
        <w:jc w:val="center"/>
        <w:rPr>
          <w:rFonts w:hint="eastAsia" w:ascii="黑体" w:eastAsia="黑体"/>
          <w:sz w:val="30"/>
          <w:szCs w:val="30"/>
        </w:rPr>
      </w:pPr>
      <w:r>
        <w:rPr>
          <w:rFonts w:hint="eastAsia" w:ascii="仿宋_GB2312" w:eastAsia="仿宋_GB2312"/>
          <w:sz w:val="32"/>
          <w:szCs w:val="32"/>
          <w:lang w:val="en-US" w:eastAsia="zh-CN"/>
        </w:rPr>
        <w:t xml:space="preserve">                     </w:t>
      </w:r>
      <w:r>
        <w:rPr>
          <w:rFonts w:hint="eastAsia" w:ascii="仿宋_GB2312" w:eastAsia="仿宋_GB2312"/>
          <w:sz w:val="32"/>
          <w:szCs w:val="32"/>
        </w:rPr>
        <w:t>二〇</w:t>
      </w:r>
      <w:r>
        <w:rPr>
          <w:rFonts w:hint="eastAsia" w:ascii="仿宋_GB2312" w:eastAsia="仿宋_GB2312"/>
          <w:sz w:val="32"/>
          <w:szCs w:val="32"/>
          <w:lang w:eastAsia="zh-CN"/>
        </w:rPr>
        <w:t>二</w:t>
      </w:r>
      <w:r>
        <w:rPr>
          <w:rFonts w:hint="eastAsia" w:ascii="仿宋_GB2312" w:eastAsia="仿宋_GB2312"/>
          <w:sz w:val="32"/>
          <w:szCs w:val="32"/>
        </w:rPr>
        <w:t>〇年</w:t>
      </w:r>
      <w:r>
        <w:rPr>
          <w:rFonts w:hint="eastAsia" w:ascii="仿宋_GB2312" w:eastAsia="仿宋_GB2312"/>
          <w:sz w:val="32"/>
          <w:szCs w:val="32"/>
          <w:lang w:eastAsia="zh-CN"/>
        </w:rPr>
        <w:t>六</w:t>
      </w:r>
      <w:r>
        <w:rPr>
          <w:rFonts w:hint="eastAsia" w:ascii="仿宋_GB2312" w:eastAsia="仿宋_GB2312"/>
          <w:sz w:val="32"/>
          <w:szCs w:val="32"/>
        </w:rPr>
        <w:t>月</w:t>
      </w:r>
      <w:r>
        <w:rPr>
          <w:rFonts w:hint="eastAsia" w:ascii="仿宋_GB2312" w:eastAsia="仿宋_GB2312"/>
          <w:sz w:val="32"/>
          <w:szCs w:val="32"/>
          <w:lang w:val="en-US" w:eastAsia="zh-CN"/>
        </w:rPr>
        <w:t xml:space="preserve">    </w:t>
      </w:r>
      <w:r>
        <w:rPr>
          <w:rFonts w:hint="eastAsia" w:ascii="仿宋_GB2312" w:eastAsia="仿宋_GB2312"/>
          <w:sz w:val="32"/>
          <w:szCs w:val="32"/>
        </w:rPr>
        <w:t>日</w:t>
      </w:r>
    </w:p>
    <w:p w14:paraId="097DE7F2">
      <w:pPr>
        <w:spacing w:line="360" w:lineRule="auto"/>
        <w:jc w:val="left"/>
        <w:rPr>
          <w:rFonts w:hint="eastAsia" w:ascii="黑体" w:eastAsia="黑体"/>
          <w:sz w:val="30"/>
          <w:szCs w:val="30"/>
        </w:rPr>
      </w:pPr>
    </w:p>
    <w:p w14:paraId="2D45B217"/>
    <w:sectPr>
      <w:footerReference r:id="rId3" w:type="default"/>
      <w:pgSz w:w="11906" w:h="16838"/>
      <w:pgMar w:top="1440" w:right="1466" w:bottom="1440" w:left="16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CE4A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C018FB">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EC018FB">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C1924"/>
    <w:rsid w:val="006312C7"/>
    <w:rsid w:val="09574814"/>
    <w:rsid w:val="096B6A76"/>
    <w:rsid w:val="0A2449A7"/>
    <w:rsid w:val="12A13E2B"/>
    <w:rsid w:val="147F559B"/>
    <w:rsid w:val="14C6087B"/>
    <w:rsid w:val="1D9C25B3"/>
    <w:rsid w:val="1EC60891"/>
    <w:rsid w:val="20D97828"/>
    <w:rsid w:val="21595564"/>
    <w:rsid w:val="240A382A"/>
    <w:rsid w:val="271D062E"/>
    <w:rsid w:val="297A18BD"/>
    <w:rsid w:val="2B571A93"/>
    <w:rsid w:val="31172430"/>
    <w:rsid w:val="354E2748"/>
    <w:rsid w:val="3A6921AB"/>
    <w:rsid w:val="3D5D6F14"/>
    <w:rsid w:val="3DE1367F"/>
    <w:rsid w:val="40D556CC"/>
    <w:rsid w:val="427A30EF"/>
    <w:rsid w:val="43831F53"/>
    <w:rsid w:val="43A20048"/>
    <w:rsid w:val="451D4F77"/>
    <w:rsid w:val="45DC3EC0"/>
    <w:rsid w:val="4649141F"/>
    <w:rsid w:val="4C8B4082"/>
    <w:rsid w:val="4E427022"/>
    <w:rsid w:val="509F55DB"/>
    <w:rsid w:val="53DC7423"/>
    <w:rsid w:val="57CB2E15"/>
    <w:rsid w:val="58801E27"/>
    <w:rsid w:val="590C22A0"/>
    <w:rsid w:val="5A2C5972"/>
    <w:rsid w:val="5AF147FC"/>
    <w:rsid w:val="5D637580"/>
    <w:rsid w:val="5DCC1924"/>
    <w:rsid w:val="60C2640B"/>
    <w:rsid w:val="627D2224"/>
    <w:rsid w:val="63594A7D"/>
    <w:rsid w:val="65E536D3"/>
    <w:rsid w:val="68D61C66"/>
    <w:rsid w:val="69662D01"/>
    <w:rsid w:val="6B131AD0"/>
    <w:rsid w:val="6BBF6C9E"/>
    <w:rsid w:val="6CFE046A"/>
    <w:rsid w:val="6D623F70"/>
    <w:rsid w:val="6E8E481E"/>
    <w:rsid w:val="6F3869B8"/>
    <w:rsid w:val="70110456"/>
    <w:rsid w:val="71CF2247"/>
    <w:rsid w:val="745C0507"/>
    <w:rsid w:val="7582121B"/>
    <w:rsid w:val="7D3458B4"/>
    <w:rsid w:val="7D662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0正文"/>
    <w:basedOn w:val="3"/>
    <w:qFormat/>
    <w:uiPriority w:val="0"/>
    <w:pPr>
      <w:spacing w:after="0" w:line="300" w:lineRule="auto"/>
      <w:ind w:left="0" w:leftChars="0" w:firstLine="480" w:firstLineChars="200"/>
    </w:pPr>
    <w:rPr>
      <w:rFonts w:cs="宋体"/>
      <w:kern w:val="0"/>
      <w:sz w:val="24"/>
      <w:szCs w:val="20"/>
    </w:rPr>
  </w:style>
  <w:style w:type="paragraph" w:styleId="3">
    <w:name w:val="Body Text Indent"/>
    <w:basedOn w:val="1"/>
    <w:next w:val="4"/>
    <w:qFormat/>
    <w:uiPriority w:val="0"/>
    <w:pPr>
      <w:spacing w:after="120"/>
      <w:ind w:left="420" w:leftChars="200"/>
    </w:pPr>
  </w:style>
  <w:style w:type="paragraph" w:styleId="4">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5">
    <w:name w:val="样式5"/>
    <w:basedOn w:val="6"/>
    <w:qFormat/>
    <w:uiPriority w:val="0"/>
    <w:pPr>
      <w:spacing w:line="380" w:lineRule="exact"/>
      <w:ind w:firstLine="566" w:firstLineChars="202"/>
    </w:pPr>
    <w:rPr>
      <w:rFonts w:eastAsia="华文行楷"/>
      <w:sz w:val="28"/>
    </w:rPr>
  </w:style>
  <w:style w:type="paragraph" w:styleId="6">
    <w:name w:val="Normal Indent"/>
    <w:basedOn w:val="1"/>
    <w:next w:val="1"/>
    <w:qFormat/>
    <w:uiPriority w:val="0"/>
    <w:pPr>
      <w:ind w:firstLine="420"/>
    </w:pPr>
    <w:rPr>
      <w:szCs w:val="20"/>
    </w:rPr>
  </w:style>
  <w:style w:type="paragraph" w:styleId="7">
    <w:name w:val="footer"/>
    <w:basedOn w:val="1"/>
    <w:qFormat/>
    <w:uiPriority w:val="0"/>
    <w:pPr>
      <w:tabs>
        <w:tab w:val="center" w:pos="4153"/>
        <w:tab w:val="right" w:pos="8306"/>
      </w:tabs>
      <w:snapToGrid w:val="0"/>
      <w:jc w:val="left"/>
    </w:pPr>
    <w:rPr>
      <w:sz w:val="18"/>
    </w:rPr>
  </w:style>
  <w:style w:type="paragraph" w:customStyle="1" w:styleId="10">
    <w:name w:val="_Style 4"/>
    <w:qFormat/>
    <w:uiPriority w:val="1"/>
    <w:pPr>
      <w:widowControl w:val="0"/>
      <w:jc w:val="both"/>
    </w:pPr>
    <w:rPr>
      <w:rFonts w:ascii="Times New Roman" w:hAnsi="Times New Roman" w:eastAsia="仿宋_GB2312"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1217</Words>
  <Characters>1325</Characters>
  <Lines>0</Lines>
  <Paragraphs>0</Paragraphs>
  <TotalTime>7</TotalTime>
  <ScaleCrop>false</ScaleCrop>
  <LinksUpToDate>false</LinksUpToDate>
  <CharactersWithSpaces>1371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2019-07-10T07:48:00Z</dcterms:created>
  <dc:creator>海霞</dc:creator>
  <cp:lastModifiedBy>快乐的七爷</cp:lastModifiedBy>
  <cp:lastPrinted>2019-09-17T09:22:00Z</cp:lastPrinted>
  <dcterms:modified xsi:type="dcterms:W3CDTF">2026-02-04T07:01:45Z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eyJoZGlkIjoiMmE2YTM5OWUzZWFhNzRkNDVmOWYyYzg1NDFhYTJiNWQiLCJ1c2VySWQiOiIyODQ4Mjg5ODkifQ==</vt:lpwstr>
  </property>
  <property fmtid="{D5CDD505-2E9C-101B-9397-08002B2CF9AE}" pid="4" name="ICV">
    <vt:lpwstr>608D5A68B3E44CFBA0F81E464064B289_12</vt:lpwstr>
  </property>
</Properties>
</file>