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547DA">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rPr>
      </w:pPr>
    </w:p>
    <w:p w14:paraId="52E941AE">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rPr>
      </w:pPr>
    </w:p>
    <w:p w14:paraId="18FFD1D7">
      <w:pPr>
        <w:pStyle w:val="15"/>
        <w:keepNext w:val="0"/>
        <w:keepLines w:val="0"/>
        <w:pageBreakBefore w:val="0"/>
        <w:kinsoku/>
        <w:wordWrap/>
        <w:overflowPunct/>
        <w:topLinePunct w:val="0"/>
        <w:bidi w:val="0"/>
        <w:spacing w:line="600" w:lineRule="exact"/>
        <w:ind w:left="78" w:leftChars="0" w:hanging="78"/>
        <w:textAlignment w:val="auto"/>
        <w:rPr>
          <w:rFonts w:hint="default" w:ascii="Times New Roman" w:hAnsi="Times New Roman" w:cs="Times New Roman"/>
          <w:color w:val="auto"/>
          <w:highlight w:val="none"/>
        </w:rPr>
      </w:pPr>
    </w:p>
    <w:p w14:paraId="0E5D5355">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auto"/>
          <w:sz w:val="32"/>
          <w:szCs w:val="32"/>
          <w:highlight w:val="none"/>
        </w:rPr>
      </w:pPr>
    </w:p>
    <w:p w14:paraId="0F4E43CB">
      <w:pPr>
        <w:pStyle w:val="43"/>
        <w:keepNext w:val="0"/>
        <w:keepLines w:val="0"/>
        <w:pageBreakBefore w:val="0"/>
        <w:kinsoku/>
        <w:wordWrap/>
        <w:overflowPunct/>
        <w:topLinePunct w:val="0"/>
        <w:bidi w:val="0"/>
        <w:spacing w:line="600" w:lineRule="exact"/>
        <w:ind w:left="0" w:leftChars="0"/>
        <w:jc w:val="right"/>
        <w:textAlignment w:val="auto"/>
        <w:rPr>
          <w:rFonts w:hint="default" w:ascii="Times New Roman" w:hAnsi="Times New Roman" w:eastAsia="仿宋" w:cs="Times New Roman"/>
          <w:color w:val="auto"/>
          <w:sz w:val="32"/>
          <w:szCs w:val="32"/>
          <w:highlight w:val="none"/>
          <w:shd w:val="clear" w:color="auto" w:fill="auto"/>
          <w:lang w:eastAsia="zh-CN"/>
        </w:rPr>
      </w:pPr>
      <w:r>
        <w:rPr>
          <w:rFonts w:hint="default" w:ascii="Times New Roman" w:hAnsi="Times New Roman" w:eastAsia="仿宋" w:cs="Times New Roman"/>
          <w:color w:val="auto"/>
          <w:sz w:val="32"/>
          <w:szCs w:val="32"/>
          <w:highlight w:val="none"/>
          <w:shd w:val="clear" w:color="auto" w:fill="auto"/>
        </w:rPr>
        <w:t>本环建字</w:t>
      </w:r>
      <w:r>
        <w:rPr>
          <w:rFonts w:hint="default" w:ascii="Times New Roman" w:hAnsi="Times New Roman" w:eastAsia="仿宋" w:cs="Times New Roman"/>
          <w:color w:val="auto"/>
          <w:sz w:val="32"/>
          <w:szCs w:val="32"/>
          <w:highlight w:val="none"/>
          <w:shd w:val="clear" w:color="auto" w:fill="auto"/>
          <w:lang w:eastAsia="zh-CN"/>
        </w:rPr>
        <w:t>〔202</w:t>
      </w:r>
      <w:r>
        <w:rPr>
          <w:rFonts w:hint="eastAsia" w:eastAsia="仿宋" w:cs="Times New Roman"/>
          <w:color w:val="auto"/>
          <w:sz w:val="32"/>
          <w:szCs w:val="32"/>
          <w:highlight w:val="none"/>
          <w:shd w:val="clear" w:color="auto" w:fill="auto"/>
          <w:lang w:val="en-US" w:eastAsia="zh-CN"/>
        </w:rPr>
        <w:t>5</w:t>
      </w:r>
      <w:r>
        <w:rPr>
          <w:rFonts w:hint="default" w:ascii="Times New Roman" w:hAnsi="Times New Roman" w:eastAsia="仿宋" w:cs="Times New Roman"/>
          <w:color w:val="auto"/>
          <w:sz w:val="32"/>
          <w:szCs w:val="32"/>
          <w:highlight w:val="none"/>
          <w:shd w:val="clear" w:color="auto" w:fill="auto"/>
          <w:lang w:eastAsia="zh-CN"/>
        </w:rPr>
        <w:t>〕</w:t>
      </w:r>
      <w:r>
        <w:rPr>
          <w:rFonts w:hint="eastAsia" w:eastAsia="仿宋" w:cs="Times New Roman"/>
          <w:color w:val="auto"/>
          <w:sz w:val="32"/>
          <w:szCs w:val="32"/>
          <w:highlight w:val="none"/>
          <w:shd w:val="clear" w:color="auto" w:fill="auto"/>
          <w:lang w:val="en-US" w:eastAsia="zh-CN"/>
        </w:rPr>
        <w:t>6</w:t>
      </w:r>
      <w:r>
        <w:rPr>
          <w:rFonts w:hint="default" w:ascii="Times New Roman" w:hAnsi="Times New Roman" w:eastAsia="仿宋" w:cs="Times New Roman"/>
          <w:color w:val="auto"/>
          <w:sz w:val="32"/>
          <w:szCs w:val="32"/>
          <w:highlight w:val="none"/>
          <w:shd w:val="clear" w:color="auto" w:fill="auto"/>
          <w:lang w:eastAsia="zh-CN"/>
        </w:rPr>
        <w:t>号</w:t>
      </w:r>
    </w:p>
    <w:p w14:paraId="190ED5AD">
      <w:pPr>
        <w:keepNext w:val="0"/>
        <w:keepLines w:val="0"/>
        <w:pageBreakBefore w:val="0"/>
        <w:kinsoku/>
        <w:wordWrap/>
        <w:overflowPunct/>
        <w:topLinePunct w:val="0"/>
        <w:bidi w:val="0"/>
        <w:spacing w:line="600" w:lineRule="exact"/>
        <w:ind w:left="0"/>
        <w:jc w:val="center"/>
        <w:textAlignment w:val="auto"/>
        <w:rPr>
          <w:rFonts w:hint="default" w:ascii="Times New Roman" w:hAnsi="Times New Roman" w:eastAsia="宋体" w:cs="Times New Roman"/>
          <w:b/>
          <w:snapToGrid/>
          <w:color w:val="auto"/>
          <w:spacing w:val="0"/>
          <w:kern w:val="2"/>
          <w:sz w:val="44"/>
          <w:szCs w:val="44"/>
          <w:highlight w:val="none"/>
        </w:rPr>
      </w:pPr>
      <w:r>
        <w:rPr>
          <w:rFonts w:hint="default" w:ascii="Times New Roman" w:hAnsi="Times New Roman" w:eastAsia="宋体" w:cs="Times New Roman"/>
          <w:b/>
          <w:snapToGrid/>
          <w:color w:val="auto"/>
          <w:spacing w:val="0"/>
          <w:kern w:val="2"/>
          <w:sz w:val="44"/>
          <w:szCs w:val="44"/>
          <w:highlight w:val="none"/>
        </w:rPr>
        <w:t>关于《</w:t>
      </w:r>
      <w:r>
        <w:rPr>
          <w:rFonts w:hint="eastAsia" w:cs="Times New Roman"/>
          <w:b/>
          <w:color w:val="auto"/>
          <w:spacing w:val="11"/>
          <w:sz w:val="44"/>
          <w:szCs w:val="44"/>
          <w:highlight w:val="none"/>
          <w:lang w:eastAsia="zh-CN"/>
        </w:rPr>
        <w:t>本钢板材股份有限公司特钢电炉改造工程</w:t>
      </w:r>
      <w:r>
        <w:rPr>
          <w:rFonts w:hint="default" w:ascii="Times New Roman" w:hAnsi="Times New Roman" w:cs="Times New Roman"/>
          <w:b/>
          <w:color w:val="auto"/>
          <w:spacing w:val="11"/>
          <w:sz w:val="44"/>
          <w:szCs w:val="44"/>
          <w:highlight w:val="none"/>
        </w:rPr>
        <w:t>环境影响</w:t>
      </w:r>
      <w:r>
        <w:rPr>
          <w:rFonts w:hint="eastAsia" w:cs="Times New Roman"/>
          <w:b/>
          <w:color w:val="auto"/>
          <w:spacing w:val="11"/>
          <w:sz w:val="44"/>
          <w:szCs w:val="44"/>
          <w:highlight w:val="none"/>
          <w:lang w:eastAsia="zh-CN"/>
        </w:rPr>
        <w:t>报告书</w:t>
      </w:r>
      <w:r>
        <w:rPr>
          <w:rFonts w:hint="default" w:ascii="Times New Roman" w:hAnsi="Times New Roman" w:eastAsia="宋体" w:cs="Times New Roman"/>
          <w:b/>
          <w:snapToGrid/>
          <w:color w:val="auto"/>
          <w:spacing w:val="0"/>
          <w:kern w:val="2"/>
          <w:sz w:val="44"/>
          <w:szCs w:val="44"/>
          <w:highlight w:val="none"/>
        </w:rPr>
        <w:t>》的批复</w:t>
      </w:r>
    </w:p>
    <w:p w14:paraId="7C86253F">
      <w:pPr>
        <w:pStyle w:val="15"/>
        <w:keepNext w:val="0"/>
        <w:keepLines w:val="0"/>
        <w:pageBreakBefore w:val="0"/>
        <w:kinsoku/>
        <w:wordWrap/>
        <w:overflowPunct/>
        <w:topLinePunct w:val="0"/>
        <w:bidi w:val="0"/>
        <w:spacing w:line="600" w:lineRule="exact"/>
        <w:textAlignment w:val="auto"/>
        <w:rPr>
          <w:rFonts w:hint="default"/>
          <w:highlight w:val="none"/>
        </w:rPr>
      </w:pPr>
    </w:p>
    <w:p w14:paraId="1101DF52">
      <w:pPr>
        <w:keepNext w:val="0"/>
        <w:keepLines w:val="0"/>
        <w:pageBreakBefore w:val="0"/>
        <w:widowControl w:val="0"/>
        <w:kinsoku/>
        <w:wordWrap/>
        <w:overflowPunct/>
        <w:topLinePunct w:val="0"/>
        <w:autoSpaceDE/>
        <w:autoSpaceDN/>
        <w:bidi w:val="0"/>
        <w:adjustRightInd w:val="0"/>
        <w:snapToGrid w:val="0"/>
        <w:spacing w:line="600" w:lineRule="exact"/>
        <w:ind w:left="0"/>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 w:cs="Times New Roman"/>
          <w:bCs/>
          <w:color w:val="auto"/>
          <w:sz w:val="32"/>
          <w:szCs w:val="32"/>
          <w:highlight w:val="none"/>
          <w:lang w:eastAsia="zh-CN"/>
        </w:rPr>
        <w:t>本钢板材股份有限公司</w:t>
      </w:r>
      <w:r>
        <w:rPr>
          <w:rFonts w:hint="default" w:ascii="Times New Roman" w:hAnsi="Times New Roman" w:eastAsia="仿宋_GB2312" w:cs="Times New Roman"/>
          <w:color w:val="auto"/>
          <w:sz w:val="32"/>
          <w:highlight w:val="none"/>
          <w:lang w:val="en-US" w:eastAsia="zh-CN"/>
        </w:rPr>
        <w:t>：</w:t>
      </w:r>
    </w:p>
    <w:p w14:paraId="0C741465">
      <w:pPr>
        <w:keepNext w:val="0"/>
        <w:keepLines w:val="0"/>
        <w:pageBreakBefore w:val="0"/>
        <w:kinsoku/>
        <w:wordWrap/>
        <w:overflowPunct/>
        <w:topLinePunct w:val="0"/>
        <w:bidi w:val="0"/>
        <w:spacing w:line="600" w:lineRule="exact"/>
        <w:ind w:firstLine="68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你公司报送的《</w:t>
      </w:r>
      <w:r>
        <w:rPr>
          <w:rFonts w:hint="eastAsia" w:eastAsia="仿宋" w:cs="Times New Roman"/>
          <w:color w:val="auto"/>
          <w:sz w:val="32"/>
          <w:szCs w:val="32"/>
          <w:highlight w:val="none"/>
          <w:lang w:val="en-US" w:eastAsia="zh-CN"/>
        </w:rPr>
        <w:t>本钢板材股份有限公司特钢电炉改造工程</w:t>
      </w:r>
      <w:r>
        <w:rPr>
          <w:rFonts w:hint="default" w:ascii="Times New Roman" w:hAnsi="Times New Roman" w:eastAsia="仿宋" w:cs="Times New Roman"/>
          <w:color w:val="auto"/>
          <w:sz w:val="32"/>
          <w:szCs w:val="32"/>
          <w:highlight w:val="none"/>
          <w:lang w:val="en-US" w:eastAsia="zh-CN"/>
        </w:rPr>
        <w:t>环境影响</w:t>
      </w:r>
      <w:r>
        <w:rPr>
          <w:rFonts w:hint="eastAsia" w:eastAsia="仿宋" w:cs="Times New Roman"/>
          <w:color w:val="auto"/>
          <w:sz w:val="32"/>
          <w:szCs w:val="32"/>
          <w:highlight w:val="none"/>
          <w:lang w:val="en-US" w:eastAsia="zh-CN"/>
        </w:rPr>
        <w:t>报告书</w:t>
      </w:r>
      <w:r>
        <w:rPr>
          <w:rFonts w:hint="default" w:ascii="Times New Roman" w:hAnsi="Times New Roman" w:eastAsia="仿宋" w:cs="Times New Roman"/>
          <w:color w:val="auto"/>
          <w:sz w:val="32"/>
          <w:szCs w:val="32"/>
          <w:highlight w:val="none"/>
          <w:lang w:val="en-US" w:eastAsia="zh-CN"/>
        </w:rPr>
        <w:t>》（以下简称“</w:t>
      </w:r>
      <w:r>
        <w:rPr>
          <w:rFonts w:hint="eastAsia" w:eastAsia="仿宋" w:cs="Times New Roman"/>
          <w:color w:val="auto"/>
          <w:sz w:val="32"/>
          <w:szCs w:val="32"/>
          <w:highlight w:val="none"/>
          <w:lang w:val="en-US" w:eastAsia="zh-CN"/>
        </w:rPr>
        <w:t>报告书</w:t>
      </w:r>
      <w:r>
        <w:rPr>
          <w:rFonts w:hint="default" w:ascii="Times New Roman" w:hAnsi="Times New Roman" w:eastAsia="仿宋" w:cs="Times New Roman"/>
          <w:color w:val="auto"/>
          <w:sz w:val="32"/>
          <w:szCs w:val="32"/>
          <w:highlight w:val="none"/>
          <w:lang w:val="en-US" w:eastAsia="zh-CN"/>
        </w:rPr>
        <w:t>”）已收悉。根据环评专家评审意见及技术评估报告结论，经我局202</w:t>
      </w:r>
      <w:r>
        <w:rPr>
          <w:rFonts w:hint="eastAsia"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lang w:val="en-US" w:eastAsia="zh-CN"/>
        </w:rPr>
        <w:t>年建设项目审查委员会第</w:t>
      </w:r>
      <w:r>
        <w:rPr>
          <w:rFonts w:hint="eastAsia" w:eastAsia="仿宋" w:cs="Times New Roman"/>
          <w:color w:val="auto"/>
          <w:sz w:val="32"/>
          <w:szCs w:val="32"/>
          <w:highlight w:val="none"/>
          <w:lang w:val="en-US" w:eastAsia="zh-CN"/>
        </w:rPr>
        <w:t>五</w:t>
      </w:r>
      <w:r>
        <w:rPr>
          <w:rFonts w:hint="default" w:ascii="Times New Roman" w:hAnsi="Times New Roman" w:eastAsia="仿宋" w:cs="Times New Roman"/>
          <w:color w:val="auto"/>
          <w:sz w:val="32"/>
          <w:szCs w:val="32"/>
          <w:highlight w:val="none"/>
          <w:lang w:val="en-US" w:eastAsia="zh-CN"/>
        </w:rPr>
        <w:t>次会议讨论同意，现批复如下：</w:t>
      </w:r>
    </w:p>
    <w:p w14:paraId="3506FC9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黑体" w:cs="Times New Roman"/>
          <w:bCs w:val="0"/>
          <w:snapToGrid/>
          <w:color w:val="auto"/>
          <w:spacing w:val="0"/>
          <w:kern w:val="2"/>
          <w:sz w:val="32"/>
          <w:szCs w:val="32"/>
          <w:highlight w:val="none"/>
        </w:rPr>
      </w:pPr>
      <w:r>
        <w:rPr>
          <w:rFonts w:hint="default" w:ascii="Times New Roman" w:hAnsi="Times New Roman" w:eastAsia="黑体" w:cs="Times New Roman"/>
          <w:bCs w:val="0"/>
          <w:snapToGrid/>
          <w:color w:val="auto"/>
          <w:spacing w:val="0"/>
          <w:kern w:val="2"/>
          <w:sz w:val="32"/>
          <w:szCs w:val="32"/>
          <w:highlight w:val="none"/>
        </w:rPr>
        <w:t>一、项目概况</w:t>
      </w:r>
    </w:p>
    <w:p w14:paraId="0C174468">
      <w:pPr>
        <w:keepNext w:val="0"/>
        <w:keepLines w:val="0"/>
        <w:pageBreakBefore w:val="0"/>
        <w:widowControl/>
        <w:kinsoku/>
        <w:wordWrap/>
        <w:overflowPunct/>
        <w:topLinePunct w:val="0"/>
        <w:bidi w:val="0"/>
        <w:spacing w:line="600" w:lineRule="exact"/>
        <w:ind w:firstLine="680" w:firstLineChars="200"/>
        <w:jc w:val="both"/>
        <w:textAlignment w:val="auto"/>
        <w:rPr>
          <w:rFonts w:hint="default" w:ascii="Times New Roman" w:hAnsi="Times New Roman" w:eastAsia="仿宋" w:cs="Times New Roman"/>
          <w:bCs/>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项目</w:t>
      </w:r>
      <w:r>
        <w:rPr>
          <w:rFonts w:hint="default" w:ascii="Times New Roman" w:hAnsi="Times New Roman" w:eastAsia="仿宋" w:cs="Times New Roman"/>
          <w:bCs/>
          <w:color w:val="auto"/>
          <w:sz w:val="32"/>
          <w:szCs w:val="32"/>
          <w:highlight w:val="none"/>
        </w:rPr>
        <w:t>位于</w:t>
      </w:r>
      <w:r>
        <w:rPr>
          <w:rFonts w:hint="eastAsia" w:eastAsia="仿宋" w:cs="Times New Roman"/>
          <w:bCs/>
          <w:color w:val="auto"/>
          <w:sz w:val="32"/>
          <w:szCs w:val="32"/>
          <w:highlight w:val="none"/>
          <w:lang w:val="en-US" w:eastAsia="zh-CN"/>
        </w:rPr>
        <w:t>辽宁省</w:t>
      </w:r>
      <w:r>
        <w:rPr>
          <w:rFonts w:hint="eastAsia" w:ascii="仿宋" w:hAnsi="仿宋" w:eastAsia="仿宋" w:cs="仿宋"/>
          <w:color w:val="auto"/>
          <w:sz w:val="32"/>
          <w:szCs w:val="32"/>
          <w:highlight w:val="none"/>
          <w:shd w:val="clear"/>
          <w:lang w:val="en-US" w:eastAsia="zh-CN"/>
        </w:rPr>
        <w:t>本溪市</w:t>
      </w:r>
      <w:r>
        <w:rPr>
          <w:rFonts w:hint="default" w:ascii="仿宋" w:hAnsi="仿宋" w:eastAsia="仿宋" w:cs="仿宋"/>
          <w:color w:val="auto"/>
          <w:sz w:val="32"/>
          <w:szCs w:val="32"/>
          <w:highlight w:val="none"/>
          <w:shd w:val="clear"/>
          <w:lang w:val="en-US" w:eastAsia="zh-CN"/>
        </w:rPr>
        <w:t>本钢板材股份有限公司特殊钢事业部炼钢</w:t>
      </w:r>
      <w:r>
        <w:rPr>
          <w:rFonts w:hint="eastAsia" w:ascii="仿宋" w:hAnsi="仿宋" w:eastAsia="仿宋" w:cs="仿宋"/>
          <w:color w:val="auto"/>
          <w:sz w:val="32"/>
          <w:szCs w:val="32"/>
          <w:highlight w:val="none"/>
          <w:shd w:val="clear"/>
          <w:lang w:val="en-US" w:eastAsia="zh-CN"/>
        </w:rPr>
        <w:t>作业区</w:t>
      </w:r>
      <w:r>
        <w:rPr>
          <w:rFonts w:hint="default" w:ascii="Times New Roman" w:hAnsi="Times New Roman" w:eastAsia="仿宋" w:cs="Times New Roman"/>
          <w:color w:val="auto"/>
          <w:sz w:val="32"/>
          <w:szCs w:val="32"/>
          <w:highlight w:val="none"/>
          <w:lang w:eastAsia="zh-CN"/>
        </w:rPr>
        <w:t>。本项目属于</w:t>
      </w:r>
      <w:r>
        <w:rPr>
          <w:rFonts w:hint="eastAsia" w:eastAsia="仿宋" w:cs="Times New Roman"/>
          <w:color w:val="auto"/>
          <w:sz w:val="32"/>
          <w:szCs w:val="32"/>
          <w:highlight w:val="none"/>
          <w:lang w:val="en-US" w:eastAsia="zh-CN"/>
        </w:rPr>
        <w:t>改扩建</w:t>
      </w:r>
      <w:r>
        <w:rPr>
          <w:rFonts w:hint="default" w:ascii="Times New Roman" w:hAnsi="Times New Roman" w:eastAsia="仿宋" w:cs="Times New Roman"/>
          <w:color w:val="auto"/>
          <w:sz w:val="32"/>
          <w:szCs w:val="32"/>
          <w:highlight w:val="none"/>
        </w:rPr>
        <w:t>项</w:t>
      </w:r>
      <w:r>
        <w:rPr>
          <w:rFonts w:hint="default" w:ascii="Times New Roman" w:hAnsi="Times New Roman" w:eastAsia="仿宋" w:cs="Times New Roman"/>
          <w:color w:val="auto"/>
          <w:sz w:val="32"/>
          <w:szCs w:val="32"/>
          <w:highlight w:val="none"/>
          <w:shd w:val="clear"/>
          <w:lang w:val="en-US" w:eastAsia="zh-CN"/>
        </w:rPr>
        <w:t>目，</w:t>
      </w:r>
      <w:r>
        <w:rPr>
          <w:rFonts w:hint="eastAsia" w:ascii="仿宋" w:hAnsi="仿宋" w:eastAsia="仿宋" w:cs="仿宋"/>
          <w:color w:val="auto"/>
          <w:sz w:val="32"/>
          <w:szCs w:val="32"/>
          <w:highlight w:val="none"/>
          <w:shd w:val="clear"/>
          <w:lang w:val="en-US" w:eastAsia="zh-CN"/>
        </w:rPr>
        <w:t>原有项目分别于2019年7月12日取得了辽宁省生态环境厅出具的《</w:t>
      </w:r>
      <w:r>
        <w:rPr>
          <w:rFonts w:hint="eastAsia" w:eastAsia="仿宋" w:cs="Times New Roman"/>
          <w:color w:val="auto"/>
          <w:sz w:val="32"/>
          <w:szCs w:val="32"/>
          <w:highlight w:val="none"/>
          <w:shd w:val="clear"/>
          <w:lang w:val="en-US" w:eastAsia="zh-CN"/>
        </w:rPr>
        <w:t>本钢板材公司特钢电炉升级改造工程环境影响报告书的批复</w:t>
      </w:r>
      <w:r>
        <w:rPr>
          <w:rFonts w:hint="eastAsia" w:ascii="仿宋" w:hAnsi="仿宋" w:eastAsia="仿宋" w:cs="仿宋"/>
          <w:color w:val="auto"/>
          <w:sz w:val="32"/>
          <w:szCs w:val="32"/>
          <w:highlight w:val="none"/>
          <w:shd w:val="clear"/>
          <w:lang w:val="en-US" w:eastAsia="zh-CN"/>
        </w:rPr>
        <w:t>》（</w:t>
      </w:r>
      <w:r>
        <w:rPr>
          <w:rFonts w:hint="eastAsia" w:eastAsia="仿宋" w:cs="Times New Roman"/>
          <w:color w:val="auto"/>
          <w:sz w:val="32"/>
          <w:szCs w:val="32"/>
          <w:highlight w:val="none"/>
          <w:shd w:val="clear"/>
          <w:lang w:val="en-US" w:eastAsia="zh-CN"/>
        </w:rPr>
        <w:t>辽环函</w:t>
      </w:r>
      <w:r>
        <w:rPr>
          <w:rFonts w:hint="eastAsia" w:ascii="仿宋" w:hAnsi="仿宋" w:eastAsia="仿宋" w:cs="仿宋"/>
          <w:color w:val="auto"/>
          <w:sz w:val="32"/>
          <w:szCs w:val="32"/>
          <w:highlight w:val="none"/>
          <w:shd w:val="clear"/>
          <w:lang w:val="en-US" w:eastAsia="zh-CN"/>
        </w:rPr>
        <w:t>〔</w:t>
      </w:r>
      <w:r>
        <w:rPr>
          <w:rFonts w:hint="default" w:ascii="仿宋" w:hAnsi="仿宋" w:eastAsia="仿宋" w:cs="仿宋"/>
          <w:color w:val="auto"/>
          <w:sz w:val="32"/>
          <w:szCs w:val="32"/>
          <w:highlight w:val="none"/>
          <w:shd w:val="clear"/>
          <w:lang w:val="en-US" w:eastAsia="zh-CN"/>
        </w:rPr>
        <w:t>201</w:t>
      </w:r>
      <w:r>
        <w:rPr>
          <w:rFonts w:hint="eastAsia" w:ascii="仿宋" w:hAnsi="仿宋" w:eastAsia="仿宋" w:cs="仿宋"/>
          <w:color w:val="auto"/>
          <w:sz w:val="32"/>
          <w:szCs w:val="32"/>
          <w:highlight w:val="none"/>
          <w:shd w:val="clear"/>
          <w:lang w:val="en-US" w:eastAsia="zh-CN"/>
        </w:rPr>
        <w:t>9〕</w:t>
      </w:r>
      <w:r>
        <w:rPr>
          <w:rFonts w:hint="default" w:ascii="仿宋" w:hAnsi="仿宋" w:eastAsia="仿宋" w:cs="仿宋"/>
          <w:color w:val="auto"/>
          <w:sz w:val="32"/>
          <w:szCs w:val="32"/>
          <w:highlight w:val="none"/>
          <w:shd w:val="clear"/>
          <w:lang w:val="en-US" w:eastAsia="zh-CN"/>
        </w:rPr>
        <w:t>1</w:t>
      </w:r>
      <w:r>
        <w:rPr>
          <w:rFonts w:hint="eastAsia" w:ascii="仿宋" w:hAnsi="仿宋" w:eastAsia="仿宋" w:cs="仿宋"/>
          <w:color w:val="auto"/>
          <w:sz w:val="32"/>
          <w:szCs w:val="32"/>
          <w:highlight w:val="none"/>
          <w:shd w:val="clear"/>
          <w:lang w:val="en-US" w:eastAsia="zh-CN"/>
        </w:rPr>
        <w:t>72</w:t>
      </w:r>
      <w:r>
        <w:rPr>
          <w:rFonts w:hint="default" w:ascii="仿宋" w:hAnsi="仿宋" w:eastAsia="仿宋" w:cs="仿宋"/>
          <w:color w:val="auto"/>
          <w:sz w:val="32"/>
          <w:szCs w:val="32"/>
          <w:highlight w:val="none"/>
          <w:shd w:val="clear"/>
          <w:lang w:val="en-US" w:eastAsia="zh-CN"/>
        </w:rPr>
        <w:t>号</w:t>
      </w:r>
      <w:r>
        <w:rPr>
          <w:rFonts w:hint="eastAsia" w:ascii="仿宋" w:hAnsi="仿宋" w:eastAsia="仿宋" w:cs="仿宋"/>
          <w:color w:val="auto"/>
          <w:sz w:val="32"/>
          <w:szCs w:val="32"/>
          <w:highlight w:val="none"/>
          <w:shd w:val="clear"/>
          <w:lang w:val="en-US" w:eastAsia="zh-CN"/>
        </w:rPr>
        <w:t>）、2024年1月8日取得本溪市生态环境局出具的《本钢板材特殊钢事业部危险废物利用及处置项目环境影响报告书的批复》（本环建字〔2024〕1号）。原有项目建设内容为：建设1座89t电炉、1座70t电炉、4座100tLF炉，2座100tRH炉，1台中方坯连铸机和1台大方坯连铸机；其中1座89t电炉处置利用企业自产的部分危险废物，</w:t>
      </w:r>
      <w:r>
        <w:rPr>
          <w:rFonts w:hint="default" w:ascii="Times New Roman" w:hAnsi="Times New Roman" w:eastAsia="仿宋" w:cs="Times New Roman"/>
          <w:bCs/>
          <w:sz w:val="32"/>
          <w:szCs w:val="32"/>
          <w:highlight w:val="none"/>
          <w:lang w:val="en-US" w:eastAsia="zh-CN"/>
        </w:rPr>
        <w:t>处置规模为850</w:t>
      </w:r>
      <w:r>
        <w:rPr>
          <w:rFonts w:hint="eastAsia" w:eastAsia="仿宋" w:cs="Times New Roman"/>
          <w:bCs/>
          <w:sz w:val="32"/>
          <w:szCs w:val="32"/>
          <w:highlight w:val="none"/>
          <w:lang w:val="en-US" w:eastAsia="zh-CN"/>
        </w:rPr>
        <w:t>t/a</w:t>
      </w:r>
      <w:r>
        <w:rPr>
          <w:rFonts w:hint="eastAsia" w:ascii="仿宋" w:hAnsi="仿宋" w:eastAsia="仿宋" w:cs="仿宋"/>
          <w:color w:val="auto"/>
          <w:sz w:val="32"/>
          <w:szCs w:val="32"/>
          <w:highlight w:val="none"/>
          <w:shd w:val="clear"/>
          <w:lang w:val="en-US" w:eastAsia="zh-CN"/>
        </w:rPr>
        <w:t>。目前1座89t电炉、2座100tLF炉，1座100tRH炉，1台中方坯连铸机和1台大方坯连铸机及配套环保设施已建成并通过竣工环保验收</w:t>
      </w:r>
      <w:r>
        <w:rPr>
          <w:rFonts w:hint="eastAsia" w:ascii="Times New Roman" w:hAnsi="Times New Roman" w:eastAsia="仿宋" w:cs="Times New Roman"/>
          <w:bCs/>
          <w:sz w:val="32"/>
          <w:szCs w:val="32"/>
          <w:highlight w:val="none"/>
          <w:lang w:val="en-US" w:eastAsia="zh-CN"/>
        </w:rPr>
        <w:t>；89t电炉处置利用企业自产的850t/a危险废物项目已建成</w:t>
      </w:r>
      <w:r>
        <w:rPr>
          <w:rFonts w:hint="eastAsia" w:ascii="仿宋" w:hAnsi="仿宋" w:eastAsia="仿宋" w:cs="仿宋"/>
          <w:color w:val="auto"/>
          <w:sz w:val="32"/>
          <w:szCs w:val="32"/>
          <w:highlight w:val="none"/>
          <w:shd w:val="clear"/>
          <w:lang w:val="en-US" w:eastAsia="zh-CN"/>
        </w:rPr>
        <w:t>并通过竣工环保验收</w:t>
      </w:r>
      <w:r>
        <w:rPr>
          <w:rFonts w:hint="eastAsia" w:ascii="Times New Roman" w:hAnsi="Times New Roman" w:eastAsia="仿宋" w:cs="Times New Roman"/>
          <w:bCs/>
          <w:sz w:val="32"/>
          <w:szCs w:val="32"/>
          <w:highlight w:val="none"/>
          <w:lang w:val="en-US" w:eastAsia="zh-CN"/>
        </w:rPr>
        <w:t>。</w:t>
      </w:r>
      <w:r>
        <w:rPr>
          <w:rFonts w:hint="eastAsia" w:ascii="Times New Roman" w:hAnsi="Times New Roman" w:eastAsia="仿宋" w:cs="Times New Roman"/>
          <w:bCs/>
          <w:sz w:val="32"/>
          <w:szCs w:val="32"/>
          <w:highlight w:val="none"/>
          <w:lang w:val="en-US" w:eastAsia="zh-CN"/>
        </w:rPr>
        <w:t>70t电炉</w:t>
      </w:r>
      <w:r>
        <w:rPr>
          <w:rFonts w:hint="eastAsia" w:eastAsia="仿宋" w:cs="Times New Roman"/>
          <w:bCs/>
          <w:sz w:val="32"/>
          <w:szCs w:val="32"/>
          <w:highlight w:val="none"/>
          <w:lang w:val="en-US" w:eastAsia="zh-CN"/>
        </w:rPr>
        <w:t>及配套设施已完成产能置换。</w:t>
      </w:r>
    </w:p>
    <w:p w14:paraId="3EF03964">
      <w:pPr>
        <w:keepNext w:val="0"/>
        <w:keepLines w:val="0"/>
        <w:pageBreakBefore w:val="0"/>
        <w:widowControl w:val="0"/>
        <w:kinsoku/>
        <w:wordWrap/>
        <w:overflowPunct/>
        <w:topLinePunct w:val="0"/>
        <w:bidi w:val="0"/>
        <w:adjustRightInd w:val="0"/>
        <w:snapToGrid w:val="0"/>
        <w:spacing w:line="600" w:lineRule="exact"/>
        <w:ind w:left="0" w:leftChars="0" w:firstLine="68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rPr>
        <w:t>本项目建设内容为：将现有1座89t</w:t>
      </w:r>
      <w:r>
        <w:rPr>
          <w:rFonts w:hint="eastAsia" w:eastAsia="仿宋" w:cs="Times New Roman"/>
          <w:color w:val="auto"/>
          <w:sz w:val="32"/>
          <w:szCs w:val="32"/>
          <w:highlight w:val="none"/>
          <w:lang w:val="en-US" w:eastAsia="zh-CN"/>
        </w:rPr>
        <w:t>电炉</w:t>
      </w:r>
      <w:r>
        <w:rPr>
          <w:rFonts w:hint="default" w:ascii="Times New Roman" w:hAnsi="Times New Roman" w:eastAsia="仿宋" w:cs="Times New Roman"/>
          <w:color w:val="auto"/>
          <w:sz w:val="32"/>
          <w:szCs w:val="32"/>
          <w:highlight w:val="none"/>
        </w:rPr>
        <w:t>改造升级为1台100t新型废钢预热高效电炉（1#），本次通过改造电炉内衬，减少各层炉衬修砌厚度，同时将生产过程改变炉内留钢量的方式将电炉容量改为100t；</w:t>
      </w:r>
      <w:r>
        <w:rPr>
          <w:rFonts w:hint="default" w:ascii="Times New Roman" w:hAnsi="Times New Roman" w:eastAsia="仿宋" w:cs="Times New Roman"/>
          <w:color w:val="auto"/>
          <w:sz w:val="32"/>
          <w:szCs w:val="32"/>
          <w:highlight w:val="none"/>
        </w:rPr>
        <w:t>1座70t电炉</w:t>
      </w:r>
      <w:r>
        <w:rPr>
          <w:rFonts w:hint="eastAsia" w:eastAsia="仿宋" w:cs="Times New Roman"/>
          <w:color w:val="auto"/>
          <w:sz w:val="32"/>
          <w:szCs w:val="32"/>
          <w:highlight w:val="none"/>
          <w:lang w:val="en-US" w:eastAsia="zh-CN"/>
        </w:rPr>
        <w:t>置换为</w:t>
      </w:r>
      <w:r>
        <w:rPr>
          <w:rFonts w:hint="default" w:ascii="Times New Roman" w:hAnsi="Times New Roman" w:eastAsia="仿宋" w:cs="Times New Roman"/>
          <w:color w:val="auto"/>
          <w:sz w:val="32"/>
          <w:szCs w:val="32"/>
          <w:highlight w:val="none"/>
        </w:rPr>
        <w:t>1台100t新型废钢预热高效电炉（2#）</w:t>
      </w:r>
      <w:r>
        <w:rPr>
          <w:rFonts w:hint="default" w:ascii="Times New Roman" w:hAnsi="Times New Roman" w:eastAsia="仿宋" w:cs="Times New Roman"/>
          <w:color w:val="auto"/>
          <w:sz w:val="32"/>
          <w:szCs w:val="32"/>
          <w:highlight w:val="none"/>
        </w:rPr>
        <w:t>，产能共计150万吨</w:t>
      </w:r>
      <w:r>
        <w:rPr>
          <w:rFonts w:hint="eastAsia" w:eastAsia="仿宋" w:cs="Times New Roman"/>
          <w:color w:val="auto"/>
          <w:sz w:val="32"/>
          <w:szCs w:val="32"/>
          <w:highlight w:val="none"/>
          <w:lang w:eastAsia="zh-CN"/>
        </w:rPr>
        <w:t>，</w:t>
      </w:r>
      <w:r>
        <w:rPr>
          <w:rFonts w:hint="eastAsia" w:eastAsia="仿宋" w:cs="Times New Roman"/>
          <w:color w:val="auto"/>
          <w:sz w:val="32"/>
          <w:szCs w:val="32"/>
          <w:highlight w:val="none"/>
          <w:lang w:val="en-US" w:eastAsia="zh-CN"/>
        </w:rPr>
        <w:t>建成后1#电炉处置利用企业自产的部分危险废物，处置规模为850t/a不变。</w:t>
      </w:r>
    </w:p>
    <w:p w14:paraId="6C7239A9">
      <w:pPr>
        <w:keepNext w:val="0"/>
        <w:keepLines w:val="0"/>
        <w:pageBreakBefore w:val="0"/>
        <w:widowControl w:val="0"/>
        <w:kinsoku/>
        <w:wordWrap/>
        <w:overflowPunct/>
        <w:topLinePunct w:val="0"/>
        <w:bidi w:val="0"/>
        <w:adjustRightInd w:val="0"/>
        <w:snapToGrid w:val="0"/>
        <w:spacing w:line="600" w:lineRule="exact"/>
        <w:ind w:left="0" w:leftChars="0" w:firstLine="68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rPr>
        <w:t>根据《产业结构调整指导目录（2024年本）》，</w:t>
      </w:r>
      <w:r>
        <w:rPr>
          <w:rFonts w:hint="default" w:ascii="Times New Roman" w:hAnsi="Times New Roman" w:eastAsia="仿宋" w:cs="Times New Roman"/>
          <w:color w:val="auto"/>
          <w:sz w:val="32"/>
          <w:szCs w:val="32"/>
          <w:highlight w:val="none"/>
          <w:lang w:val="en-US" w:eastAsia="zh-CN"/>
        </w:rPr>
        <w:t>本项目属于“</w:t>
      </w:r>
      <w:r>
        <w:rPr>
          <w:rFonts w:hint="eastAsia" w:eastAsia="仿宋" w:cs="Times New Roman"/>
          <w:color w:val="auto"/>
          <w:sz w:val="32"/>
          <w:szCs w:val="32"/>
          <w:highlight w:val="none"/>
          <w:lang w:val="en-US" w:eastAsia="zh-CN"/>
        </w:rPr>
        <w:t>鼓励</w:t>
      </w:r>
      <w:r>
        <w:rPr>
          <w:rFonts w:hint="default" w:ascii="Times New Roman" w:hAnsi="Times New Roman" w:eastAsia="仿宋" w:cs="Times New Roman"/>
          <w:color w:val="auto"/>
          <w:sz w:val="32"/>
          <w:szCs w:val="32"/>
          <w:highlight w:val="none"/>
          <w:lang w:val="en-US" w:eastAsia="zh-CN"/>
        </w:rPr>
        <w:t>类”，符合国家产业政策。在严格落实</w:t>
      </w:r>
      <w:r>
        <w:rPr>
          <w:rFonts w:hint="eastAsia" w:eastAsia="仿宋" w:cs="Times New Roman"/>
          <w:color w:val="auto"/>
          <w:sz w:val="32"/>
          <w:szCs w:val="32"/>
          <w:highlight w:val="none"/>
          <w:lang w:val="en-US" w:eastAsia="zh-CN"/>
        </w:rPr>
        <w:t>报告书</w:t>
      </w:r>
      <w:r>
        <w:rPr>
          <w:rFonts w:hint="default" w:ascii="Times New Roman" w:hAnsi="Times New Roman" w:eastAsia="仿宋" w:cs="Times New Roman"/>
          <w:color w:val="auto"/>
          <w:sz w:val="32"/>
          <w:szCs w:val="32"/>
          <w:highlight w:val="none"/>
          <w:lang w:val="en-US" w:eastAsia="zh-CN"/>
        </w:rPr>
        <w:t>和本批复提出的各项生态环境保护措施和环境风险防控措施后，从生态环境角度，同意环境影响</w:t>
      </w:r>
      <w:r>
        <w:rPr>
          <w:rFonts w:hint="eastAsia" w:eastAsia="仿宋" w:cs="Times New Roman"/>
          <w:color w:val="auto"/>
          <w:sz w:val="32"/>
          <w:szCs w:val="32"/>
          <w:highlight w:val="none"/>
          <w:lang w:val="en-US" w:eastAsia="zh-CN"/>
        </w:rPr>
        <w:t>报告书</w:t>
      </w:r>
      <w:r>
        <w:rPr>
          <w:rFonts w:hint="default" w:ascii="Times New Roman" w:hAnsi="Times New Roman" w:eastAsia="仿宋" w:cs="Times New Roman"/>
          <w:color w:val="auto"/>
          <w:sz w:val="32"/>
          <w:szCs w:val="32"/>
          <w:highlight w:val="none"/>
          <w:lang w:val="en-US" w:eastAsia="zh-CN"/>
        </w:rPr>
        <w:t>中所列建设项目</w:t>
      </w:r>
      <w:r>
        <w:rPr>
          <w:rFonts w:hint="default" w:ascii="Times New Roman" w:hAnsi="Times New Roman" w:eastAsia="仿宋" w:cs="Times New Roman"/>
          <w:color w:val="auto"/>
          <w:sz w:val="32"/>
          <w:szCs w:val="32"/>
          <w:highlight w:val="none"/>
          <w:lang w:val="zh-TW" w:eastAsia="zh-CN"/>
        </w:rPr>
        <w:t>地点、生产规模和环境保护措施进行建设。</w:t>
      </w:r>
    </w:p>
    <w:p w14:paraId="44A5433D">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黑体" w:cs="Times New Roman"/>
          <w:bCs w:val="0"/>
          <w:snapToGrid/>
          <w:color w:val="auto"/>
          <w:spacing w:val="0"/>
          <w:kern w:val="2"/>
          <w:sz w:val="32"/>
          <w:szCs w:val="32"/>
          <w:highlight w:val="none"/>
        </w:rPr>
      </w:pPr>
      <w:r>
        <w:rPr>
          <w:rFonts w:hint="default" w:ascii="Times New Roman" w:hAnsi="Times New Roman" w:eastAsia="黑体" w:cs="Times New Roman"/>
          <w:bCs w:val="0"/>
          <w:snapToGrid/>
          <w:color w:val="auto"/>
          <w:spacing w:val="0"/>
          <w:kern w:val="2"/>
          <w:sz w:val="32"/>
          <w:szCs w:val="32"/>
          <w:highlight w:val="none"/>
        </w:rPr>
        <w:t>二、项目建设应严格落实《</w:t>
      </w:r>
      <w:r>
        <w:rPr>
          <w:rFonts w:hint="eastAsia" w:eastAsia="黑体" w:cs="Times New Roman"/>
          <w:bCs w:val="0"/>
          <w:snapToGrid/>
          <w:color w:val="auto"/>
          <w:spacing w:val="0"/>
          <w:kern w:val="2"/>
          <w:sz w:val="32"/>
          <w:szCs w:val="32"/>
          <w:highlight w:val="none"/>
          <w:lang w:eastAsia="zh-CN"/>
        </w:rPr>
        <w:t>报告书</w:t>
      </w:r>
      <w:r>
        <w:rPr>
          <w:rFonts w:hint="default" w:ascii="Times New Roman" w:hAnsi="Times New Roman" w:eastAsia="黑体" w:cs="Times New Roman"/>
          <w:bCs w:val="0"/>
          <w:snapToGrid/>
          <w:color w:val="auto"/>
          <w:spacing w:val="0"/>
          <w:kern w:val="2"/>
          <w:sz w:val="32"/>
          <w:szCs w:val="32"/>
          <w:highlight w:val="none"/>
        </w:rPr>
        <w:t>》提出的各项环境保护措施和风险防控措施，重点做好以下工作：</w:t>
      </w:r>
    </w:p>
    <w:p w14:paraId="3E604F02">
      <w:pPr>
        <w:keepNext w:val="0"/>
        <w:keepLines w:val="0"/>
        <w:pageBreakBefore w:val="0"/>
        <w:widowControl w:val="0"/>
        <w:kinsoku/>
        <w:wordWrap/>
        <w:overflowPunct/>
        <w:topLinePunct w:val="0"/>
        <w:autoSpaceDE/>
        <w:autoSpaceDN/>
        <w:bidi w:val="0"/>
        <w:adjustRightInd w:val="0"/>
        <w:snapToGrid w:val="0"/>
        <w:spacing w:line="600" w:lineRule="exact"/>
        <w:ind w:firstLine="680" w:firstLineChars="200"/>
        <w:textAlignment w:val="auto"/>
        <w:rPr>
          <w:rFonts w:hint="default" w:ascii="Times New Roman" w:hAnsi="Times New Roman" w:eastAsia="仿宋" w:cs="Times New Roman"/>
          <w:bCs/>
          <w:snapToGrid w:val="0"/>
          <w:color w:val="000000"/>
          <w:spacing w:val="10"/>
          <w:sz w:val="32"/>
          <w:szCs w:val="32"/>
          <w:highlight w:val="none"/>
          <w:lang w:val="en-US" w:eastAsia="zh-CN" w:bidi="ar-SA"/>
        </w:rPr>
      </w:pPr>
      <w:r>
        <w:rPr>
          <w:rFonts w:hint="default" w:ascii="Times New Roman" w:hAnsi="Times New Roman" w:eastAsia="楷体" w:cs="Times New Roman"/>
          <w:b w:val="0"/>
          <w:bCs/>
          <w:sz w:val="32"/>
          <w:szCs w:val="32"/>
          <w:highlight w:val="none"/>
          <w:lang w:eastAsia="zh-CN"/>
        </w:rPr>
        <w:t>（</w:t>
      </w:r>
      <w:r>
        <w:rPr>
          <w:rFonts w:hint="default" w:ascii="Times New Roman" w:hAnsi="Times New Roman" w:eastAsia="楷体" w:cs="Times New Roman"/>
          <w:b w:val="0"/>
          <w:bCs/>
          <w:sz w:val="32"/>
          <w:szCs w:val="32"/>
          <w:highlight w:val="none"/>
          <w:lang w:val="en-US" w:eastAsia="zh-CN"/>
        </w:rPr>
        <w:t>一</w:t>
      </w:r>
      <w:r>
        <w:rPr>
          <w:rFonts w:hint="default" w:ascii="Times New Roman" w:hAnsi="Times New Roman" w:eastAsia="楷体" w:cs="Times New Roman"/>
          <w:b w:val="0"/>
          <w:bCs/>
          <w:sz w:val="32"/>
          <w:szCs w:val="32"/>
          <w:highlight w:val="none"/>
          <w:lang w:eastAsia="zh-CN"/>
        </w:rPr>
        <w:t>）</w:t>
      </w:r>
      <w:r>
        <w:rPr>
          <w:rFonts w:hint="default" w:ascii="Times New Roman" w:hAnsi="Times New Roman" w:eastAsia="楷体" w:cs="Times New Roman"/>
          <w:b w:val="0"/>
          <w:bCs/>
          <w:sz w:val="32"/>
          <w:szCs w:val="32"/>
          <w:highlight w:val="none"/>
          <w:lang w:val="en-US" w:eastAsia="zh-CN"/>
        </w:rPr>
        <w:t>严格落实施</w:t>
      </w:r>
      <w:r>
        <w:rPr>
          <w:rFonts w:hint="default" w:ascii="Times New Roman" w:hAnsi="Times New Roman" w:eastAsia="楷体" w:cs="Times New Roman"/>
          <w:bCs/>
          <w:snapToGrid w:val="0"/>
          <w:spacing w:val="10"/>
          <w:sz w:val="32"/>
          <w:szCs w:val="32"/>
          <w:highlight w:val="none"/>
          <w:lang w:val="en-US" w:eastAsia="zh-CN" w:bidi="ar-SA"/>
        </w:rPr>
        <w:t>工期污染防治措施。</w:t>
      </w:r>
      <w:r>
        <w:rPr>
          <w:rFonts w:hint="default" w:ascii="Times New Roman" w:hAnsi="Times New Roman" w:eastAsia="仿宋" w:cs="Times New Roman"/>
          <w:bCs w:val="0"/>
          <w:snapToGrid/>
          <w:spacing w:val="0"/>
          <w:kern w:val="2"/>
          <w:sz w:val="32"/>
          <w:szCs w:val="32"/>
          <w:highlight w:val="none"/>
          <w:lang w:val="en-US" w:eastAsia="zh-CN" w:bidi="ar-SA"/>
        </w:rPr>
        <w:t>施</w:t>
      </w:r>
      <w:r>
        <w:rPr>
          <w:rFonts w:hint="default" w:ascii="Times New Roman" w:hAnsi="Times New Roman" w:eastAsia="仿宋" w:cs="Times New Roman"/>
          <w:bCs/>
          <w:snapToGrid w:val="0"/>
          <w:color w:val="000000"/>
          <w:spacing w:val="10"/>
          <w:sz w:val="32"/>
          <w:szCs w:val="32"/>
          <w:highlight w:val="none"/>
          <w:lang w:val="en-US" w:eastAsia="zh-CN" w:bidi="ar-SA"/>
        </w:rPr>
        <w:t>工期</w:t>
      </w:r>
      <w:r>
        <w:rPr>
          <w:rFonts w:hint="eastAsia" w:ascii="Times New Roman" w:hAnsi="Times New Roman" w:eastAsia="仿宋" w:cs="Times New Roman"/>
          <w:b w:val="0"/>
          <w:bCs/>
          <w:color w:val="000000"/>
          <w:sz w:val="32"/>
          <w:szCs w:val="32"/>
          <w:highlight w:val="none"/>
          <w:lang w:val="en-US" w:eastAsia="zh-CN" w:bidi="ar"/>
        </w:rPr>
        <w:t>运输车辆全封闭覆盖</w:t>
      </w:r>
      <w:r>
        <w:rPr>
          <w:rFonts w:hint="eastAsia" w:ascii="Times New Roman" w:hAnsi="Times New Roman" w:eastAsia="仿宋" w:cs="Times New Roman"/>
          <w:bCs/>
          <w:snapToGrid w:val="0"/>
          <w:spacing w:val="10"/>
          <w:sz w:val="32"/>
          <w:szCs w:val="32"/>
          <w:highlight w:val="none"/>
          <w:lang w:val="en-US" w:eastAsia="zh-CN" w:bidi="ar-SA"/>
        </w:rPr>
        <w:t>，</w:t>
      </w:r>
      <w:r>
        <w:rPr>
          <w:rFonts w:hint="eastAsia" w:ascii="Times New Roman" w:hAnsi="Times New Roman" w:eastAsia="仿宋" w:cs="Times New Roman"/>
          <w:bCs/>
          <w:snapToGrid w:val="0"/>
          <w:color w:val="000000"/>
          <w:spacing w:val="10"/>
          <w:sz w:val="32"/>
          <w:szCs w:val="32"/>
          <w:highlight w:val="none"/>
          <w:lang w:val="en-US" w:eastAsia="zh-CN" w:bidi="ar-SA"/>
        </w:rPr>
        <w:t>采取定期洒水等措施</w:t>
      </w:r>
      <w:r>
        <w:rPr>
          <w:rFonts w:hint="default" w:ascii="Times New Roman" w:hAnsi="Times New Roman" w:eastAsia="仿宋" w:cs="Times New Roman"/>
          <w:bCs/>
          <w:snapToGrid w:val="0"/>
          <w:color w:val="000000"/>
          <w:spacing w:val="10"/>
          <w:sz w:val="32"/>
          <w:szCs w:val="32"/>
          <w:highlight w:val="none"/>
          <w:lang w:val="en-US" w:eastAsia="zh-CN" w:bidi="ar-SA"/>
        </w:rPr>
        <w:t>后，施工期扬尘排放浓度应满足《施</w:t>
      </w:r>
      <w:r>
        <w:rPr>
          <w:rFonts w:hint="default" w:ascii="Times New Roman" w:hAnsi="Times New Roman" w:eastAsia="仿宋" w:cs="Times New Roman"/>
          <w:bCs w:val="0"/>
          <w:snapToGrid/>
          <w:spacing w:val="0"/>
          <w:kern w:val="2"/>
          <w:sz w:val="32"/>
          <w:szCs w:val="32"/>
          <w:highlight w:val="none"/>
          <w:lang w:val="en-US" w:eastAsia="zh-CN" w:bidi="ar-SA"/>
        </w:rPr>
        <w:t>工及堆料场地扬尘排</w:t>
      </w:r>
      <w:r>
        <w:rPr>
          <w:rFonts w:hint="default" w:ascii="Times New Roman" w:hAnsi="Times New Roman" w:eastAsia="仿宋" w:cs="Times New Roman"/>
          <w:bCs/>
          <w:snapToGrid/>
          <w:color w:val="auto"/>
          <w:spacing w:val="10"/>
          <w:kern w:val="0"/>
          <w:sz w:val="32"/>
          <w:szCs w:val="32"/>
          <w:highlight w:val="none"/>
          <w:lang w:val="en-US" w:eastAsia="zh-CN" w:bidi="ar"/>
        </w:rPr>
        <w:t>放标准》(DB21/2642-2016)中扬尘排放浓度限值要求；施工废</w:t>
      </w:r>
      <w:r>
        <w:rPr>
          <w:rFonts w:hint="eastAsia" w:ascii="Times New Roman" w:hAnsi="Times New Roman" w:eastAsia="仿宋" w:cs="Times New Roman"/>
          <w:bCs/>
          <w:snapToGrid/>
          <w:color w:val="auto"/>
          <w:spacing w:val="10"/>
          <w:kern w:val="0"/>
          <w:sz w:val="32"/>
          <w:szCs w:val="32"/>
          <w:highlight w:val="none"/>
          <w:lang w:val="en-US" w:eastAsia="zh-CN" w:bidi="ar"/>
        </w:rPr>
        <w:t>水</w:t>
      </w:r>
      <w:r>
        <w:rPr>
          <w:rFonts w:hint="default" w:ascii="Times New Roman" w:hAnsi="Times New Roman" w:eastAsia="仿宋" w:cs="Times New Roman"/>
          <w:bCs/>
          <w:snapToGrid/>
          <w:color w:val="auto"/>
          <w:spacing w:val="10"/>
          <w:kern w:val="0"/>
          <w:sz w:val="32"/>
          <w:szCs w:val="32"/>
          <w:highlight w:val="none"/>
          <w:lang w:val="en-US" w:eastAsia="zh-CN" w:bidi="ar"/>
        </w:rPr>
        <w:t>经</w:t>
      </w:r>
      <w:r>
        <w:rPr>
          <w:rFonts w:hint="eastAsia" w:ascii="Times New Roman" w:hAnsi="Times New Roman" w:eastAsia="仿宋" w:cs="Times New Roman"/>
          <w:bCs/>
          <w:snapToGrid/>
          <w:color w:val="auto"/>
          <w:spacing w:val="10"/>
          <w:kern w:val="0"/>
          <w:sz w:val="32"/>
          <w:szCs w:val="32"/>
          <w:highlight w:val="none"/>
          <w:lang w:val="en-US" w:eastAsia="zh-CN" w:bidi="ar"/>
        </w:rPr>
        <w:t>废水沉淀池</w:t>
      </w:r>
      <w:r>
        <w:rPr>
          <w:rFonts w:hint="default" w:ascii="Times New Roman" w:hAnsi="Times New Roman" w:eastAsia="仿宋" w:cs="Times New Roman"/>
          <w:bCs/>
          <w:snapToGrid/>
          <w:color w:val="auto"/>
          <w:spacing w:val="10"/>
          <w:kern w:val="0"/>
          <w:sz w:val="32"/>
          <w:szCs w:val="32"/>
          <w:highlight w:val="none"/>
          <w:lang w:val="en-US" w:eastAsia="zh-CN" w:bidi="ar"/>
        </w:rPr>
        <w:t>沉淀处理后回用，不外排</w:t>
      </w:r>
      <w:r>
        <w:rPr>
          <w:rFonts w:hint="eastAsia" w:ascii="Times New Roman" w:hAnsi="Times New Roman" w:eastAsia="仿宋" w:cs="Times New Roman"/>
          <w:bCs/>
          <w:snapToGrid/>
          <w:color w:val="auto"/>
          <w:spacing w:val="10"/>
          <w:kern w:val="0"/>
          <w:sz w:val="32"/>
          <w:szCs w:val="32"/>
          <w:highlight w:val="none"/>
          <w:lang w:val="en-US" w:eastAsia="zh-CN" w:bidi="ar"/>
        </w:rPr>
        <w:t>，</w:t>
      </w:r>
      <w:r>
        <w:rPr>
          <w:rFonts w:hint="default" w:ascii="Times New Roman" w:hAnsi="Times New Roman" w:eastAsia="仿宋" w:cs="Times New Roman"/>
          <w:bCs/>
          <w:snapToGrid/>
          <w:color w:val="auto"/>
          <w:spacing w:val="10"/>
          <w:kern w:val="0"/>
          <w:sz w:val="32"/>
          <w:szCs w:val="32"/>
          <w:highlight w:val="none"/>
          <w:lang w:val="en-US" w:eastAsia="zh-CN" w:bidi="ar"/>
        </w:rPr>
        <w:t>施工人员生活污水</w:t>
      </w:r>
      <w:r>
        <w:rPr>
          <w:rFonts w:hint="eastAsia" w:eastAsia="仿宋" w:cs="Times New Roman"/>
          <w:bCs/>
          <w:snapToGrid/>
          <w:color w:val="auto"/>
          <w:spacing w:val="10"/>
          <w:kern w:val="0"/>
          <w:sz w:val="32"/>
          <w:szCs w:val="32"/>
          <w:highlight w:val="none"/>
          <w:lang w:val="en-US" w:eastAsia="zh-CN" w:bidi="ar"/>
        </w:rPr>
        <w:t>依托厂区现有措施</w:t>
      </w:r>
      <w:r>
        <w:rPr>
          <w:rFonts w:hint="default" w:ascii="Times New Roman" w:hAnsi="Times New Roman" w:eastAsia="仿宋" w:cs="Times New Roman"/>
          <w:bCs/>
          <w:snapToGrid/>
          <w:color w:val="auto"/>
          <w:spacing w:val="10"/>
          <w:kern w:val="0"/>
          <w:sz w:val="32"/>
          <w:szCs w:val="32"/>
          <w:highlight w:val="none"/>
          <w:lang w:val="en-US" w:eastAsia="zh-CN" w:bidi="ar"/>
        </w:rPr>
        <w:t>；施工期噪声通过</w:t>
      </w:r>
      <w:r>
        <w:rPr>
          <w:rFonts w:hint="default" w:ascii="Times New Roman" w:hAnsi="Times New Roman" w:eastAsia="仿宋" w:cs="Times New Roman"/>
          <w:bCs/>
          <w:snapToGrid/>
          <w:color w:val="auto"/>
          <w:spacing w:val="10"/>
          <w:kern w:val="0"/>
          <w:sz w:val="32"/>
          <w:szCs w:val="32"/>
          <w:highlight w:val="none"/>
          <w:lang w:val="zh-CN" w:eastAsia="zh-CN" w:bidi="ar"/>
        </w:rPr>
        <w:t>选择</w:t>
      </w:r>
      <w:r>
        <w:rPr>
          <w:rFonts w:hint="eastAsia" w:ascii="Times New Roman" w:hAnsi="Times New Roman" w:eastAsia="仿宋" w:cs="Times New Roman"/>
          <w:bCs/>
          <w:snapToGrid/>
          <w:color w:val="auto"/>
          <w:spacing w:val="10"/>
          <w:kern w:val="0"/>
          <w:sz w:val="32"/>
          <w:szCs w:val="32"/>
          <w:highlight w:val="none"/>
          <w:lang w:val="en-US" w:eastAsia="zh-CN" w:bidi="ar"/>
        </w:rPr>
        <w:t>低噪声</w:t>
      </w:r>
      <w:r>
        <w:rPr>
          <w:rFonts w:hint="default" w:ascii="Times New Roman" w:hAnsi="Times New Roman" w:eastAsia="仿宋" w:cs="Times New Roman"/>
          <w:bCs/>
          <w:snapToGrid/>
          <w:color w:val="auto"/>
          <w:spacing w:val="10"/>
          <w:kern w:val="0"/>
          <w:sz w:val="32"/>
          <w:szCs w:val="32"/>
          <w:highlight w:val="none"/>
          <w:lang w:val="zh-CN" w:eastAsia="zh-CN" w:bidi="ar"/>
        </w:rPr>
        <w:t>施工设备</w:t>
      </w:r>
      <w:r>
        <w:rPr>
          <w:rFonts w:hint="default" w:ascii="Times New Roman" w:hAnsi="Times New Roman" w:eastAsia="仿宋" w:cs="Times New Roman"/>
          <w:bCs/>
          <w:snapToGrid/>
          <w:color w:val="auto"/>
          <w:spacing w:val="10"/>
          <w:kern w:val="0"/>
          <w:sz w:val="32"/>
          <w:szCs w:val="32"/>
          <w:highlight w:val="none"/>
          <w:lang w:val="en-US" w:eastAsia="zh-CN" w:bidi="ar"/>
        </w:rPr>
        <w:t>，</w:t>
      </w:r>
      <w:r>
        <w:rPr>
          <w:rFonts w:hint="default" w:ascii="Times New Roman" w:hAnsi="Times New Roman" w:eastAsia="仿宋" w:cs="Times New Roman"/>
          <w:bCs/>
          <w:snapToGrid/>
          <w:color w:val="auto"/>
          <w:spacing w:val="10"/>
          <w:kern w:val="0"/>
          <w:sz w:val="32"/>
          <w:szCs w:val="32"/>
          <w:highlight w:val="none"/>
          <w:lang w:val="zh-CN" w:eastAsia="zh-CN" w:bidi="ar"/>
        </w:rPr>
        <w:t>设操作棚或临</w:t>
      </w:r>
      <w:r>
        <w:rPr>
          <w:rFonts w:hint="default" w:ascii="Times New Roman" w:hAnsi="Times New Roman" w:eastAsia="仿宋" w:cs="Times New Roman"/>
          <w:bCs/>
          <w:snapToGrid/>
          <w:spacing w:val="10"/>
          <w:sz w:val="32"/>
          <w:szCs w:val="32"/>
          <w:highlight w:val="none"/>
          <w:lang w:val="zh-CN" w:eastAsia="zh-CN" w:bidi="ar"/>
        </w:rPr>
        <w:t>时声障</w:t>
      </w:r>
      <w:r>
        <w:rPr>
          <w:rFonts w:hint="eastAsia" w:ascii="Times New Roman" w:hAnsi="Times New Roman" w:eastAsia="仿宋" w:cs="Times New Roman"/>
          <w:bCs/>
          <w:snapToGrid w:val="0"/>
          <w:color w:val="000000"/>
          <w:spacing w:val="10"/>
          <w:sz w:val="32"/>
          <w:szCs w:val="32"/>
          <w:highlight w:val="none"/>
          <w:lang w:val="en-US" w:eastAsia="zh-CN" w:bidi="ar-SA"/>
        </w:rPr>
        <w:t>，</w:t>
      </w:r>
      <w:r>
        <w:rPr>
          <w:rFonts w:hint="eastAsia" w:eastAsia="仿宋" w:cs="Times New Roman"/>
          <w:bCs/>
          <w:snapToGrid w:val="0"/>
          <w:color w:val="000000"/>
          <w:spacing w:val="10"/>
          <w:sz w:val="32"/>
          <w:szCs w:val="32"/>
          <w:highlight w:val="none"/>
          <w:lang w:val="en-US" w:eastAsia="zh-CN" w:bidi="ar-SA"/>
        </w:rPr>
        <w:t>禁止</w:t>
      </w:r>
      <w:r>
        <w:rPr>
          <w:rFonts w:hint="eastAsia" w:ascii="Times New Roman" w:hAnsi="Times New Roman" w:eastAsia="仿宋" w:cs="Times New Roman"/>
          <w:bCs/>
          <w:snapToGrid w:val="0"/>
          <w:color w:val="000000"/>
          <w:spacing w:val="10"/>
          <w:sz w:val="32"/>
          <w:szCs w:val="32"/>
          <w:highlight w:val="none"/>
          <w:lang w:val="en-US" w:eastAsia="zh-CN" w:bidi="ar-SA"/>
        </w:rPr>
        <w:t>夜间施工</w:t>
      </w:r>
      <w:r>
        <w:rPr>
          <w:rFonts w:hint="default" w:ascii="Times New Roman" w:hAnsi="Times New Roman" w:eastAsia="仿宋" w:cs="Times New Roman"/>
          <w:bCs/>
          <w:snapToGrid w:val="0"/>
          <w:color w:val="000000"/>
          <w:spacing w:val="10"/>
          <w:sz w:val="32"/>
          <w:szCs w:val="32"/>
          <w:highlight w:val="none"/>
          <w:lang w:val="en-US" w:eastAsia="zh-CN" w:bidi="ar-SA"/>
        </w:rPr>
        <w:t>，施工</w:t>
      </w:r>
      <w:r>
        <w:rPr>
          <w:rFonts w:hint="eastAsia" w:eastAsia="仿宋" w:cs="Times New Roman"/>
          <w:bCs/>
          <w:snapToGrid w:val="0"/>
          <w:color w:val="000000"/>
          <w:spacing w:val="10"/>
          <w:sz w:val="32"/>
          <w:szCs w:val="32"/>
          <w:highlight w:val="none"/>
          <w:lang w:val="en-US" w:eastAsia="zh-CN" w:bidi="ar-SA"/>
        </w:rPr>
        <w:t>厂</w:t>
      </w:r>
      <w:r>
        <w:rPr>
          <w:rFonts w:hint="default" w:ascii="Times New Roman" w:hAnsi="Times New Roman" w:eastAsia="仿宋" w:cs="Times New Roman"/>
          <w:bCs/>
          <w:snapToGrid w:val="0"/>
          <w:color w:val="000000"/>
          <w:spacing w:val="10"/>
          <w:sz w:val="32"/>
          <w:szCs w:val="32"/>
          <w:highlight w:val="none"/>
          <w:lang w:val="en-US" w:eastAsia="zh-CN" w:bidi="ar-SA"/>
        </w:rPr>
        <w:t>界噪声应满足《建筑施工场界环境噪声排放标准》(GB12523-2011)相关限值要求；施工期产生的</w:t>
      </w:r>
      <w:r>
        <w:rPr>
          <w:rFonts w:hint="default" w:ascii="Times New Roman" w:hAnsi="Times New Roman" w:eastAsia="仿宋" w:cs="Times New Roman"/>
          <w:bCs/>
          <w:snapToGrid w:val="0"/>
          <w:spacing w:val="10"/>
          <w:kern w:val="0"/>
          <w:sz w:val="32"/>
          <w:szCs w:val="32"/>
          <w:highlight w:val="none"/>
          <w:lang w:val="zh-CN" w:eastAsia="zh-CN" w:bidi="ar"/>
        </w:rPr>
        <w:t>现有设施拆除</w:t>
      </w:r>
      <w:r>
        <w:rPr>
          <w:rFonts w:hint="eastAsia" w:eastAsia="仿宋" w:cs="Times New Roman"/>
          <w:bCs/>
          <w:snapToGrid w:val="0"/>
          <w:spacing w:val="10"/>
          <w:kern w:val="0"/>
          <w:sz w:val="32"/>
          <w:szCs w:val="32"/>
          <w:highlight w:val="none"/>
          <w:lang w:val="en-US" w:eastAsia="zh-CN" w:bidi="ar"/>
        </w:rPr>
        <w:t>耐火材料由耐材承包商回收再利用，</w:t>
      </w:r>
      <w:r>
        <w:rPr>
          <w:rFonts w:hint="default" w:ascii="Times New Roman" w:hAnsi="Times New Roman" w:eastAsia="仿宋" w:cs="Times New Roman"/>
          <w:bCs/>
          <w:snapToGrid w:val="0"/>
          <w:spacing w:val="10"/>
          <w:kern w:val="0"/>
          <w:sz w:val="32"/>
          <w:szCs w:val="32"/>
          <w:highlight w:val="none"/>
          <w:lang w:val="zh-CN" w:eastAsia="zh-CN" w:bidi="ar"/>
        </w:rPr>
        <w:t>施工产生的废砖头、废沙土及废木料均送至</w:t>
      </w:r>
      <w:r>
        <w:rPr>
          <w:rFonts w:hint="eastAsia" w:eastAsia="仿宋" w:cs="Times New Roman"/>
          <w:bCs/>
          <w:snapToGrid w:val="0"/>
          <w:spacing w:val="10"/>
          <w:kern w:val="0"/>
          <w:sz w:val="32"/>
          <w:szCs w:val="32"/>
          <w:highlight w:val="none"/>
          <w:lang w:val="en-US" w:eastAsia="zh-CN" w:bidi="ar"/>
        </w:rPr>
        <w:t>市政部门指定地点处理</w:t>
      </w:r>
      <w:r>
        <w:rPr>
          <w:rFonts w:hint="default" w:ascii="Times New Roman" w:hAnsi="Times New Roman" w:eastAsia="仿宋" w:cs="Times New Roman"/>
          <w:bCs/>
          <w:snapToGrid w:val="0"/>
          <w:spacing w:val="10"/>
          <w:kern w:val="0"/>
          <w:sz w:val="32"/>
          <w:szCs w:val="32"/>
          <w:highlight w:val="none"/>
          <w:lang w:val="zh-CN" w:eastAsia="zh-CN" w:bidi="ar"/>
        </w:rPr>
        <w:t>，废钢筋等可外售综合利用</w:t>
      </w:r>
      <w:r>
        <w:rPr>
          <w:rFonts w:hint="eastAsia" w:eastAsia="仿宋" w:cs="Times New Roman"/>
          <w:bCs/>
          <w:snapToGrid w:val="0"/>
          <w:color w:val="000000"/>
          <w:spacing w:val="10"/>
          <w:sz w:val="32"/>
          <w:szCs w:val="32"/>
          <w:highlight w:val="none"/>
          <w:lang w:val="en-US" w:eastAsia="zh-CN" w:bidi="ar-SA"/>
        </w:rPr>
        <w:t>，</w:t>
      </w:r>
      <w:r>
        <w:rPr>
          <w:rFonts w:hint="default" w:ascii="Times New Roman" w:hAnsi="Times New Roman" w:eastAsia="仿宋" w:cs="Times New Roman"/>
          <w:bCs/>
          <w:snapToGrid w:val="0"/>
          <w:color w:val="000000"/>
          <w:spacing w:val="10"/>
          <w:sz w:val="32"/>
          <w:szCs w:val="32"/>
          <w:highlight w:val="none"/>
          <w:lang w:val="en-US" w:eastAsia="zh-CN" w:bidi="ar-SA"/>
        </w:rPr>
        <w:t>施工期生活垃圾</w:t>
      </w:r>
      <w:r>
        <w:rPr>
          <w:rFonts w:hint="default" w:ascii="Times New Roman" w:hAnsi="Times New Roman" w:eastAsia="仿宋" w:cs="Times New Roman"/>
          <w:bCs/>
          <w:snapToGrid w:val="0"/>
          <w:spacing w:val="10"/>
          <w:kern w:val="0"/>
          <w:sz w:val="32"/>
          <w:szCs w:val="32"/>
          <w:highlight w:val="none"/>
          <w:lang w:val="zh-CN" w:eastAsia="zh-CN" w:bidi="ar"/>
        </w:rPr>
        <w:t>收集后由环卫部门统一清运</w:t>
      </w:r>
      <w:r>
        <w:rPr>
          <w:rFonts w:hint="default" w:ascii="Times New Roman" w:hAnsi="Times New Roman" w:eastAsia="仿宋" w:cs="Times New Roman"/>
          <w:bCs/>
          <w:snapToGrid w:val="0"/>
          <w:color w:val="000000"/>
          <w:spacing w:val="10"/>
          <w:sz w:val="32"/>
          <w:szCs w:val="32"/>
          <w:highlight w:val="none"/>
          <w:lang w:val="en-US" w:eastAsia="zh-CN" w:bidi="ar-SA"/>
        </w:rPr>
        <w:t>。</w:t>
      </w:r>
    </w:p>
    <w:p w14:paraId="0434A8E2">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仿宋" w:cs="Times New Roman"/>
          <w:bCs/>
          <w:snapToGrid w:val="0"/>
          <w:color w:val="auto"/>
          <w:spacing w:val="10"/>
          <w:kern w:val="0"/>
          <w:sz w:val="32"/>
          <w:szCs w:val="32"/>
          <w:highlight w:val="none"/>
          <w:lang w:val="en-US" w:eastAsia="zh-CN" w:bidi="ar"/>
        </w:rPr>
      </w:pPr>
      <w:r>
        <w:rPr>
          <w:rFonts w:hint="default" w:ascii="Times New Roman" w:hAnsi="Times New Roman" w:eastAsia="楷体" w:cs="Times New Roman"/>
          <w:bCs w:val="0"/>
          <w:snapToGrid/>
          <w:color w:val="auto"/>
          <w:spacing w:val="0"/>
          <w:kern w:val="2"/>
          <w:sz w:val="32"/>
          <w:szCs w:val="32"/>
          <w:highlight w:val="none"/>
          <w:lang w:val="en-US" w:eastAsia="zh-CN" w:bidi="ar-SA"/>
        </w:rPr>
        <w:t>（二）</w:t>
      </w:r>
      <w:r>
        <w:rPr>
          <w:rFonts w:hint="default" w:ascii="Times New Roman" w:hAnsi="Times New Roman" w:eastAsia="楷体" w:cs="Times New Roman"/>
          <w:b w:val="0"/>
          <w:bCs/>
          <w:sz w:val="32"/>
          <w:szCs w:val="32"/>
          <w:highlight w:val="none"/>
          <w:lang w:eastAsia="zh-CN"/>
        </w:rPr>
        <w:t>严格落实大气污染防治措施。</w:t>
      </w:r>
      <w:r>
        <w:rPr>
          <w:rFonts w:hint="default" w:ascii="Times New Roman" w:hAnsi="Times New Roman" w:eastAsia="仿宋" w:cs="Times New Roman"/>
          <w:bCs/>
          <w:snapToGrid w:val="0"/>
          <w:color w:val="auto"/>
          <w:spacing w:val="10"/>
          <w:sz w:val="32"/>
          <w:szCs w:val="32"/>
          <w:highlight w:val="none"/>
          <w:lang w:val="en-US" w:eastAsia="zh-CN" w:bidi="ar"/>
        </w:rPr>
        <w:t>运</w:t>
      </w:r>
      <w:r>
        <w:rPr>
          <w:rFonts w:hint="default" w:ascii="Times New Roman" w:hAnsi="Times New Roman" w:eastAsia="仿宋" w:cs="Times New Roman"/>
          <w:bCs/>
          <w:snapToGrid w:val="0"/>
          <w:color w:val="auto"/>
          <w:spacing w:val="10"/>
          <w:kern w:val="0"/>
          <w:sz w:val="32"/>
          <w:szCs w:val="32"/>
          <w:highlight w:val="none"/>
          <w:lang w:val="en-US" w:eastAsia="zh-CN" w:bidi="ar"/>
        </w:rPr>
        <w:t>营期</w:t>
      </w:r>
      <w:r>
        <w:rPr>
          <w:rFonts w:hint="eastAsia" w:eastAsia="仿宋" w:cs="Times New Roman"/>
          <w:bCs/>
          <w:snapToGrid w:val="0"/>
          <w:color w:val="auto"/>
          <w:spacing w:val="10"/>
          <w:kern w:val="0"/>
          <w:sz w:val="32"/>
          <w:szCs w:val="32"/>
          <w:highlight w:val="none"/>
          <w:lang w:val="en-US" w:eastAsia="zh-CN" w:bidi="ar"/>
        </w:rPr>
        <w:t>1#</w:t>
      </w:r>
      <w:r>
        <w:rPr>
          <w:rFonts w:hint="default" w:ascii="Times New Roman" w:hAnsi="Times New Roman" w:eastAsia="仿宋" w:cs="Times New Roman"/>
          <w:bCs/>
          <w:snapToGrid w:val="0"/>
          <w:color w:val="auto"/>
          <w:spacing w:val="10"/>
          <w:kern w:val="0"/>
          <w:sz w:val="32"/>
          <w:szCs w:val="32"/>
          <w:highlight w:val="none"/>
          <w:lang w:val="zh-CN" w:eastAsia="zh-CN" w:bidi="ar"/>
        </w:rPr>
        <w:t>电炉</w:t>
      </w:r>
      <w:r>
        <w:rPr>
          <w:rFonts w:hint="eastAsia" w:eastAsia="仿宋" w:cs="Times New Roman"/>
          <w:bCs/>
          <w:snapToGrid w:val="0"/>
          <w:color w:val="auto"/>
          <w:spacing w:val="10"/>
          <w:kern w:val="0"/>
          <w:sz w:val="32"/>
          <w:szCs w:val="32"/>
          <w:highlight w:val="none"/>
          <w:lang w:val="zh-CN" w:eastAsia="zh-CN" w:bidi="ar"/>
        </w:rPr>
        <w:t>、</w:t>
      </w:r>
      <w:r>
        <w:rPr>
          <w:rFonts w:hint="eastAsia" w:eastAsia="仿宋" w:cs="Times New Roman"/>
          <w:bCs/>
          <w:snapToGrid w:val="0"/>
          <w:color w:val="auto"/>
          <w:spacing w:val="10"/>
          <w:kern w:val="0"/>
          <w:sz w:val="32"/>
          <w:szCs w:val="32"/>
          <w:highlight w:val="none"/>
          <w:lang w:val="en-US" w:eastAsia="zh-CN" w:bidi="ar"/>
        </w:rPr>
        <w:t>铁水倒罐站、精炼系统、连铸系统以及炉渣间切割过程产生的废气均依托现有措施。</w:t>
      </w:r>
      <w:r>
        <w:rPr>
          <w:rFonts w:hint="eastAsia" w:ascii="Times New Roman" w:hAnsi="Times New Roman" w:eastAsia="仿宋" w:cs="Times New Roman"/>
          <w:bCs/>
          <w:snapToGrid w:val="0"/>
          <w:color w:val="auto"/>
          <w:spacing w:val="10"/>
          <w:sz w:val="32"/>
          <w:szCs w:val="32"/>
          <w:highlight w:val="none"/>
          <w:lang w:val="en-US" w:eastAsia="zh-CN" w:bidi="ar"/>
        </w:rPr>
        <w:t>1#电炉、2#电炉一次烟气</w:t>
      </w:r>
      <w:r>
        <w:rPr>
          <w:rFonts w:hint="eastAsia" w:eastAsia="仿宋" w:cs="Times New Roman"/>
          <w:bCs/>
          <w:snapToGrid w:val="0"/>
          <w:color w:val="auto"/>
          <w:spacing w:val="10"/>
          <w:sz w:val="32"/>
          <w:szCs w:val="32"/>
          <w:highlight w:val="none"/>
          <w:lang w:val="en-US" w:eastAsia="zh-CN" w:bidi="ar"/>
        </w:rPr>
        <w:t>分别</w:t>
      </w:r>
      <w:r>
        <w:rPr>
          <w:rFonts w:hint="eastAsia" w:ascii="Times New Roman" w:hAnsi="Times New Roman" w:eastAsia="仿宋" w:cs="Times New Roman"/>
          <w:bCs/>
          <w:snapToGrid w:val="0"/>
          <w:color w:val="auto"/>
          <w:spacing w:val="10"/>
          <w:sz w:val="32"/>
          <w:szCs w:val="32"/>
          <w:highlight w:val="none"/>
          <w:lang w:val="en-US" w:eastAsia="zh-CN" w:bidi="ar"/>
        </w:rPr>
        <w:t>通过竖井烟气管道引出，经燃烧室、急冷室、水冷烟道冷却，二次烟气采用集尘罩+屋顶罩捕集，一次烟气和二次烟气经混合器混合后，进入各自配套的脉冲袋式除尘器</w:t>
      </w:r>
      <w:r>
        <w:rPr>
          <w:rFonts w:hint="eastAsia" w:eastAsia="仿宋" w:cs="Times New Roman"/>
          <w:bCs/>
          <w:snapToGrid w:val="0"/>
          <w:color w:val="auto"/>
          <w:spacing w:val="10"/>
          <w:sz w:val="32"/>
          <w:szCs w:val="32"/>
          <w:highlight w:val="none"/>
          <w:lang w:val="en-US" w:eastAsia="zh-CN" w:bidi="ar"/>
        </w:rPr>
        <w:t>（TA001、TA002）</w:t>
      </w:r>
      <w:r>
        <w:rPr>
          <w:rFonts w:hint="eastAsia" w:ascii="Times New Roman" w:hAnsi="Times New Roman" w:eastAsia="仿宋" w:cs="Times New Roman"/>
          <w:bCs/>
          <w:snapToGrid w:val="0"/>
          <w:color w:val="auto"/>
          <w:spacing w:val="10"/>
          <w:sz w:val="32"/>
          <w:szCs w:val="32"/>
          <w:highlight w:val="none"/>
          <w:lang w:val="en-US" w:eastAsia="zh-CN" w:bidi="ar"/>
        </w:rPr>
        <w:t>净化后，经风机分别引至60m高排气筒</w:t>
      </w:r>
      <w:r>
        <w:rPr>
          <w:rFonts w:hint="eastAsia" w:eastAsia="仿宋" w:cs="Times New Roman"/>
          <w:bCs/>
          <w:snapToGrid w:val="0"/>
          <w:color w:val="auto"/>
          <w:spacing w:val="10"/>
          <w:sz w:val="32"/>
          <w:szCs w:val="32"/>
          <w:highlight w:val="none"/>
          <w:lang w:val="en-US" w:eastAsia="zh-CN" w:bidi="ar"/>
        </w:rPr>
        <w:t>（DA001、DA002）</w:t>
      </w:r>
      <w:r>
        <w:rPr>
          <w:rFonts w:hint="eastAsia" w:ascii="Times New Roman" w:hAnsi="Times New Roman" w:eastAsia="仿宋" w:cs="Times New Roman"/>
          <w:bCs/>
          <w:snapToGrid w:val="0"/>
          <w:color w:val="auto"/>
          <w:spacing w:val="10"/>
          <w:sz w:val="32"/>
          <w:szCs w:val="32"/>
          <w:highlight w:val="none"/>
          <w:lang w:val="en-US" w:eastAsia="zh-CN" w:bidi="ar"/>
        </w:rPr>
        <w:t>排放；铁水倒罐站产尘点经集尘罩收集，进入脉冲袋式除尘器</w:t>
      </w:r>
      <w:r>
        <w:rPr>
          <w:rFonts w:hint="eastAsia" w:eastAsia="仿宋" w:cs="Times New Roman"/>
          <w:bCs/>
          <w:snapToGrid w:val="0"/>
          <w:color w:val="auto"/>
          <w:spacing w:val="10"/>
          <w:sz w:val="32"/>
          <w:szCs w:val="32"/>
          <w:highlight w:val="none"/>
          <w:lang w:val="en-US" w:eastAsia="zh-CN" w:bidi="ar"/>
        </w:rPr>
        <w:t>（TA003）</w:t>
      </w:r>
      <w:r>
        <w:rPr>
          <w:rFonts w:hint="eastAsia" w:ascii="Times New Roman" w:hAnsi="Times New Roman" w:eastAsia="仿宋" w:cs="Times New Roman"/>
          <w:bCs/>
          <w:snapToGrid w:val="0"/>
          <w:color w:val="auto"/>
          <w:spacing w:val="10"/>
          <w:sz w:val="32"/>
          <w:szCs w:val="32"/>
          <w:highlight w:val="none"/>
          <w:lang w:val="en-US" w:eastAsia="zh-CN" w:bidi="ar"/>
        </w:rPr>
        <w:t>净化后，经风机引至54m高排气筒</w:t>
      </w:r>
      <w:r>
        <w:rPr>
          <w:rFonts w:hint="eastAsia" w:eastAsia="仿宋" w:cs="Times New Roman"/>
          <w:bCs/>
          <w:snapToGrid w:val="0"/>
          <w:color w:val="auto"/>
          <w:spacing w:val="10"/>
          <w:sz w:val="32"/>
          <w:szCs w:val="32"/>
          <w:highlight w:val="none"/>
          <w:lang w:val="en-US" w:eastAsia="zh-CN" w:bidi="ar"/>
        </w:rPr>
        <w:t>（DA003）</w:t>
      </w:r>
      <w:r>
        <w:rPr>
          <w:rFonts w:hint="eastAsia" w:ascii="Times New Roman" w:hAnsi="Times New Roman" w:eastAsia="仿宋" w:cs="Times New Roman"/>
          <w:bCs/>
          <w:snapToGrid w:val="0"/>
          <w:color w:val="auto"/>
          <w:spacing w:val="10"/>
          <w:sz w:val="32"/>
          <w:szCs w:val="32"/>
          <w:highlight w:val="none"/>
          <w:lang w:val="en-US" w:eastAsia="zh-CN" w:bidi="ar"/>
        </w:rPr>
        <w:t>排放；</w:t>
      </w:r>
      <w:r>
        <w:rPr>
          <w:rFonts w:hint="eastAsia" w:ascii="Times New Roman" w:hAnsi="Times New Roman" w:eastAsia="仿宋" w:cs="Times New Roman"/>
          <w:bCs/>
          <w:snapToGrid w:val="0"/>
          <w:color w:val="auto"/>
          <w:spacing w:val="10"/>
          <w:sz w:val="32"/>
          <w:szCs w:val="32"/>
          <w:highlight w:val="none"/>
          <w:lang w:val="zh-CN" w:eastAsia="zh-CN" w:bidi="ar"/>
        </w:rPr>
        <w:t>LF炉</w:t>
      </w:r>
      <w:r>
        <w:rPr>
          <w:rFonts w:hint="eastAsia" w:ascii="Times New Roman" w:hAnsi="Times New Roman" w:eastAsia="仿宋" w:cs="Times New Roman"/>
          <w:bCs/>
          <w:snapToGrid w:val="0"/>
          <w:color w:val="auto"/>
          <w:spacing w:val="10"/>
          <w:sz w:val="32"/>
          <w:szCs w:val="32"/>
          <w:highlight w:val="none"/>
          <w:lang w:val="en-US" w:eastAsia="zh-CN" w:bidi="ar"/>
        </w:rPr>
        <w:t>及其上料系统</w:t>
      </w:r>
      <w:r>
        <w:rPr>
          <w:rFonts w:hint="eastAsia" w:ascii="Times New Roman" w:hAnsi="Times New Roman" w:eastAsia="仿宋" w:cs="Times New Roman"/>
          <w:bCs/>
          <w:snapToGrid w:val="0"/>
          <w:color w:val="auto"/>
          <w:spacing w:val="10"/>
          <w:sz w:val="32"/>
          <w:szCs w:val="32"/>
          <w:highlight w:val="none"/>
          <w:lang w:val="zh-CN" w:eastAsia="zh-CN" w:bidi="ar"/>
        </w:rPr>
        <w:t>、RH炉</w:t>
      </w:r>
      <w:r>
        <w:rPr>
          <w:rFonts w:hint="eastAsia" w:ascii="Times New Roman" w:hAnsi="Times New Roman" w:eastAsia="仿宋" w:cs="Times New Roman"/>
          <w:bCs/>
          <w:snapToGrid w:val="0"/>
          <w:color w:val="auto"/>
          <w:spacing w:val="10"/>
          <w:sz w:val="32"/>
          <w:szCs w:val="32"/>
          <w:highlight w:val="none"/>
          <w:lang w:val="en-US" w:eastAsia="zh-CN" w:bidi="ar"/>
        </w:rPr>
        <w:t>及其上料系统、地下料坑及上料传输、</w:t>
      </w:r>
      <w:r>
        <w:rPr>
          <w:rFonts w:hint="eastAsia" w:ascii="Times New Roman" w:hAnsi="Times New Roman" w:eastAsia="仿宋" w:cs="Times New Roman"/>
          <w:bCs/>
          <w:snapToGrid w:val="0"/>
          <w:color w:val="auto"/>
          <w:spacing w:val="10"/>
          <w:sz w:val="32"/>
          <w:szCs w:val="32"/>
          <w:highlight w:val="none"/>
          <w:lang w:val="zh-CN" w:eastAsia="zh-CN" w:bidi="ar"/>
        </w:rPr>
        <w:t>冷修（拆包）、钢包热修</w:t>
      </w:r>
      <w:r>
        <w:rPr>
          <w:rFonts w:hint="eastAsia" w:ascii="Times New Roman" w:hAnsi="Times New Roman" w:eastAsia="仿宋" w:cs="Times New Roman"/>
          <w:bCs/>
          <w:snapToGrid w:val="0"/>
          <w:color w:val="auto"/>
          <w:spacing w:val="10"/>
          <w:sz w:val="32"/>
          <w:szCs w:val="32"/>
          <w:highlight w:val="none"/>
          <w:lang w:val="en-US" w:eastAsia="zh-CN" w:bidi="ar"/>
        </w:rPr>
        <w:t>及</w:t>
      </w:r>
      <w:r>
        <w:rPr>
          <w:rFonts w:hint="eastAsia" w:ascii="Times New Roman" w:hAnsi="Times New Roman" w:eastAsia="仿宋" w:cs="Times New Roman"/>
          <w:bCs/>
          <w:snapToGrid w:val="0"/>
          <w:color w:val="auto"/>
          <w:spacing w:val="10"/>
          <w:sz w:val="32"/>
          <w:szCs w:val="32"/>
          <w:highlight w:val="none"/>
          <w:lang w:val="zh-CN" w:eastAsia="zh-CN" w:bidi="ar"/>
        </w:rPr>
        <w:t>扒渣位含尘废气</w:t>
      </w:r>
      <w:r>
        <w:rPr>
          <w:rFonts w:hint="eastAsia" w:ascii="Times New Roman" w:hAnsi="Times New Roman" w:eastAsia="仿宋" w:cs="Times New Roman"/>
          <w:bCs/>
          <w:snapToGrid w:val="0"/>
          <w:color w:val="auto"/>
          <w:spacing w:val="10"/>
          <w:sz w:val="32"/>
          <w:szCs w:val="32"/>
          <w:highlight w:val="none"/>
          <w:lang w:val="en-US" w:eastAsia="zh-CN" w:bidi="ar"/>
        </w:rPr>
        <w:t>均经集尘罩收集</w:t>
      </w:r>
      <w:r>
        <w:rPr>
          <w:rFonts w:hint="eastAsia" w:ascii="Times New Roman" w:hAnsi="Times New Roman" w:eastAsia="仿宋" w:cs="Times New Roman"/>
          <w:bCs/>
          <w:snapToGrid w:val="0"/>
          <w:color w:val="auto"/>
          <w:spacing w:val="10"/>
          <w:sz w:val="32"/>
          <w:szCs w:val="32"/>
          <w:highlight w:val="none"/>
          <w:lang w:val="zh-CN" w:eastAsia="zh-CN" w:bidi="ar"/>
        </w:rPr>
        <w:t>引至精炼系统脉冲清灰袋式除尘器</w:t>
      </w:r>
      <w:r>
        <w:rPr>
          <w:rFonts w:hint="eastAsia" w:eastAsia="仿宋" w:cs="Times New Roman"/>
          <w:bCs/>
          <w:snapToGrid w:val="0"/>
          <w:color w:val="auto"/>
          <w:spacing w:val="10"/>
          <w:sz w:val="32"/>
          <w:szCs w:val="32"/>
          <w:highlight w:val="none"/>
          <w:lang w:val="en-US" w:eastAsia="zh-CN" w:bidi="ar"/>
        </w:rPr>
        <w:t>（TA004、TA005）</w:t>
      </w:r>
      <w:r>
        <w:rPr>
          <w:rFonts w:hint="eastAsia" w:ascii="Times New Roman" w:hAnsi="Times New Roman" w:eastAsia="仿宋" w:cs="Times New Roman"/>
          <w:bCs/>
          <w:snapToGrid w:val="0"/>
          <w:color w:val="auto"/>
          <w:spacing w:val="10"/>
          <w:sz w:val="32"/>
          <w:szCs w:val="32"/>
          <w:highlight w:val="none"/>
          <w:lang w:val="en-US" w:eastAsia="zh-CN" w:bidi="ar"/>
        </w:rPr>
        <w:t>净化后，经风机引至</w:t>
      </w:r>
      <w:r>
        <w:rPr>
          <w:rFonts w:hint="eastAsia" w:ascii="Times New Roman" w:hAnsi="Times New Roman" w:eastAsia="仿宋" w:cs="Times New Roman"/>
          <w:bCs/>
          <w:snapToGrid w:val="0"/>
          <w:color w:val="auto"/>
          <w:spacing w:val="10"/>
          <w:sz w:val="32"/>
          <w:szCs w:val="32"/>
          <w:highlight w:val="none"/>
          <w:lang w:val="zh-CN" w:eastAsia="zh-CN" w:bidi="ar"/>
        </w:rPr>
        <w:t>60m高排气筒</w:t>
      </w:r>
      <w:r>
        <w:rPr>
          <w:rFonts w:hint="eastAsia" w:eastAsia="仿宋" w:cs="Times New Roman"/>
          <w:bCs/>
          <w:snapToGrid w:val="0"/>
          <w:color w:val="auto"/>
          <w:spacing w:val="10"/>
          <w:sz w:val="32"/>
          <w:szCs w:val="32"/>
          <w:highlight w:val="none"/>
          <w:lang w:val="en-US" w:eastAsia="zh-CN" w:bidi="ar"/>
        </w:rPr>
        <w:t>（DA004）</w:t>
      </w:r>
      <w:r>
        <w:rPr>
          <w:rFonts w:hint="eastAsia" w:ascii="Times New Roman" w:hAnsi="Times New Roman" w:eastAsia="仿宋" w:cs="Times New Roman"/>
          <w:bCs/>
          <w:snapToGrid w:val="0"/>
          <w:color w:val="auto"/>
          <w:spacing w:val="10"/>
          <w:sz w:val="32"/>
          <w:szCs w:val="32"/>
          <w:highlight w:val="none"/>
          <w:lang w:val="zh-CN" w:eastAsia="zh-CN" w:bidi="ar"/>
        </w:rPr>
        <w:t>排放；连铸中间罐倾翻过程、大</w:t>
      </w:r>
      <w:r>
        <w:rPr>
          <w:rFonts w:hint="eastAsia" w:ascii="Times New Roman" w:hAnsi="Times New Roman" w:eastAsia="仿宋" w:cs="Times New Roman"/>
          <w:bCs/>
          <w:snapToGrid w:val="0"/>
          <w:color w:val="auto"/>
          <w:spacing w:val="10"/>
          <w:sz w:val="32"/>
          <w:szCs w:val="32"/>
          <w:highlight w:val="none"/>
          <w:lang w:val="en-US" w:eastAsia="zh-CN" w:bidi="ar"/>
        </w:rPr>
        <w:t>中</w:t>
      </w:r>
      <w:r>
        <w:rPr>
          <w:rFonts w:hint="eastAsia" w:ascii="Times New Roman" w:hAnsi="Times New Roman" w:eastAsia="仿宋" w:cs="Times New Roman"/>
          <w:bCs/>
          <w:snapToGrid w:val="0"/>
          <w:color w:val="auto"/>
          <w:spacing w:val="10"/>
          <w:sz w:val="32"/>
          <w:szCs w:val="32"/>
          <w:highlight w:val="none"/>
          <w:lang w:val="zh-CN" w:eastAsia="zh-CN" w:bidi="ar"/>
        </w:rPr>
        <w:t>包回转台含尘烟气</w:t>
      </w:r>
      <w:r>
        <w:rPr>
          <w:rFonts w:hint="eastAsia" w:ascii="Times New Roman" w:hAnsi="Times New Roman" w:eastAsia="仿宋" w:cs="Times New Roman"/>
          <w:bCs/>
          <w:snapToGrid w:val="0"/>
          <w:color w:val="auto"/>
          <w:spacing w:val="10"/>
          <w:sz w:val="32"/>
          <w:szCs w:val="32"/>
          <w:highlight w:val="none"/>
          <w:lang w:val="en-US" w:eastAsia="zh-CN" w:bidi="ar"/>
        </w:rPr>
        <w:t>以及</w:t>
      </w:r>
      <w:r>
        <w:rPr>
          <w:rFonts w:hint="eastAsia" w:ascii="Times New Roman" w:hAnsi="Times New Roman" w:eastAsia="仿宋" w:cs="Times New Roman"/>
          <w:bCs/>
          <w:snapToGrid w:val="0"/>
          <w:color w:val="auto"/>
          <w:spacing w:val="10"/>
          <w:sz w:val="32"/>
          <w:szCs w:val="32"/>
          <w:highlight w:val="none"/>
          <w:lang w:val="zh-CN" w:eastAsia="zh-CN" w:bidi="ar"/>
        </w:rPr>
        <w:t>连铸火焰切割产生的含尘废气</w:t>
      </w:r>
      <w:r>
        <w:rPr>
          <w:rFonts w:hint="eastAsia" w:ascii="Times New Roman" w:hAnsi="Times New Roman" w:eastAsia="仿宋" w:cs="Times New Roman"/>
          <w:bCs/>
          <w:snapToGrid w:val="0"/>
          <w:color w:val="auto"/>
          <w:spacing w:val="10"/>
          <w:sz w:val="32"/>
          <w:szCs w:val="32"/>
          <w:highlight w:val="none"/>
          <w:lang w:val="en-US" w:eastAsia="zh-CN" w:bidi="ar"/>
        </w:rPr>
        <w:t>均经集尘罩收集</w:t>
      </w:r>
      <w:r>
        <w:rPr>
          <w:rFonts w:hint="eastAsia" w:ascii="Times New Roman" w:hAnsi="Times New Roman" w:eastAsia="仿宋" w:cs="Times New Roman"/>
          <w:bCs/>
          <w:snapToGrid w:val="0"/>
          <w:color w:val="auto"/>
          <w:spacing w:val="10"/>
          <w:sz w:val="32"/>
          <w:szCs w:val="32"/>
          <w:highlight w:val="none"/>
          <w:lang w:val="zh-CN" w:eastAsia="zh-CN" w:bidi="ar"/>
        </w:rPr>
        <w:t>引至连铸除尘系统脉冲清灰袋式除尘器</w:t>
      </w:r>
      <w:r>
        <w:rPr>
          <w:rFonts w:hint="eastAsia" w:eastAsia="仿宋" w:cs="Times New Roman"/>
          <w:bCs/>
          <w:snapToGrid w:val="0"/>
          <w:color w:val="auto"/>
          <w:spacing w:val="10"/>
          <w:sz w:val="32"/>
          <w:szCs w:val="32"/>
          <w:highlight w:val="none"/>
          <w:lang w:val="en-US" w:eastAsia="zh-CN" w:bidi="ar"/>
        </w:rPr>
        <w:t>（TA006）</w:t>
      </w:r>
      <w:r>
        <w:rPr>
          <w:rFonts w:hint="eastAsia" w:ascii="Times New Roman" w:hAnsi="Times New Roman" w:eastAsia="仿宋" w:cs="Times New Roman"/>
          <w:bCs/>
          <w:snapToGrid w:val="0"/>
          <w:color w:val="auto"/>
          <w:spacing w:val="10"/>
          <w:sz w:val="32"/>
          <w:szCs w:val="32"/>
          <w:highlight w:val="none"/>
          <w:lang w:val="en-US" w:eastAsia="zh-CN" w:bidi="ar"/>
        </w:rPr>
        <w:t>净化后，经风机引至</w:t>
      </w:r>
      <w:r>
        <w:rPr>
          <w:rFonts w:hint="eastAsia" w:ascii="Times New Roman" w:hAnsi="Times New Roman" w:eastAsia="仿宋" w:cs="Times New Roman"/>
          <w:bCs/>
          <w:snapToGrid w:val="0"/>
          <w:color w:val="auto"/>
          <w:spacing w:val="10"/>
          <w:sz w:val="32"/>
          <w:szCs w:val="32"/>
          <w:highlight w:val="none"/>
          <w:lang w:val="zh-CN" w:eastAsia="zh-CN" w:bidi="ar"/>
        </w:rPr>
        <w:t>60m高排气筒</w:t>
      </w:r>
      <w:r>
        <w:rPr>
          <w:rFonts w:hint="eastAsia" w:eastAsia="仿宋" w:cs="Times New Roman"/>
          <w:bCs/>
          <w:snapToGrid w:val="0"/>
          <w:color w:val="auto"/>
          <w:spacing w:val="10"/>
          <w:sz w:val="32"/>
          <w:szCs w:val="32"/>
          <w:highlight w:val="none"/>
          <w:lang w:val="en-US" w:eastAsia="zh-CN" w:bidi="ar"/>
        </w:rPr>
        <w:t>（DA005）</w:t>
      </w:r>
      <w:r>
        <w:rPr>
          <w:rFonts w:hint="eastAsia" w:ascii="Times New Roman" w:hAnsi="Times New Roman" w:eastAsia="仿宋" w:cs="Times New Roman"/>
          <w:bCs/>
          <w:snapToGrid w:val="0"/>
          <w:color w:val="auto"/>
          <w:spacing w:val="10"/>
          <w:sz w:val="32"/>
          <w:szCs w:val="32"/>
          <w:highlight w:val="none"/>
          <w:lang w:val="zh-CN" w:eastAsia="zh-CN" w:bidi="ar"/>
        </w:rPr>
        <w:t>排放；钢坯切割废气</w:t>
      </w:r>
      <w:r>
        <w:rPr>
          <w:rFonts w:hint="eastAsia" w:ascii="Times New Roman" w:hAnsi="Times New Roman" w:eastAsia="仿宋" w:cs="Times New Roman"/>
          <w:bCs/>
          <w:snapToGrid w:val="0"/>
          <w:color w:val="auto"/>
          <w:spacing w:val="10"/>
          <w:sz w:val="32"/>
          <w:szCs w:val="32"/>
          <w:highlight w:val="none"/>
          <w:lang w:val="en-US" w:eastAsia="zh-CN" w:bidi="ar"/>
        </w:rPr>
        <w:t>经</w:t>
      </w:r>
      <w:r>
        <w:rPr>
          <w:rFonts w:hint="eastAsia" w:ascii="Times New Roman" w:hAnsi="Times New Roman" w:eastAsia="仿宋" w:cs="Times New Roman"/>
          <w:bCs/>
          <w:snapToGrid w:val="0"/>
          <w:color w:val="auto"/>
          <w:spacing w:val="10"/>
          <w:sz w:val="32"/>
          <w:szCs w:val="32"/>
          <w:highlight w:val="none"/>
          <w:lang w:val="zh-CN" w:eastAsia="zh-CN" w:bidi="ar"/>
        </w:rPr>
        <w:t>脉冲清灰布袋除尘器</w:t>
      </w:r>
      <w:r>
        <w:rPr>
          <w:rFonts w:hint="eastAsia" w:eastAsia="仿宋" w:cs="Times New Roman"/>
          <w:bCs/>
          <w:snapToGrid w:val="0"/>
          <w:color w:val="auto"/>
          <w:spacing w:val="10"/>
          <w:sz w:val="32"/>
          <w:szCs w:val="32"/>
          <w:highlight w:val="none"/>
          <w:lang w:val="en-US" w:eastAsia="zh-CN" w:bidi="ar"/>
        </w:rPr>
        <w:t>（TA007）</w:t>
      </w:r>
      <w:r>
        <w:rPr>
          <w:rFonts w:hint="eastAsia" w:ascii="Times New Roman" w:hAnsi="Times New Roman" w:eastAsia="仿宋" w:cs="Times New Roman"/>
          <w:bCs/>
          <w:snapToGrid w:val="0"/>
          <w:color w:val="auto"/>
          <w:spacing w:val="10"/>
          <w:sz w:val="32"/>
          <w:szCs w:val="32"/>
          <w:highlight w:val="none"/>
          <w:lang w:val="en-US" w:eastAsia="zh-CN" w:bidi="ar"/>
        </w:rPr>
        <w:t>净化后，经风机引至</w:t>
      </w:r>
      <w:r>
        <w:rPr>
          <w:rFonts w:hint="eastAsia" w:ascii="Times New Roman" w:hAnsi="Times New Roman" w:eastAsia="仿宋" w:cs="Times New Roman"/>
          <w:bCs/>
          <w:snapToGrid w:val="0"/>
          <w:color w:val="auto"/>
          <w:spacing w:val="10"/>
          <w:sz w:val="32"/>
          <w:szCs w:val="32"/>
          <w:highlight w:val="none"/>
          <w:lang w:val="zh-CN" w:eastAsia="zh-CN" w:bidi="ar"/>
        </w:rPr>
        <w:t>35m高排气筒</w:t>
      </w:r>
      <w:r>
        <w:rPr>
          <w:rFonts w:hint="eastAsia" w:eastAsia="仿宋" w:cs="Times New Roman"/>
          <w:bCs/>
          <w:snapToGrid w:val="0"/>
          <w:color w:val="auto"/>
          <w:spacing w:val="10"/>
          <w:sz w:val="32"/>
          <w:szCs w:val="32"/>
          <w:highlight w:val="none"/>
          <w:lang w:val="en-US" w:eastAsia="zh-CN" w:bidi="ar"/>
        </w:rPr>
        <w:t>（DA006）</w:t>
      </w:r>
      <w:r>
        <w:rPr>
          <w:rFonts w:hint="eastAsia" w:ascii="Times New Roman" w:hAnsi="Times New Roman" w:eastAsia="仿宋" w:cs="Times New Roman"/>
          <w:bCs/>
          <w:snapToGrid w:val="0"/>
          <w:color w:val="auto"/>
          <w:spacing w:val="10"/>
          <w:sz w:val="32"/>
          <w:szCs w:val="32"/>
          <w:highlight w:val="none"/>
          <w:lang w:val="zh-CN" w:eastAsia="zh-CN" w:bidi="ar"/>
        </w:rPr>
        <w:t>排放。</w:t>
      </w:r>
      <w:r>
        <w:rPr>
          <w:rFonts w:hint="eastAsia" w:eastAsia="仿宋" w:cs="Times New Roman"/>
          <w:bCs/>
          <w:snapToGrid w:val="0"/>
          <w:color w:val="auto"/>
          <w:spacing w:val="10"/>
          <w:kern w:val="0"/>
          <w:sz w:val="32"/>
          <w:szCs w:val="32"/>
          <w:highlight w:val="none"/>
          <w:lang w:val="en-US" w:eastAsia="zh-CN" w:bidi="ar"/>
        </w:rPr>
        <w:t>1#电炉烟气</w:t>
      </w:r>
      <w:r>
        <w:rPr>
          <w:rFonts w:hint="default" w:ascii="Times New Roman" w:hAnsi="Times New Roman" w:eastAsia="仿宋" w:cs="Times New Roman"/>
          <w:bCs/>
          <w:snapToGrid w:val="0"/>
          <w:color w:val="auto"/>
          <w:spacing w:val="10"/>
          <w:kern w:val="0"/>
          <w:sz w:val="32"/>
          <w:szCs w:val="32"/>
          <w:highlight w:val="none"/>
          <w:lang w:val="zh-CN" w:eastAsia="zh-CN" w:bidi="ar"/>
        </w:rPr>
        <w:t>颗粒物</w:t>
      </w:r>
      <w:r>
        <w:rPr>
          <w:rFonts w:hint="eastAsia" w:eastAsia="仿宋" w:cs="Times New Roman"/>
          <w:bCs/>
          <w:snapToGrid w:val="0"/>
          <w:color w:val="auto"/>
          <w:spacing w:val="10"/>
          <w:kern w:val="0"/>
          <w:sz w:val="32"/>
          <w:szCs w:val="32"/>
          <w:highlight w:val="none"/>
          <w:lang w:val="zh-CN" w:eastAsia="zh-CN" w:bidi="ar"/>
        </w:rPr>
        <w:t>、</w:t>
      </w:r>
      <w:r>
        <w:rPr>
          <w:rFonts w:hint="default" w:ascii="Times New Roman" w:hAnsi="Times New Roman" w:eastAsia="仿宋" w:cs="Times New Roman"/>
          <w:bCs/>
          <w:snapToGrid w:val="0"/>
          <w:color w:val="auto"/>
          <w:spacing w:val="10"/>
          <w:kern w:val="0"/>
          <w:sz w:val="32"/>
          <w:szCs w:val="32"/>
          <w:highlight w:val="none"/>
          <w:lang w:val="zh-CN" w:eastAsia="zh-CN" w:bidi="ar"/>
        </w:rPr>
        <w:t>二噁英</w:t>
      </w:r>
      <w:r>
        <w:rPr>
          <w:rFonts w:hint="default" w:ascii="Times New Roman" w:hAnsi="Times New Roman" w:eastAsia="仿宋" w:cs="Times New Roman"/>
          <w:bCs/>
          <w:snapToGrid w:val="0"/>
          <w:color w:val="auto"/>
          <w:spacing w:val="10"/>
          <w:kern w:val="0"/>
          <w:sz w:val="32"/>
          <w:szCs w:val="32"/>
          <w:highlight w:val="none"/>
          <w:lang w:val="en-US" w:eastAsia="zh-CN" w:bidi="ar"/>
        </w:rPr>
        <w:t>排放浓度</w:t>
      </w:r>
      <w:r>
        <w:rPr>
          <w:rFonts w:hint="eastAsia" w:ascii="Times New Roman" w:hAnsi="Times New Roman" w:eastAsia="仿宋" w:cs="Times New Roman"/>
          <w:bCs/>
          <w:snapToGrid w:val="0"/>
          <w:color w:val="auto"/>
          <w:spacing w:val="10"/>
          <w:kern w:val="0"/>
          <w:sz w:val="32"/>
          <w:szCs w:val="32"/>
          <w:highlight w:val="none"/>
          <w:lang w:val="en-US" w:eastAsia="zh-CN" w:bidi="ar"/>
        </w:rPr>
        <w:t>应</w:t>
      </w:r>
      <w:r>
        <w:rPr>
          <w:rFonts w:hint="default" w:ascii="Times New Roman" w:hAnsi="Times New Roman" w:eastAsia="仿宋" w:cs="Times New Roman"/>
          <w:bCs/>
          <w:snapToGrid w:val="0"/>
          <w:color w:val="auto"/>
          <w:spacing w:val="10"/>
          <w:kern w:val="0"/>
          <w:sz w:val="32"/>
          <w:szCs w:val="32"/>
          <w:highlight w:val="none"/>
          <w:lang w:val="en-US" w:eastAsia="zh-CN" w:bidi="ar"/>
        </w:rPr>
        <w:t>满足《钢铁工业大气污染物排放标准》（DB21/4119—2025）表1大气污染物有组织排放限值</w:t>
      </w:r>
      <w:r>
        <w:rPr>
          <w:rFonts w:hint="eastAsia" w:eastAsia="仿宋" w:cs="Times New Roman"/>
          <w:bCs/>
          <w:snapToGrid w:val="0"/>
          <w:color w:val="auto"/>
          <w:spacing w:val="10"/>
          <w:kern w:val="0"/>
          <w:sz w:val="32"/>
          <w:szCs w:val="32"/>
          <w:highlight w:val="none"/>
          <w:lang w:val="en-US" w:eastAsia="zh-CN" w:bidi="ar"/>
        </w:rPr>
        <w:t>和</w:t>
      </w:r>
      <w:r>
        <w:rPr>
          <w:rFonts w:hint="default" w:ascii="Times New Roman" w:hAnsi="Times New Roman" w:eastAsia="仿宋" w:cs="Times New Roman"/>
          <w:bCs/>
          <w:snapToGrid w:val="0"/>
          <w:color w:val="auto"/>
          <w:spacing w:val="10"/>
          <w:kern w:val="0"/>
          <w:sz w:val="32"/>
          <w:szCs w:val="32"/>
          <w:highlight w:val="none"/>
          <w:lang w:val="en-US" w:eastAsia="zh-CN" w:bidi="ar"/>
        </w:rPr>
        <w:t>《危险废物焚烧污染控制标准》(GB18484-2020)表3中浓度限值要求，非甲烷总烃、甲苯、二甲苯排放</w:t>
      </w:r>
      <w:r>
        <w:rPr>
          <w:rFonts w:hint="eastAsia" w:ascii="Times New Roman" w:hAnsi="Times New Roman" w:eastAsia="仿宋" w:cs="Times New Roman"/>
          <w:bCs/>
          <w:snapToGrid w:val="0"/>
          <w:color w:val="auto"/>
          <w:spacing w:val="10"/>
          <w:kern w:val="0"/>
          <w:sz w:val="32"/>
          <w:szCs w:val="32"/>
          <w:highlight w:val="none"/>
          <w:lang w:val="en-US" w:eastAsia="zh-CN" w:bidi="ar"/>
        </w:rPr>
        <w:t>应</w:t>
      </w:r>
      <w:r>
        <w:rPr>
          <w:rFonts w:hint="default" w:ascii="Times New Roman" w:hAnsi="Times New Roman" w:eastAsia="仿宋" w:cs="Times New Roman"/>
          <w:bCs/>
          <w:snapToGrid w:val="0"/>
          <w:color w:val="auto"/>
          <w:spacing w:val="10"/>
          <w:kern w:val="0"/>
          <w:sz w:val="32"/>
          <w:szCs w:val="32"/>
          <w:highlight w:val="none"/>
          <w:lang w:val="en-US" w:eastAsia="zh-CN" w:bidi="ar"/>
        </w:rPr>
        <w:t>满足《大气污染物综合排放标准》（GB16297-1996）表2中</w:t>
      </w:r>
      <w:r>
        <w:rPr>
          <w:rFonts w:hint="eastAsia" w:eastAsia="仿宋" w:cs="Times New Roman"/>
          <w:bCs/>
          <w:snapToGrid w:val="0"/>
          <w:color w:val="auto"/>
          <w:spacing w:val="10"/>
          <w:kern w:val="0"/>
          <w:sz w:val="32"/>
          <w:szCs w:val="32"/>
          <w:highlight w:val="none"/>
          <w:lang w:val="en-US" w:eastAsia="zh-CN" w:bidi="ar"/>
        </w:rPr>
        <w:t>限值</w:t>
      </w:r>
      <w:r>
        <w:rPr>
          <w:rFonts w:hint="default" w:ascii="Times New Roman" w:hAnsi="Times New Roman" w:eastAsia="仿宋" w:cs="Times New Roman"/>
          <w:bCs/>
          <w:snapToGrid w:val="0"/>
          <w:color w:val="auto"/>
          <w:spacing w:val="10"/>
          <w:kern w:val="0"/>
          <w:sz w:val="32"/>
          <w:szCs w:val="32"/>
          <w:highlight w:val="none"/>
          <w:lang w:val="en-US" w:eastAsia="zh-CN" w:bidi="ar"/>
        </w:rPr>
        <w:t>要求</w:t>
      </w:r>
      <w:r>
        <w:rPr>
          <w:rFonts w:hint="eastAsia" w:ascii="Times New Roman" w:hAnsi="Times New Roman" w:eastAsia="仿宋" w:cs="Times New Roman"/>
          <w:bCs/>
          <w:snapToGrid w:val="0"/>
          <w:color w:val="auto"/>
          <w:spacing w:val="10"/>
          <w:kern w:val="0"/>
          <w:sz w:val="32"/>
          <w:szCs w:val="32"/>
          <w:highlight w:val="none"/>
          <w:lang w:val="en-US" w:eastAsia="zh-CN" w:bidi="ar"/>
        </w:rPr>
        <w:t>；2#电炉、铁水预处理（包括倒罐、扒渣等）、</w:t>
      </w:r>
      <w:r>
        <w:rPr>
          <w:rFonts w:hint="default" w:ascii="Times New Roman" w:hAnsi="Times New Roman" w:eastAsia="仿宋" w:cs="Times New Roman"/>
          <w:bCs/>
          <w:snapToGrid w:val="0"/>
          <w:color w:val="auto"/>
          <w:spacing w:val="10"/>
          <w:kern w:val="0"/>
          <w:sz w:val="32"/>
          <w:szCs w:val="32"/>
          <w:highlight w:val="none"/>
          <w:lang w:val="en-US" w:eastAsia="zh-CN" w:bidi="ar"/>
        </w:rPr>
        <w:t>精炼炉</w:t>
      </w:r>
      <w:r>
        <w:rPr>
          <w:rFonts w:hint="eastAsia" w:ascii="Times New Roman" w:hAnsi="Times New Roman" w:eastAsia="仿宋" w:cs="Times New Roman"/>
          <w:bCs/>
          <w:snapToGrid w:val="0"/>
          <w:color w:val="auto"/>
          <w:spacing w:val="10"/>
          <w:kern w:val="0"/>
          <w:sz w:val="32"/>
          <w:szCs w:val="32"/>
          <w:highlight w:val="none"/>
          <w:lang w:val="en-US" w:eastAsia="zh-CN" w:bidi="ar"/>
        </w:rPr>
        <w:t>、连铸切割及火焰清理、钢渣处理废气</w:t>
      </w:r>
      <w:r>
        <w:rPr>
          <w:rFonts w:hint="default" w:ascii="Times New Roman" w:hAnsi="Times New Roman" w:eastAsia="仿宋" w:cs="Times New Roman"/>
          <w:bCs/>
          <w:snapToGrid w:val="0"/>
          <w:color w:val="auto"/>
          <w:spacing w:val="10"/>
          <w:kern w:val="0"/>
          <w:sz w:val="32"/>
          <w:szCs w:val="32"/>
          <w:highlight w:val="none"/>
          <w:lang w:val="en-US" w:eastAsia="zh-CN" w:bidi="ar"/>
        </w:rPr>
        <w:t>排放浓度</w:t>
      </w:r>
      <w:r>
        <w:rPr>
          <w:rFonts w:hint="eastAsia" w:ascii="Times New Roman" w:hAnsi="Times New Roman" w:eastAsia="仿宋" w:cs="Times New Roman"/>
          <w:bCs/>
          <w:snapToGrid w:val="0"/>
          <w:color w:val="auto"/>
          <w:spacing w:val="10"/>
          <w:kern w:val="0"/>
          <w:sz w:val="32"/>
          <w:szCs w:val="32"/>
          <w:highlight w:val="none"/>
          <w:lang w:val="en-US" w:eastAsia="zh-CN" w:bidi="ar"/>
        </w:rPr>
        <w:t>应</w:t>
      </w:r>
      <w:r>
        <w:rPr>
          <w:rFonts w:hint="default" w:ascii="Times New Roman" w:hAnsi="Times New Roman" w:eastAsia="仿宋" w:cs="Times New Roman"/>
          <w:bCs/>
          <w:snapToGrid w:val="0"/>
          <w:color w:val="auto"/>
          <w:spacing w:val="10"/>
          <w:kern w:val="0"/>
          <w:sz w:val="32"/>
          <w:szCs w:val="32"/>
          <w:highlight w:val="none"/>
          <w:lang w:val="en-US" w:eastAsia="zh-CN" w:bidi="ar"/>
        </w:rPr>
        <w:t>满足《钢铁工业大气污染物排放标准》（DB21/4119—2025）表1排放限值要求</w:t>
      </w:r>
      <w:r>
        <w:rPr>
          <w:rFonts w:hint="eastAsia" w:ascii="Times New Roman" w:hAnsi="Times New Roman" w:eastAsia="仿宋" w:cs="Times New Roman"/>
          <w:bCs/>
          <w:snapToGrid w:val="0"/>
          <w:color w:val="auto"/>
          <w:spacing w:val="10"/>
          <w:kern w:val="0"/>
          <w:sz w:val="32"/>
          <w:szCs w:val="32"/>
          <w:highlight w:val="none"/>
          <w:lang w:val="en-US" w:eastAsia="zh-CN" w:bidi="ar"/>
        </w:rPr>
        <w:t>。本项目炼钢车间密闭，电炉烟气应采用炉内排烟+密闭罩+屋顶罩的捕集方式，物料产尘点设置密闭罩，降低无组织废气排放，电炉渣翻渣、铸余渣翻渣、磁选过程均应在密闭车间内进行。</w:t>
      </w:r>
      <w:r>
        <w:rPr>
          <w:rFonts w:hint="eastAsia" w:eastAsia="仿宋" w:cs="Times New Roman"/>
          <w:bCs/>
          <w:snapToGrid w:val="0"/>
          <w:color w:val="auto"/>
          <w:spacing w:val="10"/>
          <w:kern w:val="0"/>
          <w:sz w:val="32"/>
          <w:szCs w:val="32"/>
          <w:highlight w:val="none"/>
          <w:lang w:val="en-US" w:eastAsia="zh-CN" w:bidi="ar"/>
        </w:rPr>
        <w:t>炼钢车间厂房外</w:t>
      </w:r>
      <w:r>
        <w:rPr>
          <w:rFonts w:hint="eastAsia" w:ascii="Times New Roman" w:hAnsi="Times New Roman" w:eastAsia="仿宋" w:cs="Times New Roman"/>
          <w:bCs/>
          <w:snapToGrid w:val="0"/>
          <w:color w:val="auto"/>
          <w:spacing w:val="10"/>
          <w:kern w:val="0"/>
          <w:sz w:val="32"/>
          <w:szCs w:val="32"/>
          <w:highlight w:val="none"/>
          <w:lang w:val="en-US" w:eastAsia="zh-CN" w:bidi="ar"/>
        </w:rPr>
        <w:t>无组织废气排放浓度及控制措施应满足《钢铁工业大气污染物排放标准》（DB21/4119—2025）</w:t>
      </w:r>
      <w:r>
        <w:rPr>
          <w:rFonts w:hint="eastAsia" w:eastAsia="仿宋" w:cs="Times New Roman"/>
          <w:bCs/>
          <w:snapToGrid w:val="0"/>
          <w:color w:val="auto"/>
          <w:spacing w:val="10"/>
          <w:kern w:val="0"/>
          <w:sz w:val="32"/>
          <w:szCs w:val="32"/>
          <w:highlight w:val="none"/>
          <w:lang w:val="en-US" w:eastAsia="zh-CN" w:bidi="ar"/>
        </w:rPr>
        <w:t>表2大气污染物无组织排放浓度限值，厂界</w:t>
      </w:r>
      <w:r>
        <w:rPr>
          <w:rFonts w:hint="eastAsia" w:ascii="Times New Roman" w:hAnsi="Times New Roman" w:eastAsia="仿宋" w:cs="Times New Roman"/>
          <w:bCs/>
          <w:snapToGrid w:val="0"/>
          <w:color w:val="auto"/>
          <w:spacing w:val="10"/>
          <w:kern w:val="0"/>
          <w:sz w:val="32"/>
          <w:szCs w:val="32"/>
          <w:highlight w:val="none"/>
          <w:lang w:val="en-US" w:eastAsia="zh-CN" w:bidi="ar"/>
        </w:rPr>
        <w:t>无组织废气排放浓度</w:t>
      </w:r>
      <w:r>
        <w:rPr>
          <w:rFonts w:hint="eastAsia" w:eastAsia="仿宋" w:cs="Times New Roman"/>
          <w:bCs/>
          <w:snapToGrid w:val="0"/>
          <w:color w:val="auto"/>
          <w:spacing w:val="10"/>
          <w:kern w:val="0"/>
          <w:sz w:val="32"/>
          <w:szCs w:val="32"/>
          <w:highlight w:val="none"/>
          <w:lang w:val="en-US" w:eastAsia="zh-CN" w:bidi="ar"/>
        </w:rPr>
        <w:t>应满足</w:t>
      </w:r>
      <w:r>
        <w:rPr>
          <w:rFonts w:hint="eastAsia" w:ascii="Times New Roman" w:hAnsi="Times New Roman" w:eastAsia="仿宋" w:cs="Times New Roman"/>
          <w:bCs/>
          <w:snapToGrid w:val="0"/>
          <w:color w:val="auto"/>
          <w:spacing w:val="10"/>
          <w:kern w:val="0"/>
          <w:sz w:val="32"/>
          <w:szCs w:val="32"/>
          <w:highlight w:val="none"/>
          <w:lang w:val="en-US" w:eastAsia="zh-CN" w:bidi="ar"/>
        </w:rPr>
        <w:t>《大气污染物综合排放标准》（GB16297-1996）中相关要求。</w:t>
      </w:r>
    </w:p>
    <w:p w14:paraId="566D3231">
      <w:pPr>
        <w:pStyle w:val="5"/>
        <w:keepNext w:val="0"/>
        <w:keepLines w:val="0"/>
        <w:pageBreakBefore w:val="0"/>
        <w:kinsoku/>
        <w:wordWrap/>
        <w:overflowPunct/>
        <w:topLinePunct w:val="0"/>
        <w:bidi w:val="0"/>
        <w:spacing w:line="600" w:lineRule="exact"/>
        <w:ind w:firstLine="640"/>
        <w:textAlignment w:val="auto"/>
        <w:rPr>
          <w:rFonts w:hint="default" w:ascii="Times New Roman" w:hAnsi="Times New Roman" w:eastAsia="仿宋" w:cs="Times New Roman"/>
          <w:bCs/>
          <w:snapToGrid w:val="0"/>
          <w:spacing w:val="10"/>
          <w:sz w:val="32"/>
          <w:szCs w:val="32"/>
          <w:highlight w:val="none"/>
          <w:lang w:val="en-US" w:eastAsia="zh-CN" w:bidi="ar"/>
        </w:rPr>
      </w:pPr>
      <w:r>
        <w:rPr>
          <w:rFonts w:hint="default" w:ascii="Times New Roman" w:hAnsi="Times New Roman" w:eastAsia="楷体" w:cs="Times New Roman"/>
          <w:bCs w:val="0"/>
          <w:snapToGrid/>
          <w:color w:val="auto"/>
          <w:spacing w:val="0"/>
          <w:kern w:val="2"/>
          <w:sz w:val="32"/>
          <w:szCs w:val="32"/>
          <w:highlight w:val="none"/>
          <w:lang w:val="en-US" w:eastAsia="zh-CN" w:bidi="ar-SA"/>
        </w:rPr>
        <w:t>（三）</w:t>
      </w:r>
      <w:r>
        <w:rPr>
          <w:rFonts w:hint="default" w:ascii="Times New Roman" w:hAnsi="Times New Roman" w:eastAsia="楷体" w:cs="Times New Roman"/>
          <w:b w:val="0"/>
          <w:bCs/>
          <w:iCs w:val="0"/>
          <w:snapToGrid w:val="0"/>
          <w:spacing w:val="10"/>
          <w:sz w:val="32"/>
          <w:szCs w:val="32"/>
          <w:highlight w:val="none"/>
          <w:lang w:val="en-US" w:eastAsia="zh-CN" w:bidi="ar-SA"/>
        </w:rPr>
        <w:t>严格落实水污染防治措施。</w:t>
      </w:r>
      <w:r>
        <w:rPr>
          <w:rFonts w:hint="default" w:ascii="Times New Roman" w:hAnsi="Times New Roman" w:eastAsia="仿宋" w:cs="Times New Roman"/>
          <w:bCs/>
          <w:sz w:val="32"/>
          <w:szCs w:val="32"/>
          <w:highlight w:val="none"/>
          <w:lang w:val="en-US" w:eastAsia="zh-CN" w:bidi="ar"/>
        </w:rPr>
        <w:t>运营期</w:t>
      </w:r>
      <w:r>
        <w:rPr>
          <w:rFonts w:hint="eastAsia" w:ascii="Times New Roman" w:hAnsi="Times New Roman" w:eastAsia="仿宋" w:cs="Times New Roman"/>
          <w:bCs/>
          <w:snapToGrid w:val="0"/>
          <w:color w:val="auto"/>
          <w:spacing w:val="10"/>
          <w:kern w:val="0"/>
          <w:sz w:val="32"/>
          <w:szCs w:val="32"/>
          <w:highlight w:val="none"/>
          <w:lang w:val="en-US" w:eastAsia="zh-CN" w:bidi="ar"/>
        </w:rPr>
        <w:t>软水系统、净循环水系统、浊循环水系统废水经絮凝沉淀、除油预处理后，满足《城市污水再生利用 工业用水水质》（GB/T19923-2024）表1标准后回用，少量浊循环水系统溢流冷却水定期排至板材公司污水处理厂。项目不新增员工，无新增生活污水产生</w:t>
      </w:r>
      <w:r>
        <w:rPr>
          <w:rFonts w:hint="default" w:ascii="Times New Roman" w:hAnsi="Times New Roman" w:eastAsia="仿宋" w:cs="Times New Roman"/>
          <w:bCs/>
          <w:snapToGrid w:val="0"/>
          <w:spacing w:val="10"/>
          <w:sz w:val="32"/>
          <w:szCs w:val="32"/>
          <w:highlight w:val="none"/>
          <w:lang w:val="en-US" w:eastAsia="zh-CN" w:bidi="ar"/>
        </w:rPr>
        <w:t>。</w:t>
      </w:r>
    </w:p>
    <w:p w14:paraId="43A2627B">
      <w:pPr>
        <w:pStyle w:val="5"/>
        <w:keepNext w:val="0"/>
        <w:keepLines w:val="0"/>
        <w:pageBreakBefore w:val="0"/>
        <w:kinsoku/>
        <w:wordWrap/>
        <w:overflowPunct/>
        <w:topLinePunct w:val="0"/>
        <w:bidi w:val="0"/>
        <w:spacing w:line="600" w:lineRule="exact"/>
        <w:ind w:firstLine="640"/>
        <w:textAlignment w:val="auto"/>
        <w:rPr>
          <w:rFonts w:hint="default" w:ascii="Times New Roman" w:hAnsi="Times New Roman" w:eastAsia="仿宋" w:cs="Times New Roman"/>
          <w:bCs/>
          <w:sz w:val="32"/>
          <w:szCs w:val="32"/>
          <w:highlight w:val="none"/>
          <w:lang w:val="en-US" w:eastAsia="zh-CN" w:bidi="ar"/>
        </w:rPr>
      </w:pP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Cs w:val="0"/>
          <w:snapToGrid/>
          <w:color w:val="auto"/>
          <w:spacing w:val="0"/>
          <w:kern w:val="2"/>
          <w:sz w:val="32"/>
          <w:szCs w:val="32"/>
          <w:highlight w:val="none"/>
          <w:lang w:val="en-US" w:eastAsia="zh-CN" w:bidi="ar-SA"/>
        </w:rPr>
        <w:t>四</w:t>
      </w: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 w:val="0"/>
          <w:bCs/>
          <w:iCs w:val="0"/>
          <w:snapToGrid w:val="0"/>
          <w:spacing w:val="10"/>
          <w:sz w:val="32"/>
          <w:szCs w:val="32"/>
          <w:highlight w:val="none"/>
          <w:lang w:val="zh-TW" w:eastAsia="zh-CN" w:bidi="ar-SA"/>
        </w:rPr>
        <w:t>严格落实噪声污染防治措施</w:t>
      </w:r>
      <w:r>
        <w:rPr>
          <w:rFonts w:hint="default" w:ascii="Times New Roman" w:hAnsi="Times New Roman" w:eastAsia="楷体" w:cs="Times New Roman"/>
          <w:b w:val="0"/>
          <w:bCs/>
          <w:iCs w:val="0"/>
          <w:snapToGrid w:val="0"/>
          <w:spacing w:val="10"/>
          <w:sz w:val="32"/>
          <w:szCs w:val="32"/>
          <w:highlight w:val="none"/>
          <w:lang w:val="en-US" w:eastAsia="zh-CN" w:bidi="ar-SA"/>
        </w:rPr>
        <w:t>。</w:t>
      </w:r>
      <w:r>
        <w:rPr>
          <w:rFonts w:hint="default" w:ascii="Times New Roman" w:hAnsi="Times New Roman" w:eastAsia="仿宋" w:cs="Times New Roman"/>
          <w:bCs/>
          <w:sz w:val="32"/>
          <w:szCs w:val="32"/>
          <w:highlight w:val="none"/>
          <w:lang w:val="en-US" w:eastAsia="zh-CN" w:bidi="ar"/>
        </w:rPr>
        <w:t>运营期</w:t>
      </w:r>
      <w:r>
        <w:rPr>
          <w:rFonts w:hint="default" w:ascii="Times New Roman" w:hAnsi="Times New Roman" w:eastAsia="仿宋" w:cs="Times New Roman"/>
          <w:bCs/>
          <w:snapToGrid w:val="0"/>
          <w:color w:val="auto"/>
          <w:spacing w:val="10"/>
          <w:kern w:val="0"/>
          <w:sz w:val="32"/>
          <w:szCs w:val="32"/>
          <w:highlight w:val="none"/>
          <w:lang w:val="en-US" w:eastAsia="zh-CN" w:bidi="ar"/>
        </w:rPr>
        <w:t>通过</w:t>
      </w:r>
      <w:r>
        <w:rPr>
          <w:rFonts w:hint="default" w:ascii="Times New Roman" w:hAnsi="Times New Roman" w:eastAsia="仿宋" w:cs="Times New Roman"/>
          <w:bCs/>
          <w:snapToGrid w:val="0"/>
          <w:color w:val="auto"/>
          <w:spacing w:val="10"/>
          <w:kern w:val="0"/>
          <w:sz w:val="32"/>
          <w:szCs w:val="32"/>
          <w:highlight w:val="none"/>
          <w:lang w:val="zh-TW" w:eastAsia="zh-CN" w:bidi="ar"/>
        </w:rPr>
        <w:t>厂房隔声、消音器、软连接、基础减振等措施，</w:t>
      </w:r>
      <w:r>
        <w:rPr>
          <w:rFonts w:hint="default" w:ascii="Times New Roman" w:hAnsi="Times New Roman" w:eastAsia="仿宋" w:cs="Times New Roman"/>
          <w:bCs/>
          <w:snapToGrid w:val="0"/>
          <w:color w:val="auto"/>
          <w:spacing w:val="10"/>
          <w:kern w:val="0"/>
          <w:sz w:val="32"/>
          <w:szCs w:val="32"/>
          <w:highlight w:val="none"/>
          <w:lang w:val="en-US" w:eastAsia="zh-CN" w:bidi="ar"/>
        </w:rPr>
        <w:t>厂界噪声</w:t>
      </w:r>
      <w:r>
        <w:rPr>
          <w:rFonts w:hint="eastAsia" w:ascii="Times New Roman" w:hAnsi="Times New Roman" w:eastAsia="仿宋" w:cs="Times New Roman"/>
          <w:bCs/>
          <w:snapToGrid w:val="0"/>
          <w:color w:val="auto"/>
          <w:spacing w:val="10"/>
          <w:kern w:val="0"/>
          <w:sz w:val="32"/>
          <w:szCs w:val="32"/>
          <w:highlight w:val="none"/>
          <w:lang w:val="en-US" w:eastAsia="zh-CN" w:bidi="ar"/>
        </w:rPr>
        <w:t>应</w:t>
      </w:r>
      <w:r>
        <w:rPr>
          <w:rFonts w:hint="default" w:ascii="Times New Roman" w:hAnsi="Times New Roman" w:eastAsia="仿宋" w:cs="Times New Roman"/>
          <w:bCs/>
          <w:snapToGrid w:val="0"/>
          <w:color w:val="auto"/>
          <w:spacing w:val="10"/>
          <w:kern w:val="0"/>
          <w:sz w:val="32"/>
          <w:szCs w:val="32"/>
          <w:highlight w:val="none"/>
          <w:lang w:val="en-US" w:eastAsia="zh-CN" w:bidi="ar"/>
        </w:rPr>
        <w:t>满足</w:t>
      </w:r>
      <w:r>
        <w:rPr>
          <w:rFonts w:hint="default" w:ascii="Times New Roman" w:hAnsi="Times New Roman" w:eastAsia="仿宋" w:cs="Times New Roman"/>
          <w:bCs/>
          <w:snapToGrid w:val="0"/>
          <w:color w:val="auto"/>
          <w:spacing w:val="10"/>
          <w:kern w:val="0"/>
          <w:sz w:val="32"/>
          <w:szCs w:val="32"/>
          <w:highlight w:val="none"/>
          <w:lang w:val="zh-CN" w:eastAsia="zh-CN" w:bidi="ar"/>
        </w:rPr>
        <w:t>《工业企业厂界环境噪声排放标准》（GB12348-2008）</w:t>
      </w:r>
      <w:r>
        <w:rPr>
          <w:rFonts w:hint="default" w:ascii="Times New Roman" w:hAnsi="Times New Roman" w:eastAsia="仿宋" w:cs="Times New Roman"/>
          <w:bCs/>
          <w:snapToGrid w:val="0"/>
          <w:color w:val="auto"/>
          <w:spacing w:val="10"/>
          <w:kern w:val="0"/>
          <w:sz w:val="32"/>
          <w:szCs w:val="32"/>
          <w:highlight w:val="none"/>
          <w:lang w:val="en-US" w:eastAsia="zh-CN" w:bidi="ar"/>
        </w:rPr>
        <w:t>3类、4类</w:t>
      </w:r>
      <w:r>
        <w:rPr>
          <w:rFonts w:hint="default" w:ascii="Times New Roman" w:hAnsi="Times New Roman" w:eastAsia="仿宋" w:cs="Times New Roman"/>
          <w:bCs/>
          <w:snapToGrid w:val="0"/>
          <w:color w:val="auto"/>
          <w:spacing w:val="10"/>
          <w:kern w:val="0"/>
          <w:sz w:val="32"/>
          <w:szCs w:val="32"/>
          <w:highlight w:val="none"/>
          <w:lang w:val="zh-CN" w:eastAsia="zh-CN" w:bidi="ar"/>
        </w:rPr>
        <w:t>标准要求</w:t>
      </w:r>
      <w:r>
        <w:rPr>
          <w:rFonts w:hint="default" w:ascii="Times New Roman" w:hAnsi="Times New Roman" w:eastAsia="仿宋" w:cs="Times New Roman"/>
          <w:bCs/>
          <w:sz w:val="32"/>
          <w:szCs w:val="32"/>
          <w:highlight w:val="none"/>
          <w:lang w:val="zh-CN" w:eastAsia="zh-CN" w:bidi="ar"/>
        </w:rPr>
        <w:t>。</w:t>
      </w:r>
    </w:p>
    <w:p w14:paraId="2150ECC3">
      <w:pPr>
        <w:keepNext w:val="0"/>
        <w:keepLines w:val="0"/>
        <w:pageBreakBefore w:val="0"/>
        <w:tabs>
          <w:tab w:val="left" w:pos="5812"/>
        </w:tabs>
        <w:kinsoku/>
        <w:wordWrap/>
        <w:overflowPunct/>
        <w:topLinePunct w:val="0"/>
        <w:bidi w:val="0"/>
        <w:adjustRightInd w:val="0"/>
        <w:snapToGrid w:val="0"/>
        <w:spacing w:line="600" w:lineRule="exact"/>
        <w:ind w:firstLine="640" w:firstLineChars="200"/>
        <w:jc w:val="both"/>
        <w:textAlignment w:val="auto"/>
        <w:rPr>
          <w:rFonts w:hint="default" w:ascii="Times New Roman" w:hAnsi="Times New Roman" w:eastAsia="仿宋" w:cs="Times New Roman"/>
          <w:bCs/>
          <w:color w:val="auto"/>
          <w:sz w:val="32"/>
          <w:szCs w:val="32"/>
          <w:highlight w:val="none"/>
          <w:lang w:val="en-US" w:eastAsia="zh-CN" w:bidi="ar"/>
        </w:rPr>
      </w:pP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Cs w:val="0"/>
          <w:snapToGrid/>
          <w:color w:val="auto"/>
          <w:spacing w:val="0"/>
          <w:kern w:val="2"/>
          <w:sz w:val="32"/>
          <w:szCs w:val="32"/>
          <w:highlight w:val="none"/>
          <w:lang w:val="en-US" w:eastAsia="zh-CN" w:bidi="ar-SA"/>
        </w:rPr>
        <w:t>五</w:t>
      </w: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 w:val="0"/>
          <w:bCs/>
          <w:iCs w:val="0"/>
          <w:snapToGrid w:val="0"/>
          <w:spacing w:val="10"/>
          <w:sz w:val="32"/>
          <w:szCs w:val="32"/>
          <w:highlight w:val="none"/>
          <w:lang w:val="zh-TW" w:eastAsia="zh-CN" w:bidi="ar-SA"/>
        </w:rPr>
        <w:t>严格落实固体废物污染防控措施</w:t>
      </w:r>
      <w:r>
        <w:rPr>
          <w:rFonts w:hint="default" w:ascii="Times New Roman" w:hAnsi="Times New Roman" w:eastAsia="楷体" w:cs="Times New Roman"/>
          <w:b w:val="0"/>
          <w:bCs/>
          <w:iCs w:val="0"/>
          <w:snapToGrid w:val="0"/>
          <w:color w:val="auto"/>
          <w:spacing w:val="10"/>
          <w:sz w:val="32"/>
          <w:szCs w:val="32"/>
          <w:highlight w:val="none"/>
          <w:lang w:val="zh-TW" w:eastAsia="zh-CN" w:bidi="ar-SA"/>
        </w:rPr>
        <w:t>。</w:t>
      </w:r>
      <w:r>
        <w:rPr>
          <w:rFonts w:hint="eastAsia" w:ascii="Times New Roman" w:hAnsi="Times New Roman" w:eastAsia="仿宋" w:cs="Times New Roman"/>
          <w:bCs/>
          <w:color w:val="auto"/>
          <w:sz w:val="32"/>
          <w:szCs w:val="32"/>
          <w:highlight w:val="none"/>
          <w:lang w:val="en-US" w:eastAsia="zh-CN" w:bidi="ar"/>
        </w:rPr>
        <w:t>本项目</w:t>
      </w:r>
      <w:r>
        <w:rPr>
          <w:rFonts w:hint="eastAsia" w:eastAsia="仿宋" w:cs="Times New Roman"/>
          <w:bCs/>
          <w:color w:val="auto"/>
          <w:sz w:val="32"/>
          <w:szCs w:val="32"/>
          <w:highlight w:val="none"/>
          <w:lang w:val="en-US" w:eastAsia="zh-CN" w:bidi="ar"/>
        </w:rPr>
        <w:t>废油脂、废液压油、废液压油桶</w:t>
      </w:r>
      <w:r>
        <w:rPr>
          <w:rFonts w:hint="eastAsia" w:ascii="Times New Roman" w:hAnsi="Times New Roman" w:eastAsia="仿宋" w:cs="Times New Roman"/>
          <w:bCs/>
          <w:color w:val="auto"/>
          <w:sz w:val="32"/>
          <w:szCs w:val="32"/>
          <w:highlight w:val="none"/>
          <w:lang w:val="en-US" w:eastAsia="zh-CN" w:bidi="ar"/>
        </w:rPr>
        <w:t>依托现有危险废物贮存库</w:t>
      </w:r>
      <w:r>
        <w:rPr>
          <w:rFonts w:hint="eastAsia" w:eastAsia="仿宋" w:cs="Times New Roman"/>
          <w:bCs/>
          <w:color w:val="auto"/>
          <w:sz w:val="32"/>
          <w:szCs w:val="32"/>
          <w:highlight w:val="none"/>
          <w:lang w:val="en-US" w:eastAsia="zh-CN" w:bidi="ar"/>
        </w:rPr>
        <w:t>（100m</w:t>
      </w:r>
      <w:r>
        <w:rPr>
          <w:rFonts w:hint="eastAsia" w:eastAsia="仿宋" w:cs="Times New Roman"/>
          <w:bCs/>
          <w:color w:val="auto"/>
          <w:sz w:val="32"/>
          <w:szCs w:val="32"/>
          <w:highlight w:val="none"/>
          <w:vertAlign w:val="superscript"/>
          <w:lang w:val="en-US" w:eastAsia="zh-CN" w:bidi="ar"/>
        </w:rPr>
        <w:t>2</w:t>
      </w:r>
      <w:r>
        <w:rPr>
          <w:rFonts w:hint="eastAsia" w:eastAsia="仿宋" w:cs="Times New Roman"/>
          <w:bCs/>
          <w:color w:val="auto"/>
          <w:sz w:val="32"/>
          <w:szCs w:val="32"/>
          <w:highlight w:val="none"/>
          <w:lang w:val="en-US" w:eastAsia="zh-CN" w:bidi="ar"/>
        </w:rPr>
        <w:t>）暂存，电炉除尘废布袋依托现有</w:t>
      </w:r>
      <w:r>
        <w:rPr>
          <w:rFonts w:hint="eastAsia" w:ascii="Times New Roman" w:hAnsi="Times New Roman" w:eastAsia="仿宋" w:cs="Times New Roman"/>
          <w:bCs/>
          <w:color w:val="auto"/>
          <w:sz w:val="32"/>
          <w:szCs w:val="32"/>
          <w:highlight w:val="none"/>
          <w:lang w:val="en-US" w:eastAsia="zh-CN" w:bidi="ar"/>
        </w:rPr>
        <w:t>危险废物贮存库</w:t>
      </w:r>
      <w:r>
        <w:rPr>
          <w:rFonts w:hint="eastAsia" w:eastAsia="仿宋" w:cs="Times New Roman"/>
          <w:bCs/>
          <w:color w:val="auto"/>
          <w:sz w:val="32"/>
          <w:szCs w:val="32"/>
          <w:highlight w:val="none"/>
          <w:lang w:val="en-US" w:eastAsia="zh-CN" w:bidi="ar"/>
        </w:rPr>
        <w:t>（300m</w:t>
      </w:r>
      <w:r>
        <w:rPr>
          <w:rFonts w:hint="eastAsia" w:eastAsia="仿宋" w:cs="Times New Roman"/>
          <w:bCs/>
          <w:color w:val="auto"/>
          <w:sz w:val="32"/>
          <w:szCs w:val="32"/>
          <w:highlight w:val="none"/>
          <w:vertAlign w:val="superscript"/>
          <w:lang w:val="en-US" w:eastAsia="zh-CN" w:bidi="ar"/>
        </w:rPr>
        <w:t>2</w:t>
      </w:r>
      <w:r>
        <w:rPr>
          <w:rFonts w:hint="eastAsia" w:eastAsia="仿宋" w:cs="Times New Roman"/>
          <w:bCs/>
          <w:color w:val="auto"/>
          <w:sz w:val="32"/>
          <w:szCs w:val="32"/>
          <w:highlight w:val="none"/>
          <w:lang w:val="en-US" w:eastAsia="zh-CN" w:bidi="ar"/>
        </w:rPr>
        <w:t>）暂存，废油脂、废液压油委托有资质单位处置，废液压油桶、电炉除尘废布袋依托本项目1#电炉焚烧利用处置，电炉炼钢烟气除尘灰压制成铁皮团块后，回电炉综合利用，剩余部分委托本溪东风湖钢铁资源利用有限公司处置。本项目一般固废电炉渣依托原有炉渣间暂存定期外运综合利用，废耐火材料、废布袋由厂家回收处置，铸余渣磁选回用渣铁后尾渣外运综合利用，氧化铁皮和金属废料回电炉综合利用，除尘灰产生后通过吸灰罐车定期送板材公司原料厂做烧结配料。</w:t>
      </w:r>
      <w:r>
        <w:rPr>
          <w:rFonts w:hint="eastAsia" w:ascii="Times New Roman" w:hAnsi="Times New Roman" w:eastAsia="仿宋" w:cs="Times New Roman"/>
          <w:bCs/>
          <w:color w:val="auto"/>
          <w:sz w:val="32"/>
          <w:szCs w:val="32"/>
          <w:highlight w:val="none"/>
          <w:lang w:val="en-US" w:eastAsia="zh-CN" w:bidi="ar"/>
        </w:rPr>
        <w:t>运营</w:t>
      </w:r>
      <w:r>
        <w:rPr>
          <w:rFonts w:hint="eastAsia" w:eastAsia="仿宋" w:cs="Times New Roman"/>
          <w:bCs/>
          <w:color w:val="auto"/>
          <w:sz w:val="32"/>
          <w:szCs w:val="32"/>
          <w:highlight w:val="none"/>
          <w:lang w:val="en-US" w:eastAsia="zh-CN" w:bidi="ar"/>
        </w:rPr>
        <w:t>期1#电炉处置利用危险废物，项目投产后应按照相关规定对1#电炉处置利用危废过程电炉渣进行危险废物鉴别，并根据鉴别结果进行妥善处置，未鉴别前按照危险废物进行管理。</w:t>
      </w:r>
      <w:r>
        <w:rPr>
          <w:rFonts w:hint="eastAsia" w:ascii="仿宋" w:hAnsi="仿宋" w:eastAsia="仿宋" w:cs="仿宋"/>
          <w:bCs/>
          <w:color w:val="auto"/>
          <w:sz w:val="32"/>
          <w:szCs w:val="32"/>
          <w:highlight w:val="none"/>
          <w:lang w:bidi="ar"/>
        </w:rPr>
        <w:t>一般固体废物</w:t>
      </w:r>
      <w:r>
        <w:rPr>
          <w:rFonts w:hint="default" w:ascii="仿宋" w:hAnsi="仿宋" w:eastAsia="仿宋" w:cs="仿宋"/>
          <w:bCs/>
          <w:color w:val="auto"/>
          <w:sz w:val="32"/>
          <w:szCs w:val="32"/>
          <w:highlight w:val="none"/>
          <w:lang w:val="en-US" w:eastAsia="zh-CN" w:bidi="ar"/>
        </w:rPr>
        <w:t>应</w:t>
      </w:r>
      <w:r>
        <w:rPr>
          <w:rFonts w:hint="eastAsia" w:ascii="仿宋" w:hAnsi="仿宋" w:eastAsia="仿宋" w:cs="仿宋"/>
          <w:bCs/>
          <w:color w:val="auto"/>
          <w:sz w:val="32"/>
          <w:szCs w:val="32"/>
          <w:highlight w:val="none"/>
          <w:lang w:val="en-US" w:eastAsia="zh-CN" w:bidi="ar"/>
        </w:rPr>
        <w:t>满足</w:t>
      </w:r>
      <w:r>
        <w:rPr>
          <w:rFonts w:hint="eastAsia" w:ascii="仿宋" w:hAnsi="仿宋" w:eastAsia="仿宋" w:cs="仿宋"/>
          <w:bCs/>
          <w:color w:val="auto"/>
          <w:sz w:val="32"/>
          <w:szCs w:val="32"/>
          <w:highlight w:val="none"/>
          <w:lang w:bidi="ar"/>
        </w:rPr>
        <w:t>《一般工业固体废物贮存和填埋污染控制标准》（GB18599-2020）相应</w:t>
      </w:r>
      <w:r>
        <w:rPr>
          <w:rFonts w:hint="eastAsia" w:ascii="仿宋" w:hAnsi="仿宋" w:eastAsia="仿宋"/>
          <w:bCs/>
          <w:color w:val="auto"/>
          <w:sz w:val="32"/>
          <w:szCs w:val="32"/>
          <w:highlight w:val="none"/>
        </w:rPr>
        <w:t>标准要求</w:t>
      </w:r>
      <w:r>
        <w:rPr>
          <w:rFonts w:hint="eastAsia" w:ascii="仿宋" w:hAnsi="仿宋" w:eastAsia="仿宋"/>
          <w:bCs/>
          <w:color w:val="auto"/>
          <w:sz w:val="32"/>
          <w:szCs w:val="32"/>
          <w:highlight w:val="none"/>
          <w:lang w:eastAsia="zh-CN"/>
        </w:rPr>
        <w:t>。</w:t>
      </w:r>
      <w:r>
        <w:rPr>
          <w:rFonts w:hint="default" w:ascii="仿宋" w:hAnsi="仿宋" w:eastAsia="仿宋" w:cs="仿宋"/>
          <w:bCs/>
          <w:color w:val="auto"/>
          <w:sz w:val="32"/>
          <w:szCs w:val="32"/>
          <w:highlight w:val="none"/>
          <w:lang w:val="en-US" w:eastAsia="zh-CN" w:bidi="ar"/>
        </w:rPr>
        <w:t>危险废物应满足《危险废物贮存污染控制标准》</w:t>
      </w:r>
      <w:r>
        <w:rPr>
          <w:rFonts w:hint="default" w:ascii="Times New Roman" w:hAnsi="Times New Roman" w:eastAsia="仿宋" w:cs="Times New Roman"/>
          <w:bCs/>
          <w:color w:val="auto"/>
          <w:sz w:val="32"/>
          <w:szCs w:val="32"/>
          <w:highlight w:val="none"/>
          <w:lang w:val="en-US" w:eastAsia="zh-CN" w:bidi="ar"/>
        </w:rPr>
        <w:t>（GB18597-2023）</w:t>
      </w:r>
      <w:r>
        <w:rPr>
          <w:rFonts w:hint="default" w:ascii="Times New Roman" w:hAnsi="Times New Roman" w:eastAsia="仿宋" w:cs="Times New Roman"/>
          <w:bCs/>
          <w:color w:val="auto"/>
          <w:sz w:val="32"/>
          <w:szCs w:val="32"/>
          <w:highlight w:val="none"/>
          <w:lang w:eastAsia="zh-CN" w:bidi="ar"/>
        </w:rPr>
        <w:t>。</w:t>
      </w:r>
    </w:p>
    <w:p w14:paraId="52402428">
      <w:pPr>
        <w:pStyle w:val="16"/>
        <w:keepNext w:val="0"/>
        <w:keepLines w:val="0"/>
        <w:pageBreakBefore w:val="0"/>
        <w:widowControl w:val="0"/>
        <w:kinsoku/>
        <w:wordWrap/>
        <w:overflowPunct/>
        <w:topLinePunct w:val="0"/>
        <w:autoSpaceDE/>
        <w:autoSpaceDN/>
        <w:bidi w:val="0"/>
        <w:spacing w:line="600" w:lineRule="exact"/>
        <w:ind w:left="0" w:leftChars="0" w:firstLine="640" w:firstLineChars="200"/>
        <w:jc w:val="both"/>
        <w:textAlignment w:val="auto"/>
        <w:rPr>
          <w:rFonts w:hint="default" w:ascii="Times New Roman" w:hAnsi="Times New Roman" w:eastAsia="仿宋" w:cs="Times New Roman"/>
          <w:sz w:val="32"/>
          <w:szCs w:val="32"/>
          <w:highlight w:val="none"/>
          <w:lang w:val="en-US" w:eastAsia="zh-CN" w:bidi="ar"/>
        </w:rPr>
      </w:pPr>
      <w:r>
        <w:rPr>
          <w:rFonts w:hint="default" w:ascii="Times New Roman" w:hAnsi="Times New Roman" w:eastAsia="楷体" w:cs="Times New Roman"/>
          <w:bCs w:val="0"/>
          <w:snapToGrid/>
          <w:color w:val="auto"/>
          <w:spacing w:val="0"/>
          <w:kern w:val="2"/>
          <w:sz w:val="32"/>
          <w:szCs w:val="32"/>
          <w:highlight w:val="none"/>
          <w:lang w:val="en-US" w:eastAsia="zh-CN" w:bidi="ar-SA"/>
        </w:rPr>
        <w:t>（</w:t>
      </w:r>
      <w:r>
        <w:rPr>
          <w:rFonts w:hint="default" w:ascii="Times New Roman" w:hAnsi="Times New Roman" w:eastAsia="楷体" w:cs="Times New Roman"/>
          <w:b w:val="0"/>
          <w:bCs/>
          <w:iCs w:val="0"/>
          <w:snapToGrid w:val="0"/>
          <w:spacing w:val="10"/>
          <w:sz w:val="32"/>
          <w:szCs w:val="32"/>
          <w:highlight w:val="none"/>
          <w:lang w:val="en-US" w:eastAsia="zh-CN" w:bidi="ar-SA"/>
        </w:rPr>
        <w:t>六</w:t>
      </w:r>
      <w:r>
        <w:rPr>
          <w:rFonts w:hint="default" w:ascii="Times New Roman" w:hAnsi="Times New Roman" w:eastAsia="楷体" w:cs="Times New Roman"/>
          <w:bCs w:val="0"/>
          <w:snapToGrid/>
          <w:color w:val="auto"/>
          <w:spacing w:val="0"/>
          <w:kern w:val="2"/>
          <w:sz w:val="32"/>
          <w:szCs w:val="32"/>
          <w:highlight w:val="none"/>
          <w:lang w:val="en-US" w:eastAsia="zh-CN" w:bidi="ar-SA"/>
        </w:rPr>
        <w:t>）</w:t>
      </w:r>
      <w:r>
        <w:rPr>
          <w:rFonts w:hint="default" w:ascii="Times New Roman" w:hAnsi="Times New Roman" w:eastAsia="楷体" w:cs="Times New Roman"/>
          <w:b w:val="0"/>
          <w:bCs/>
          <w:iCs w:val="0"/>
          <w:snapToGrid w:val="0"/>
          <w:spacing w:val="10"/>
          <w:sz w:val="32"/>
          <w:szCs w:val="32"/>
          <w:highlight w:val="none"/>
          <w:lang w:val="zh-TW" w:eastAsia="zh-CN" w:bidi="ar-SA"/>
        </w:rPr>
        <w:t>加强土壤及地下水环境管理。</w:t>
      </w:r>
      <w:r>
        <w:rPr>
          <w:rFonts w:hint="eastAsia" w:eastAsia="仿宋" w:cs="Times New Roman"/>
          <w:sz w:val="32"/>
          <w:szCs w:val="32"/>
          <w:highlight w:val="none"/>
          <w:lang w:val="en-US" w:eastAsia="zh-CN" w:bidi="ar"/>
        </w:rPr>
        <w:t>本项目在现有炼钢车间内建设，防渗措施均依托现有，企业应根据《排污许可证申请与核发技术规范 钢铁工业》（HJ846-2017）及《工业企业土壤和地下水自行监测 技术指南（试行）》（HJ1209-2021）要求</w:t>
      </w:r>
      <w:r>
        <w:rPr>
          <w:rFonts w:hint="eastAsia" w:ascii="Times New Roman" w:hAnsi="Times New Roman" w:eastAsia="仿宋" w:cs="Times New Roman"/>
          <w:sz w:val="32"/>
          <w:szCs w:val="32"/>
          <w:highlight w:val="none"/>
          <w:lang w:val="en-US" w:eastAsia="zh-CN" w:bidi="ar"/>
        </w:rPr>
        <w:t>定期开展土壤、地下水跟踪监测。</w:t>
      </w:r>
    </w:p>
    <w:p w14:paraId="682BAEB7">
      <w:pPr>
        <w:pStyle w:val="16"/>
        <w:keepNext w:val="0"/>
        <w:keepLines w:val="0"/>
        <w:pageBreakBefore w:val="0"/>
        <w:widowControl w:val="0"/>
        <w:kinsoku/>
        <w:wordWrap/>
        <w:overflowPunct/>
        <w:topLinePunct w:val="0"/>
        <w:autoSpaceDE/>
        <w:autoSpaceDN/>
        <w:bidi w:val="0"/>
        <w:spacing w:line="600" w:lineRule="exact"/>
        <w:ind w:left="0" w:leftChars="0" w:firstLine="640" w:firstLineChars="200"/>
        <w:jc w:val="both"/>
        <w:textAlignment w:val="auto"/>
        <w:rPr>
          <w:rFonts w:hint="default" w:ascii="Times New Roman" w:hAnsi="Times New Roman" w:eastAsia="仿宋" w:cs="Times New Roman"/>
          <w:bCs/>
          <w:snapToGrid w:val="0"/>
          <w:color w:val="auto"/>
          <w:spacing w:val="10"/>
          <w:sz w:val="32"/>
          <w:szCs w:val="32"/>
          <w:highlight w:val="none"/>
          <w:lang w:val="en-US" w:eastAsia="zh-CN" w:bidi="ar-SA"/>
        </w:rPr>
      </w:pPr>
      <w:r>
        <w:rPr>
          <w:rFonts w:hint="default" w:ascii="Times New Roman" w:hAnsi="Times New Roman" w:eastAsia="楷体" w:cs="Times New Roman"/>
          <w:bCs w:val="0"/>
          <w:snapToGrid/>
          <w:color w:val="auto"/>
          <w:spacing w:val="0"/>
          <w:kern w:val="2"/>
          <w:sz w:val="32"/>
          <w:szCs w:val="32"/>
          <w:highlight w:val="none"/>
          <w:lang w:val="en-US" w:eastAsia="zh-CN" w:bidi="ar-SA"/>
        </w:rPr>
        <w:t>（七）严格落实环境风险防控措施。</w:t>
      </w:r>
      <w:r>
        <w:rPr>
          <w:rFonts w:hint="default" w:ascii="Times New Roman" w:hAnsi="Times New Roman" w:eastAsia="仿宋" w:cs="Times New Roman"/>
          <w:sz w:val="32"/>
          <w:szCs w:val="32"/>
          <w:highlight w:val="none"/>
          <w:lang w:val="en-US" w:eastAsia="zh-CN" w:bidi="ar"/>
        </w:rPr>
        <w:t>你公司应按照相关规定，做好突发环境事件应急预案的编制和备案工作，并做好项目环境应急的风险控制、应急准备、应急处置和事后恢复等工</w:t>
      </w:r>
      <w:r>
        <w:rPr>
          <w:rFonts w:hint="eastAsia" w:ascii="Times New Roman" w:hAnsi="Times New Roman" w:eastAsia="仿宋" w:cs="Times New Roman"/>
          <w:sz w:val="32"/>
          <w:szCs w:val="32"/>
          <w:highlight w:val="none"/>
          <w:lang w:val="en-US" w:eastAsia="zh-CN" w:bidi="ar"/>
        </w:rPr>
        <w:t>作，</w:t>
      </w:r>
      <w:r>
        <w:rPr>
          <w:rFonts w:hint="default" w:ascii="Times New Roman" w:hAnsi="Times New Roman" w:eastAsia="仿宋" w:cs="Times New Roman"/>
          <w:sz w:val="32"/>
          <w:szCs w:val="32"/>
          <w:highlight w:val="none"/>
          <w:lang w:val="en-US" w:eastAsia="zh-CN" w:bidi="ar"/>
        </w:rPr>
        <w:t>并定期</w:t>
      </w:r>
      <w:r>
        <w:rPr>
          <w:rFonts w:hint="default" w:ascii="Times New Roman" w:hAnsi="Times New Roman" w:eastAsia="仿宋" w:cs="Times New Roman"/>
          <w:bCs/>
          <w:snapToGrid w:val="0"/>
          <w:color w:val="auto"/>
          <w:spacing w:val="10"/>
          <w:sz w:val="32"/>
          <w:szCs w:val="32"/>
          <w:highlight w:val="none"/>
          <w:lang w:val="en-US" w:eastAsia="zh-CN" w:bidi="ar-SA"/>
        </w:rPr>
        <w:t>开展培训及演练。</w:t>
      </w:r>
    </w:p>
    <w:p w14:paraId="57C7EB62">
      <w:pPr>
        <w:keepNext w:val="0"/>
        <w:keepLines w:val="0"/>
        <w:pageBreakBefore w:val="0"/>
        <w:widowControl w:val="0"/>
        <w:kinsoku/>
        <w:wordWrap/>
        <w:overflowPunct/>
        <w:topLinePunct w:val="0"/>
        <w:autoSpaceDE w:val="0"/>
        <w:autoSpaceDN w:val="0"/>
        <w:bidi w:val="0"/>
        <w:adjustRightInd w:val="0"/>
        <w:snapToGrid/>
        <w:spacing w:line="600" w:lineRule="exact"/>
        <w:ind w:left="0" w:leftChars="0" w:firstLine="680" w:firstLineChars="200"/>
        <w:jc w:val="both"/>
        <w:textAlignment w:val="auto"/>
        <w:rPr>
          <w:rFonts w:hint="eastAsia" w:ascii="仿宋" w:hAnsi="仿宋" w:eastAsia="仿宋" w:cs="仿宋"/>
          <w:color w:val="auto"/>
          <w:sz w:val="32"/>
          <w:szCs w:val="32"/>
          <w:highlight w:val="none"/>
          <w:lang w:val="en-US" w:eastAsia="zh-CN"/>
        </w:rPr>
      </w:pPr>
      <w:r>
        <w:rPr>
          <w:rFonts w:hint="eastAsia" w:ascii="Times New Roman" w:hAnsi="Times New Roman" w:eastAsia="仿宋" w:cs="Times New Roman"/>
          <w:bCs/>
          <w:snapToGrid w:val="0"/>
          <w:color w:val="auto"/>
          <w:spacing w:val="10"/>
          <w:sz w:val="32"/>
          <w:szCs w:val="32"/>
          <w:highlight w:val="none"/>
          <w:lang w:val="en-US" w:eastAsia="zh-CN" w:bidi="ar-SA"/>
        </w:rPr>
        <w:t>三、</w:t>
      </w:r>
      <w:r>
        <w:rPr>
          <w:rFonts w:hint="default" w:ascii="Times New Roman" w:hAnsi="Times New Roman" w:eastAsia="仿宋" w:cs="Times New Roman"/>
          <w:bCs/>
          <w:snapToGrid w:val="0"/>
          <w:color w:val="auto"/>
          <w:spacing w:val="10"/>
          <w:sz w:val="32"/>
          <w:szCs w:val="32"/>
          <w:highlight w:val="none"/>
          <w:lang w:val="en-US" w:eastAsia="zh-CN" w:bidi="ar-SA"/>
        </w:rPr>
        <w:t>你公司应落实生态环境保护主体责任，严格执行排污许可制度</w:t>
      </w:r>
      <w:r>
        <w:rPr>
          <w:rFonts w:hint="eastAsia" w:ascii="Times New Roman" w:hAnsi="Times New Roman" w:eastAsia="仿宋" w:cs="Times New Roman"/>
          <w:bCs/>
          <w:snapToGrid w:val="0"/>
          <w:color w:val="auto"/>
          <w:spacing w:val="10"/>
          <w:sz w:val="32"/>
          <w:szCs w:val="32"/>
          <w:highlight w:val="none"/>
          <w:lang w:val="en-US" w:eastAsia="zh-CN" w:bidi="ar-SA"/>
        </w:rPr>
        <w:t>和总量控制制度</w:t>
      </w:r>
      <w:r>
        <w:rPr>
          <w:rFonts w:hint="default" w:ascii="Times New Roman" w:hAnsi="Times New Roman" w:eastAsia="仿宋" w:cs="Times New Roman"/>
          <w:bCs/>
          <w:snapToGrid w:val="0"/>
          <w:color w:val="auto"/>
          <w:spacing w:val="10"/>
          <w:sz w:val="32"/>
          <w:szCs w:val="32"/>
          <w:highlight w:val="none"/>
          <w:lang w:val="en-US" w:eastAsia="zh-CN" w:bidi="ar-SA"/>
        </w:rPr>
        <w:t>。建立企业内部生态环境管理机构和体系，明确人员、职责和制</w:t>
      </w:r>
      <w:r>
        <w:rPr>
          <w:rFonts w:hint="default" w:ascii="Times New Roman" w:hAnsi="Times New Roman" w:eastAsia="仿宋" w:cs="Times New Roman"/>
          <w:color w:val="auto"/>
          <w:sz w:val="32"/>
          <w:szCs w:val="32"/>
          <w:highlight w:val="none"/>
          <w:shd w:val="clear"/>
        </w:rPr>
        <w:t>度，</w:t>
      </w:r>
      <w:r>
        <w:rPr>
          <w:rFonts w:hint="default" w:ascii="Times New Roman" w:hAnsi="Times New Roman" w:eastAsia="仿宋" w:cs="Times New Roman"/>
          <w:color w:val="auto"/>
          <w:sz w:val="32"/>
          <w:szCs w:val="32"/>
          <w:highlight w:val="none"/>
        </w:rPr>
        <w:t>加强生态环境管理，推进各项生态环境保护措施落实。按照相关法律法规和技术标准规范要求，开展环保设备设施安全风险辨识评估和隐患排查治理，落实安全生产各项责任措施。项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 w:cs="Times New Roman"/>
          <w:color w:val="auto"/>
          <w:sz w:val="32"/>
          <w:szCs w:val="32"/>
          <w:highlight w:val="none"/>
          <w:lang w:eastAsia="zh-CN"/>
        </w:rPr>
        <w:t>，</w:t>
      </w:r>
      <w:r>
        <w:rPr>
          <w:rFonts w:hint="default" w:ascii="Times New Roman" w:hAnsi="Times New Roman" w:eastAsia="仿宋" w:cs="Times New Roman"/>
          <w:bCs w:val="0"/>
          <w:snapToGrid/>
          <w:color w:val="auto"/>
          <w:spacing w:val="0"/>
          <w:kern w:val="2"/>
          <w:sz w:val="32"/>
          <w:szCs w:val="32"/>
          <w:highlight w:val="none"/>
        </w:rPr>
        <w:t>项目竣工后，须按规定程序实施竣工环境保护验收，并向社会进行公示</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p>
    <w:p w14:paraId="116BAE1F">
      <w:pPr>
        <w:pStyle w:val="46"/>
        <w:keepNext w:val="0"/>
        <w:keepLines w:val="0"/>
        <w:pageBreakBefore w:val="0"/>
        <w:widowControl w:val="0"/>
        <w:kinsoku/>
        <w:wordWrap/>
        <w:overflowPunct/>
        <w:topLinePunct w:val="0"/>
        <w:bidi w:val="0"/>
        <w:snapToGrid/>
        <w:spacing w:line="600" w:lineRule="exact"/>
        <w:ind w:left="0" w:leftChars="0" w:firstLine="640"/>
        <w:jc w:val="both"/>
        <w:textAlignment w:val="auto"/>
        <w:rPr>
          <w:rFonts w:hint="default" w:ascii="Times New Roman" w:hAnsi="Times New Roman" w:eastAsia="仿宋" w:cs="Times New Roman"/>
          <w:color w:val="auto"/>
          <w:spacing w:val="0"/>
          <w:kern w:val="2"/>
          <w:sz w:val="32"/>
          <w:szCs w:val="32"/>
          <w:highlight w:val="none"/>
          <w:lang w:val="en-US"/>
        </w:rPr>
      </w:pPr>
      <w:r>
        <w:rPr>
          <w:rFonts w:hint="eastAsia" w:eastAsia="仿宋" w:cs="Times New Roman"/>
          <w:color w:val="auto"/>
          <w:spacing w:val="0"/>
          <w:kern w:val="2"/>
          <w:sz w:val="32"/>
          <w:szCs w:val="32"/>
          <w:highlight w:val="none"/>
          <w:lang w:val="en-US" w:eastAsia="zh-CN"/>
        </w:rPr>
        <w:t>四</w:t>
      </w:r>
      <w:r>
        <w:rPr>
          <w:rFonts w:hint="default" w:ascii="Times New Roman" w:hAnsi="Times New Roman" w:eastAsia="仿宋" w:cs="Times New Roman"/>
          <w:color w:val="auto"/>
          <w:spacing w:val="0"/>
          <w:kern w:val="2"/>
          <w:sz w:val="32"/>
          <w:szCs w:val="32"/>
          <w:highlight w:val="none"/>
          <w:lang w:val="en-US"/>
        </w:rPr>
        <w:t>、环境影响报告</w:t>
      </w:r>
      <w:r>
        <w:rPr>
          <w:rFonts w:hint="eastAsia" w:eastAsia="仿宋" w:cs="Times New Roman"/>
          <w:color w:val="auto"/>
          <w:spacing w:val="0"/>
          <w:kern w:val="2"/>
          <w:sz w:val="32"/>
          <w:szCs w:val="32"/>
          <w:highlight w:val="none"/>
          <w:lang w:val="en-US" w:eastAsia="zh-CN"/>
        </w:rPr>
        <w:t>书</w:t>
      </w:r>
      <w:r>
        <w:rPr>
          <w:rFonts w:hint="default" w:ascii="Times New Roman" w:hAnsi="Times New Roman" w:eastAsia="仿宋" w:cs="Times New Roman"/>
          <w:color w:val="auto"/>
          <w:spacing w:val="0"/>
          <w:kern w:val="2"/>
          <w:sz w:val="32"/>
          <w:szCs w:val="32"/>
          <w:highlight w:val="none"/>
          <w:lang w:val="en-US"/>
        </w:rPr>
        <w:t>批准后，该项目的性质、规模、地点、生产工艺或者污染防治措施发生重大变动，且可能导致环境影响显著变化</w:t>
      </w:r>
      <w:r>
        <w:rPr>
          <w:rFonts w:hint="default" w:ascii="Times New Roman" w:hAnsi="Times New Roman" w:eastAsia="仿宋" w:cs="Times New Roman"/>
          <w:color w:val="auto"/>
          <w:spacing w:val="0"/>
          <w:kern w:val="2"/>
          <w:sz w:val="32"/>
          <w:szCs w:val="32"/>
          <w:highlight w:val="none"/>
          <w:lang w:val="en-US" w:eastAsia="zh-CN"/>
        </w:rPr>
        <w:t>(</w:t>
      </w:r>
      <w:r>
        <w:rPr>
          <w:rFonts w:hint="default" w:ascii="Times New Roman" w:hAnsi="Times New Roman" w:eastAsia="仿宋" w:cs="Times New Roman"/>
          <w:color w:val="auto"/>
          <w:spacing w:val="0"/>
          <w:kern w:val="2"/>
          <w:sz w:val="32"/>
          <w:szCs w:val="32"/>
          <w:highlight w:val="none"/>
          <w:lang w:val="en-US"/>
        </w:rPr>
        <w:t>特别是不利环境影响加重</w:t>
      </w:r>
      <w:r>
        <w:rPr>
          <w:rFonts w:hint="default" w:ascii="Times New Roman" w:hAnsi="Times New Roman" w:eastAsia="仿宋" w:cs="Times New Roman"/>
          <w:color w:val="auto"/>
          <w:spacing w:val="0"/>
          <w:kern w:val="2"/>
          <w:sz w:val="32"/>
          <w:szCs w:val="32"/>
          <w:highlight w:val="none"/>
          <w:lang w:val="en-US" w:eastAsia="zh-CN"/>
        </w:rPr>
        <w:t>)</w:t>
      </w:r>
      <w:r>
        <w:rPr>
          <w:rFonts w:hint="default" w:ascii="Times New Roman" w:hAnsi="Times New Roman" w:eastAsia="仿宋" w:cs="Times New Roman"/>
          <w:color w:val="auto"/>
          <w:spacing w:val="0"/>
          <w:kern w:val="2"/>
          <w:sz w:val="32"/>
          <w:szCs w:val="32"/>
          <w:highlight w:val="none"/>
          <w:lang w:val="en-US"/>
        </w:rPr>
        <w:t>，应当重新报批该项目环境影响文件。</w:t>
      </w:r>
    </w:p>
    <w:p w14:paraId="59B75EAE">
      <w:pPr>
        <w:pStyle w:val="46"/>
        <w:keepNext w:val="0"/>
        <w:keepLines w:val="0"/>
        <w:pageBreakBefore w:val="0"/>
        <w:widowControl w:val="0"/>
        <w:kinsoku/>
        <w:wordWrap/>
        <w:overflowPunct/>
        <w:topLinePunct w:val="0"/>
        <w:bidi w:val="0"/>
        <w:snapToGrid/>
        <w:spacing w:line="600" w:lineRule="exact"/>
        <w:ind w:left="0" w:leftChars="0" w:firstLine="640"/>
        <w:jc w:val="both"/>
        <w:textAlignment w:val="auto"/>
        <w:rPr>
          <w:rFonts w:hint="default" w:ascii="Times New Roman" w:hAnsi="Times New Roman" w:eastAsia="仿宋" w:cs="Times New Roman"/>
          <w:color w:val="auto"/>
          <w:spacing w:val="0"/>
          <w:kern w:val="2"/>
          <w:sz w:val="32"/>
          <w:szCs w:val="32"/>
          <w:highlight w:val="none"/>
          <w:lang w:val="en-US"/>
        </w:rPr>
      </w:pPr>
      <w:r>
        <w:rPr>
          <w:rFonts w:hint="eastAsia" w:eastAsia="仿宋" w:cs="Times New Roman"/>
          <w:color w:val="auto"/>
          <w:spacing w:val="0"/>
          <w:kern w:val="2"/>
          <w:sz w:val="32"/>
          <w:szCs w:val="32"/>
          <w:highlight w:val="none"/>
          <w:lang w:val="en-US" w:eastAsia="zh-CN"/>
        </w:rPr>
        <w:t>五</w:t>
      </w:r>
      <w:r>
        <w:rPr>
          <w:rFonts w:hint="default" w:ascii="Times New Roman" w:hAnsi="Times New Roman" w:eastAsia="仿宋" w:cs="Times New Roman"/>
          <w:color w:val="auto"/>
          <w:spacing w:val="0"/>
          <w:kern w:val="2"/>
          <w:sz w:val="32"/>
          <w:szCs w:val="32"/>
          <w:highlight w:val="none"/>
          <w:lang w:val="en-US"/>
        </w:rPr>
        <w:t>、项目日常环境监督检查工作由本溪市生态环境保护综合行政执法队负责。</w:t>
      </w:r>
    </w:p>
    <w:p w14:paraId="788615FE">
      <w:pPr>
        <w:keepNext w:val="0"/>
        <w:keepLines w:val="0"/>
        <w:pageBreakBefore w:val="0"/>
        <w:kinsoku/>
        <w:wordWrap/>
        <w:overflowPunct/>
        <w:topLinePunct w:val="0"/>
        <w:bidi w:val="0"/>
        <w:spacing w:line="600" w:lineRule="exact"/>
        <w:textAlignment w:val="auto"/>
        <w:rPr>
          <w:rFonts w:hint="default"/>
          <w:highlight w:val="none"/>
          <w:lang w:val="en-US"/>
        </w:rPr>
      </w:pPr>
    </w:p>
    <w:p w14:paraId="45CA7865">
      <w:pPr>
        <w:keepNext w:val="0"/>
        <w:keepLines w:val="0"/>
        <w:pageBreakBefore w:val="0"/>
        <w:kinsoku/>
        <w:wordWrap/>
        <w:overflowPunct/>
        <w:topLinePunct w:val="0"/>
        <w:bidi w:val="0"/>
        <w:spacing w:line="600" w:lineRule="exact"/>
        <w:ind w:left="0" w:leftChars="0" w:firstLine="2998" w:firstLineChars="882"/>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本溪市生态环境局</w:t>
      </w:r>
    </w:p>
    <w:p w14:paraId="0E655DCC">
      <w:pPr>
        <w:keepNext w:val="0"/>
        <w:keepLines w:val="0"/>
        <w:pageBreakBefore w:val="0"/>
        <w:kinsoku/>
        <w:wordWrap/>
        <w:overflowPunct/>
        <w:topLinePunct w:val="0"/>
        <w:bidi w:val="0"/>
        <w:spacing w:line="600" w:lineRule="exact"/>
        <w:ind w:left="0" w:leftChars="0" w:firstLine="2998" w:firstLineChars="882"/>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202</w:t>
      </w:r>
      <w:r>
        <w:rPr>
          <w:rFonts w:hint="eastAsia"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年</w:t>
      </w:r>
      <w:r>
        <w:rPr>
          <w:rFonts w:hint="eastAsia"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月</w:t>
      </w:r>
      <w:r>
        <w:rPr>
          <w:rFonts w:hint="eastAsia" w:eastAsia="仿宋" w:cs="Times New Roman"/>
          <w:color w:val="auto"/>
          <w:sz w:val="32"/>
          <w:szCs w:val="32"/>
          <w:highlight w:val="none"/>
          <w:lang w:val="en-US" w:eastAsia="zh-CN"/>
        </w:rPr>
        <w:t>24</w:t>
      </w:r>
      <w:r>
        <w:rPr>
          <w:rFonts w:hint="default" w:ascii="Times New Roman" w:hAnsi="Times New Roman" w:eastAsia="仿宋" w:cs="Times New Roman"/>
          <w:color w:val="auto"/>
          <w:sz w:val="32"/>
          <w:szCs w:val="32"/>
          <w:highlight w:val="none"/>
        </w:rPr>
        <w:t>日</w:t>
      </w:r>
    </w:p>
    <w:p w14:paraId="49424A08">
      <w:pPr>
        <w:keepNext w:val="0"/>
        <w:keepLines w:val="0"/>
        <w:pageBreakBefore w:val="0"/>
        <w:kinsoku/>
        <w:wordWrap/>
        <w:overflowPunct/>
        <w:topLinePunct w:val="0"/>
        <w:bidi w:val="0"/>
        <w:snapToGrid w:val="0"/>
        <w:spacing w:line="600" w:lineRule="exact"/>
        <w:ind w:left="0" w:leftChars="0" w:firstLine="680" w:firstLineChars="200"/>
        <w:textAlignment w:val="auto"/>
        <w:rPr>
          <w:rFonts w:hint="default" w:ascii="Times New Roman" w:hAnsi="Times New Roman" w:eastAsia="仿宋" w:cs="Times New Roman"/>
          <w:color w:val="auto"/>
          <w:sz w:val="32"/>
          <w:szCs w:val="32"/>
          <w:highlight w:val="none"/>
          <w:lang w:eastAsia="zh-CN"/>
        </w:rPr>
      </w:pPr>
    </w:p>
    <w:p w14:paraId="09E1B26E">
      <w:pPr>
        <w:keepNext w:val="0"/>
        <w:keepLines w:val="0"/>
        <w:pageBreakBefore w:val="0"/>
        <w:kinsoku/>
        <w:wordWrap/>
        <w:overflowPunct/>
        <w:topLinePunct w:val="0"/>
        <w:bidi w:val="0"/>
        <w:snapToGrid w:val="0"/>
        <w:spacing w:line="600" w:lineRule="exact"/>
        <w:ind w:left="0" w:leftChars="0" w:firstLine="680" w:firstLineChars="200"/>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此件公开发布</w:t>
      </w:r>
      <w:r>
        <w:rPr>
          <w:rFonts w:hint="default" w:ascii="Times New Roman" w:hAnsi="Times New Roman" w:eastAsia="仿宋" w:cs="Times New Roman"/>
          <w:color w:val="auto"/>
          <w:sz w:val="32"/>
          <w:szCs w:val="32"/>
          <w:highlight w:val="none"/>
          <w:lang w:eastAsia="zh-CN"/>
        </w:rPr>
        <w:t>)</w:t>
      </w:r>
    </w:p>
    <w:p w14:paraId="0D57CE54">
      <w:pPr>
        <w:keepNext w:val="0"/>
        <w:keepLines w:val="0"/>
        <w:pageBreakBefore w:val="0"/>
        <w:kinsoku/>
        <w:wordWrap/>
        <w:overflowPunct/>
        <w:topLinePunct w:val="0"/>
        <w:bidi w:val="0"/>
        <w:snapToGrid w:val="0"/>
        <w:spacing w:line="600" w:lineRule="exact"/>
        <w:ind w:left="0" w:leftChars="0" w:firstLine="680" w:firstLineChars="200"/>
        <w:textAlignment w:val="auto"/>
        <w:rPr>
          <w:rFonts w:hint="default" w:ascii="Times New Roman" w:hAnsi="Times New Roman" w:eastAsia="仿宋" w:cs="Times New Roman"/>
          <w:color w:val="auto"/>
          <w:sz w:val="32"/>
          <w:szCs w:val="32"/>
          <w:highlight w:val="none"/>
          <w:lang w:eastAsia="zh-CN"/>
        </w:rPr>
      </w:pPr>
    </w:p>
    <w:p w14:paraId="4A8DE53A">
      <w:pPr>
        <w:keepNext w:val="0"/>
        <w:keepLines w:val="0"/>
        <w:pageBreakBefore w:val="0"/>
        <w:kinsoku/>
        <w:wordWrap/>
        <w:overflowPunct/>
        <w:topLinePunct w:val="0"/>
        <w:bidi w:val="0"/>
        <w:snapToGrid w:val="0"/>
        <w:spacing w:line="600" w:lineRule="exact"/>
        <w:ind w:left="0" w:leftChars="0" w:firstLine="680" w:firstLineChars="200"/>
        <w:textAlignment w:val="auto"/>
        <w:rPr>
          <w:rFonts w:hint="default" w:ascii="Times New Roman" w:hAnsi="Times New Roman" w:eastAsia="仿宋" w:cs="Times New Roman"/>
          <w:color w:val="auto"/>
          <w:sz w:val="32"/>
          <w:szCs w:val="32"/>
          <w:highlight w:val="none"/>
          <w:lang w:eastAsia="zh-CN"/>
        </w:rPr>
      </w:pPr>
    </w:p>
    <w:p w14:paraId="2AA6B541">
      <w:pPr>
        <w:keepNext w:val="0"/>
        <w:keepLines w:val="0"/>
        <w:pageBreakBefore w:val="0"/>
        <w:kinsoku/>
        <w:wordWrap/>
        <w:overflowPunct/>
        <w:topLinePunct w:val="0"/>
        <w:bidi w:val="0"/>
        <w:snapToGrid w:val="0"/>
        <w:spacing w:line="600" w:lineRule="exact"/>
        <w:ind w:left="1105" w:leftChars="0" w:hanging="1105" w:hangingChars="325"/>
        <w:textAlignment w:val="auto"/>
        <w:rPr>
          <w:rFonts w:hint="default" w:ascii="Times New Roman" w:hAnsi="Times New Roman" w:eastAsia="仿宋" w:cs="Times New Roman"/>
          <w:color w:val="auto"/>
          <w:highlight w:val="none"/>
          <w:lang w:eastAsia="zh-CN"/>
        </w:rPr>
      </w:pPr>
      <w:r>
        <w:rPr>
          <w:rFonts w:hint="default" w:ascii="Times New Roman" w:hAnsi="Times New Roman" w:eastAsia="仿宋" w:cs="Times New Roman"/>
          <w:color w:val="auto"/>
          <w:sz w:val="32"/>
          <w:szCs w:val="32"/>
          <w:highlight w:val="none"/>
        </w:rPr>
        <w:t>抄送：本溪市生态环境保护综合执法队、</w:t>
      </w:r>
      <w:r>
        <w:rPr>
          <w:rFonts w:hint="default" w:ascii="Times New Roman" w:hAnsi="Times New Roman" w:eastAsia="仿宋" w:cs="Times New Roman"/>
          <w:color w:val="auto"/>
          <w:sz w:val="32"/>
          <w:szCs w:val="32"/>
          <w:highlight w:val="none"/>
          <w:lang w:val="en-US" w:eastAsia="zh-CN"/>
        </w:rPr>
        <w:t>本溪市生态环境服务中心、</w:t>
      </w:r>
      <w:r>
        <w:rPr>
          <w:rFonts w:hint="default" w:ascii="Times New Roman" w:hAnsi="Times New Roman" w:eastAsia="仿宋" w:cs="Times New Roman"/>
          <w:color w:val="auto"/>
          <w:sz w:val="32"/>
          <w:szCs w:val="32"/>
          <w:highlight w:val="none"/>
          <w:lang w:eastAsia="zh-CN"/>
        </w:rPr>
        <w:t>辽宁博创环保技术有限公司</w:t>
      </w:r>
      <w:bookmarkStart w:id="0" w:name="_GoBack"/>
      <w:bookmarkEnd w:id="0"/>
    </w:p>
    <w:sectPr>
      <w:footerReference r:id="rId4" w:type="first"/>
      <w:footerReference r:id="rId3" w:type="default"/>
      <w:pgSz w:w="11907" w:h="16840"/>
      <w:pgMar w:top="1440" w:right="1701" w:bottom="1600" w:left="1701"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18EA">
    <w:pPr>
      <w:pStyle w:val="1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A90CF">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9FA90CF">
                    <w:pPr>
                      <w:pStyle w:val="1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761E">
    <w:pPr>
      <w:pStyle w:val="1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B9100">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9B9100">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6"/>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iMDYxMWRhZWM2MTUzZjFhYTI5MTE2MDI0Y2MxYjU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F517A"/>
    <w:rsid w:val="00A00642"/>
    <w:rsid w:val="00B513B6"/>
    <w:rsid w:val="00B5544D"/>
    <w:rsid w:val="00B82B10"/>
    <w:rsid w:val="00BF399E"/>
    <w:rsid w:val="00C212FE"/>
    <w:rsid w:val="00C27F5D"/>
    <w:rsid w:val="00C65306"/>
    <w:rsid w:val="00CE1454"/>
    <w:rsid w:val="00D04025"/>
    <w:rsid w:val="00D10361"/>
    <w:rsid w:val="00D21309"/>
    <w:rsid w:val="00E14769"/>
    <w:rsid w:val="00E72B00"/>
    <w:rsid w:val="00E919E4"/>
    <w:rsid w:val="00EA7BA7"/>
    <w:rsid w:val="00EB577A"/>
    <w:rsid w:val="00ED515A"/>
    <w:rsid w:val="00F77E0F"/>
    <w:rsid w:val="00FE4037"/>
    <w:rsid w:val="018402E7"/>
    <w:rsid w:val="018502B5"/>
    <w:rsid w:val="01A43D0E"/>
    <w:rsid w:val="01DD3C4D"/>
    <w:rsid w:val="01F307D6"/>
    <w:rsid w:val="02112401"/>
    <w:rsid w:val="023326FA"/>
    <w:rsid w:val="02435241"/>
    <w:rsid w:val="02EB73E1"/>
    <w:rsid w:val="02EC2C31"/>
    <w:rsid w:val="03033A8D"/>
    <w:rsid w:val="03197850"/>
    <w:rsid w:val="032E7B21"/>
    <w:rsid w:val="03303E50"/>
    <w:rsid w:val="03873BFC"/>
    <w:rsid w:val="03F874F3"/>
    <w:rsid w:val="043C314F"/>
    <w:rsid w:val="04BC7BAF"/>
    <w:rsid w:val="04DB5D92"/>
    <w:rsid w:val="059C2AE4"/>
    <w:rsid w:val="05D35D57"/>
    <w:rsid w:val="06FF24E5"/>
    <w:rsid w:val="0712113E"/>
    <w:rsid w:val="07131B19"/>
    <w:rsid w:val="076063E3"/>
    <w:rsid w:val="076B441E"/>
    <w:rsid w:val="07CC09EB"/>
    <w:rsid w:val="07DC6755"/>
    <w:rsid w:val="082C33D6"/>
    <w:rsid w:val="083D4AEB"/>
    <w:rsid w:val="08583943"/>
    <w:rsid w:val="089963F4"/>
    <w:rsid w:val="08B72D2E"/>
    <w:rsid w:val="08BC4217"/>
    <w:rsid w:val="08F301FA"/>
    <w:rsid w:val="096A420C"/>
    <w:rsid w:val="09F41F94"/>
    <w:rsid w:val="0A051C47"/>
    <w:rsid w:val="0A102E1A"/>
    <w:rsid w:val="0A723503"/>
    <w:rsid w:val="0AA02A98"/>
    <w:rsid w:val="0AA57A54"/>
    <w:rsid w:val="0ADC78C8"/>
    <w:rsid w:val="0AE636BA"/>
    <w:rsid w:val="0B362BA8"/>
    <w:rsid w:val="0B675FDC"/>
    <w:rsid w:val="0B8B050F"/>
    <w:rsid w:val="0BC775EF"/>
    <w:rsid w:val="0BF73EE3"/>
    <w:rsid w:val="0C25610D"/>
    <w:rsid w:val="0C27068D"/>
    <w:rsid w:val="0C4548C9"/>
    <w:rsid w:val="0C5E598A"/>
    <w:rsid w:val="0C6B1E0D"/>
    <w:rsid w:val="0CF14A50"/>
    <w:rsid w:val="0D1129FD"/>
    <w:rsid w:val="0D34791F"/>
    <w:rsid w:val="0D3D0438"/>
    <w:rsid w:val="0D483827"/>
    <w:rsid w:val="0D8D297C"/>
    <w:rsid w:val="0DA40281"/>
    <w:rsid w:val="0DBA0D48"/>
    <w:rsid w:val="0DE54E65"/>
    <w:rsid w:val="0DE8336D"/>
    <w:rsid w:val="0E1B69A8"/>
    <w:rsid w:val="0E2D331F"/>
    <w:rsid w:val="0E3A4191"/>
    <w:rsid w:val="0EA47C31"/>
    <w:rsid w:val="0EB31E80"/>
    <w:rsid w:val="0EDE798E"/>
    <w:rsid w:val="0F36663F"/>
    <w:rsid w:val="0F403D21"/>
    <w:rsid w:val="0F917E25"/>
    <w:rsid w:val="0FF21094"/>
    <w:rsid w:val="100E5690"/>
    <w:rsid w:val="10820EE8"/>
    <w:rsid w:val="10E41D25"/>
    <w:rsid w:val="10EC5351"/>
    <w:rsid w:val="10F57E48"/>
    <w:rsid w:val="10FD7E68"/>
    <w:rsid w:val="115E01DA"/>
    <w:rsid w:val="11803F9C"/>
    <w:rsid w:val="11F23CD4"/>
    <w:rsid w:val="12394F79"/>
    <w:rsid w:val="12704669"/>
    <w:rsid w:val="129E02B8"/>
    <w:rsid w:val="12B75DF4"/>
    <w:rsid w:val="12BC340B"/>
    <w:rsid w:val="130C1D8B"/>
    <w:rsid w:val="13C10435"/>
    <w:rsid w:val="13C20DC8"/>
    <w:rsid w:val="13DB63D4"/>
    <w:rsid w:val="13E405F4"/>
    <w:rsid w:val="13FA463A"/>
    <w:rsid w:val="14411E19"/>
    <w:rsid w:val="144C07BE"/>
    <w:rsid w:val="144C3DF9"/>
    <w:rsid w:val="148B5FBC"/>
    <w:rsid w:val="14AB3737"/>
    <w:rsid w:val="14E44445"/>
    <w:rsid w:val="14F06F9F"/>
    <w:rsid w:val="15187863"/>
    <w:rsid w:val="15973CBB"/>
    <w:rsid w:val="15EF0DCB"/>
    <w:rsid w:val="162348F1"/>
    <w:rsid w:val="1650577F"/>
    <w:rsid w:val="16816734"/>
    <w:rsid w:val="16897AA8"/>
    <w:rsid w:val="170F59E5"/>
    <w:rsid w:val="17116A77"/>
    <w:rsid w:val="172B0B5F"/>
    <w:rsid w:val="172B374B"/>
    <w:rsid w:val="173C7F33"/>
    <w:rsid w:val="17487070"/>
    <w:rsid w:val="1796435B"/>
    <w:rsid w:val="18027CCB"/>
    <w:rsid w:val="1806146D"/>
    <w:rsid w:val="182D164E"/>
    <w:rsid w:val="190E3680"/>
    <w:rsid w:val="19201A4E"/>
    <w:rsid w:val="19334C26"/>
    <w:rsid w:val="196120AF"/>
    <w:rsid w:val="196447A9"/>
    <w:rsid w:val="19EC5D2C"/>
    <w:rsid w:val="19F0117F"/>
    <w:rsid w:val="1A1E63CF"/>
    <w:rsid w:val="1AB701F7"/>
    <w:rsid w:val="1AFB7C4D"/>
    <w:rsid w:val="1B010714"/>
    <w:rsid w:val="1B065B6B"/>
    <w:rsid w:val="1B0A19BB"/>
    <w:rsid w:val="1B4F3FC9"/>
    <w:rsid w:val="1BC4552A"/>
    <w:rsid w:val="1BCD288A"/>
    <w:rsid w:val="1BEB45CE"/>
    <w:rsid w:val="1C630E26"/>
    <w:rsid w:val="1CBF2475"/>
    <w:rsid w:val="1CC46D5E"/>
    <w:rsid w:val="1D267DE3"/>
    <w:rsid w:val="1D983B4C"/>
    <w:rsid w:val="1DD928A8"/>
    <w:rsid w:val="1DEE2BDF"/>
    <w:rsid w:val="1E08381E"/>
    <w:rsid w:val="1E1975C7"/>
    <w:rsid w:val="1E260AE7"/>
    <w:rsid w:val="1E272038"/>
    <w:rsid w:val="1E49784A"/>
    <w:rsid w:val="1E625D79"/>
    <w:rsid w:val="1E655C76"/>
    <w:rsid w:val="1E7352C5"/>
    <w:rsid w:val="1EC13813"/>
    <w:rsid w:val="1EE933EB"/>
    <w:rsid w:val="1F333E85"/>
    <w:rsid w:val="1F5A46D7"/>
    <w:rsid w:val="1FCB08A1"/>
    <w:rsid w:val="1FDC6D7A"/>
    <w:rsid w:val="20277593"/>
    <w:rsid w:val="204B786A"/>
    <w:rsid w:val="20E23C78"/>
    <w:rsid w:val="2101752F"/>
    <w:rsid w:val="210511F8"/>
    <w:rsid w:val="21352D06"/>
    <w:rsid w:val="214E2B5A"/>
    <w:rsid w:val="216F2DE6"/>
    <w:rsid w:val="219F6246"/>
    <w:rsid w:val="21C66054"/>
    <w:rsid w:val="21F10161"/>
    <w:rsid w:val="226F4570"/>
    <w:rsid w:val="22983C4D"/>
    <w:rsid w:val="22ED6098"/>
    <w:rsid w:val="233521D5"/>
    <w:rsid w:val="23A5288A"/>
    <w:rsid w:val="241B24EC"/>
    <w:rsid w:val="245C7D77"/>
    <w:rsid w:val="24883A94"/>
    <w:rsid w:val="24FA1ECF"/>
    <w:rsid w:val="251C0943"/>
    <w:rsid w:val="259B0AB8"/>
    <w:rsid w:val="25E00B77"/>
    <w:rsid w:val="25F91D3B"/>
    <w:rsid w:val="26062970"/>
    <w:rsid w:val="26A821CC"/>
    <w:rsid w:val="26C17FC8"/>
    <w:rsid w:val="26DA3B12"/>
    <w:rsid w:val="26E16DB9"/>
    <w:rsid w:val="27036581"/>
    <w:rsid w:val="270F6A91"/>
    <w:rsid w:val="27521AEB"/>
    <w:rsid w:val="275360B2"/>
    <w:rsid w:val="2779341F"/>
    <w:rsid w:val="28A71F0D"/>
    <w:rsid w:val="28B46187"/>
    <w:rsid w:val="28E55E8C"/>
    <w:rsid w:val="28EA0DA1"/>
    <w:rsid w:val="29250BF5"/>
    <w:rsid w:val="29257339"/>
    <w:rsid w:val="29A0545F"/>
    <w:rsid w:val="29AD18A3"/>
    <w:rsid w:val="2A077D23"/>
    <w:rsid w:val="2A0F2D3A"/>
    <w:rsid w:val="2A261057"/>
    <w:rsid w:val="2B6C1593"/>
    <w:rsid w:val="2B8A1DF5"/>
    <w:rsid w:val="2BB138D1"/>
    <w:rsid w:val="2BD13068"/>
    <w:rsid w:val="2BF821DF"/>
    <w:rsid w:val="2C0C4FAB"/>
    <w:rsid w:val="2CBF28F0"/>
    <w:rsid w:val="2CC42B0C"/>
    <w:rsid w:val="2CDC2BCF"/>
    <w:rsid w:val="2CE518FD"/>
    <w:rsid w:val="2CFE05A2"/>
    <w:rsid w:val="2D2A665D"/>
    <w:rsid w:val="2D684463"/>
    <w:rsid w:val="2D7678C5"/>
    <w:rsid w:val="2DC14CC4"/>
    <w:rsid w:val="2DE61A6C"/>
    <w:rsid w:val="2E0D6C32"/>
    <w:rsid w:val="2E2E0D4A"/>
    <w:rsid w:val="2E80471D"/>
    <w:rsid w:val="2EAA2EEF"/>
    <w:rsid w:val="2EB227E3"/>
    <w:rsid w:val="2F6A55B8"/>
    <w:rsid w:val="2FBB4E44"/>
    <w:rsid w:val="2FD91648"/>
    <w:rsid w:val="2FFB5400"/>
    <w:rsid w:val="309E6E18"/>
    <w:rsid w:val="30EF5F72"/>
    <w:rsid w:val="30F72AF3"/>
    <w:rsid w:val="30FC55EE"/>
    <w:rsid w:val="315E0057"/>
    <w:rsid w:val="316A07AA"/>
    <w:rsid w:val="322A3A6B"/>
    <w:rsid w:val="327D458F"/>
    <w:rsid w:val="32922F50"/>
    <w:rsid w:val="32EE0F67"/>
    <w:rsid w:val="32F32A21"/>
    <w:rsid w:val="3316226B"/>
    <w:rsid w:val="331C0B79"/>
    <w:rsid w:val="3363011D"/>
    <w:rsid w:val="33634ED9"/>
    <w:rsid w:val="33FD3A7A"/>
    <w:rsid w:val="34552F55"/>
    <w:rsid w:val="34657EA4"/>
    <w:rsid w:val="349B511E"/>
    <w:rsid w:val="34C25A6D"/>
    <w:rsid w:val="34DB6452"/>
    <w:rsid w:val="356E0B85"/>
    <w:rsid w:val="35C64E84"/>
    <w:rsid w:val="35ED0490"/>
    <w:rsid w:val="3632641D"/>
    <w:rsid w:val="364D2448"/>
    <w:rsid w:val="367B7967"/>
    <w:rsid w:val="36E7716E"/>
    <w:rsid w:val="37EA0C97"/>
    <w:rsid w:val="38141050"/>
    <w:rsid w:val="381A5280"/>
    <w:rsid w:val="3829737E"/>
    <w:rsid w:val="38397128"/>
    <w:rsid w:val="384016A7"/>
    <w:rsid w:val="387D7E92"/>
    <w:rsid w:val="390153E5"/>
    <w:rsid w:val="39176E67"/>
    <w:rsid w:val="397B0459"/>
    <w:rsid w:val="398C5B0A"/>
    <w:rsid w:val="39E7009F"/>
    <w:rsid w:val="39FB720A"/>
    <w:rsid w:val="3A087A14"/>
    <w:rsid w:val="3A3C6A5B"/>
    <w:rsid w:val="3A95280D"/>
    <w:rsid w:val="3B2075C0"/>
    <w:rsid w:val="3BA3206B"/>
    <w:rsid w:val="3BCE402B"/>
    <w:rsid w:val="3BEE647B"/>
    <w:rsid w:val="3BF17763"/>
    <w:rsid w:val="3C162A79"/>
    <w:rsid w:val="3C1A7270"/>
    <w:rsid w:val="3C213BF5"/>
    <w:rsid w:val="3C477FB1"/>
    <w:rsid w:val="3CF90C34"/>
    <w:rsid w:val="3D2E4C07"/>
    <w:rsid w:val="3D513EB5"/>
    <w:rsid w:val="3D673DEF"/>
    <w:rsid w:val="3DBB0A2E"/>
    <w:rsid w:val="3DC47D28"/>
    <w:rsid w:val="3DC64D6D"/>
    <w:rsid w:val="3DD6559A"/>
    <w:rsid w:val="3DDE5C76"/>
    <w:rsid w:val="3E0D68B8"/>
    <w:rsid w:val="3E2E36AF"/>
    <w:rsid w:val="3E326604"/>
    <w:rsid w:val="3E4573F0"/>
    <w:rsid w:val="3E9D741F"/>
    <w:rsid w:val="3EA34143"/>
    <w:rsid w:val="3EA67CD0"/>
    <w:rsid w:val="3EA94EFD"/>
    <w:rsid w:val="3EDE4585"/>
    <w:rsid w:val="3F5B45E9"/>
    <w:rsid w:val="3F9159FA"/>
    <w:rsid w:val="3FC05C56"/>
    <w:rsid w:val="3FFB06A8"/>
    <w:rsid w:val="40046CA8"/>
    <w:rsid w:val="40296F4A"/>
    <w:rsid w:val="403D64A9"/>
    <w:rsid w:val="405E3BCF"/>
    <w:rsid w:val="414D090F"/>
    <w:rsid w:val="419B050B"/>
    <w:rsid w:val="41B76CB4"/>
    <w:rsid w:val="41E43173"/>
    <w:rsid w:val="41F73FFF"/>
    <w:rsid w:val="42A033BF"/>
    <w:rsid w:val="42EA4E42"/>
    <w:rsid w:val="432B6695"/>
    <w:rsid w:val="435272F0"/>
    <w:rsid w:val="435979DC"/>
    <w:rsid w:val="43AA411E"/>
    <w:rsid w:val="43B2156B"/>
    <w:rsid w:val="4413747D"/>
    <w:rsid w:val="444E57F2"/>
    <w:rsid w:val="44AF3E5C"/>
    <w:rsid w:val="451868F6"/>
    <w:rsid w:val="453F0CD6"/>
    <w:rsid w:val="456D21BF"/>
    <w:rsid w:val="45A24D25"/>
    <w:rsid w:val="45AC718B"/>
    <w:rsid w:val="45C02133"/>
    <w:rsid w:val="45D37EC6"/>
    <w:rsid w:val="464078D3"/>
    <w:rsid w:val="46927F2C"/>
    <w:rsid w:val="46A368AE"/>
    <w:rsid w:val="46C2653A"/>
    <w:rsid w:val="46C626A7"/>
    <w:rsid w:val="46DD15C6"/>
    <w:rsid w:val="46EB7B00"/>
    <w:rsid w:val="47044DA5"/>
    <w:rsid w:val="474F4E44"/>
    <w:rsid w:val="480055EE"/>
    <w:rsid w:val="482E528F"/>
    <w:rsid w:val="485711CD"/>
    <w:rsid w:val="48694BF1"/>
    <w:rsid w:val="486F4CFB"/>
    <w:rsid w:val="486F752A"/>
    <w:rsid w:val="487703B1"/>
    <w:rsid w:val="489B2349"/>
    <w:rsid w:val="48CB0CFF"/>
    <w:rsid w:val="491004AC"/>
    <w:rsid w:val="49125027"/>
    <w:rsid w:val="494565CC"/>
    <w:rsid w:val="495C5EEE"/>
    <w:rsid w:val="49952D80"/>
    <w:rsid w:val="49C550C7"/>
    <w:rsid w:val="49DA1036"/>
    <w:rsid w:val="4A061107"/>
    <w:rsid w:val="4A6B1E80"/>
    <w:rsid w:val="4A784A78"/>
    <w:rsid w:val="4A8B3CA4"/>
    <w:rsid w:val="4B325411"/>
    <w:rsid w:val="4B3C64FF"/>
    <w:rsid w:val="4C1A4723"/>
    <w:rsid w:val="4C31567B"/>
    <w:rsid w:val="4C8233D1"/>
    <w:rsid w:val="4C916512"/>
    <w:rsid w:val="4CB66B41"/>
    <w:rsid w:val="4CD07C03"/>
    <w:rsid w:val="4CEA67EB"/>
    <w:rsid w:val="4CED0B60"/>
    <w:rsid w:val="4CF95FDB"/>
    <w:rsid w:val="4D4A5F5E"/>
    <w:rsid w:val="4DBE3E5E"/>
    <w:rsid w:val="4E7A212F"/>
    <w:rsid w:val="4E847A59"/>
    <w:rsid w:val="4F284A1F"/>
    <w:rsid w:val="4F6C4EA5"/>
    <w:rsid w:val="50000D7C"/>
    <w:rsid w:val="502E5634"/>
    <w:rsid w:val="504F45A9"/>
    <w:rsid w:val="50711030"/>
    <w:rsid w:val="50760BB0"/>
    <w:rsid w:val="5088591F"/>
    <w:rsid w:val="509A1D28"/>
    <w:rsid w:val="516205C2"/>
    <w:rsid w:val="51624BA2"/>
    <w:rsid w:val="517E6B14"/>
    <w:rsid w:val="519F24F7"/>
    <w:rsid w:val="520F3B0B"/>
    <w:rsid w:val="521F78DE"/>
    <w:rsid w:val="52302EF2"/>
    <w:rsid w:val="52654E30"/>
    <w:rsid w:val="52957EF4"/>
    <w:rsid w:val="52A25C2B"/>
    <w:rsid w:val="52B15FA1"/>
    <w:rsid w:val="52F61F59"/>
    <w:rsid w:val="535865DB"/>
    <w:rsid w:val="54031DFA"/>
    <w:rsid w:val="54040192"/>
    <w:rsid w:val="54123D18"/>
    <w:rsid w:val="541741D6"/>
    <w:rsid w:val="54460748"/>
    <w:rsid w:val="54722B28"/>
    <w:rsid w:val="547814E5"/>
    <w:rsid w:val="54A668B4"/>
    <w:rsid w:val="54A8633F"/>
    <w:rsid w:val="54ED079A"/>
    <w:rsid w:val="5528771B"/>
    <w:rsid w:val="552A3826"/>
    <w:rsid w:val="555770FA"/>
    <w:rsid w:val="55632085"/>
    <w:rsid w:val="55CF7191"/>
    <w:rsid w:val="55DB72FA"/>
    <w:rsid w:val="5611428B"/>
    <w:rsid w:val="56597161"/>
    <w:rsid w:val="56912749"/>
    <w:rsid w:val="574855E8"/>
    <w:rsid w:val="576552F4"/>
    <w:rsid w:val="57A5314F"/>
    <w:rsid w:val="57B63E99"/>
    <w:rsid w:val="57E645FA"/>
    <w:rsid w:val="58164938"/>
    <w:rsid w:val="584305A6"/>
    <w:rsid w:val="58771241"/>
    <w:rsid w:val="58AF1ED7"/>
    <w:rsid w:val="59684D1F"/>
    <w:rsid w:val="5A160B46"/>
    <w:rsid w:val="5A26447F"/>
    <w:rsid w:val="5A8011D0"/>
    <w:rsid w:val="5A822A56"/>
    <w:rsid w:val="5AA65CD3"/>
    <w:rsid w:val="5B0311A3"/>
    <w:rsid w:val="5B1533D9"/>
    <w:rsid w:val="5B1E5BCC"/>
    <w:rsid w:val="5BAD274A"/>
    <w:rsid w:val="5BD74C6E"/>
    <w:rsid w:val="5BE50BA6"/>
    <w:rsid w:val="5C2E0695"/>
    <w:rsid w:val="5CA02A22"/>
    <w:rsid w:val="5CE15514"/>
    <w:rsid w:val="5D105DFA"/>
    <w:rsid w:val="5D1E45B7"/>
    <w:rsid w:val="5D5061F6"/>
    <w:rsid w:val="5D767C22"/>
    <w:rsid w:val="5DC539D3"/>
    <w:rsid w:val="5DCB3ACF"/>
    <w:rsid w:val="5DE4494F"/>
    <w:rsid w:val="5DF70D68"/>
    <w:rsid w:val="5E023994"/>
    <w:rsid w:val="5E101564"/>
    <w:rsid w:val="5E1F43E2"/>
    <w:rsid w:val="5ED03A93"/>
    <w:rsid w:val="5ED76892"/>
    <w:rsid w:val="5F0D013B"/>
    <w:rsid w:val="5FB96CF3"/>
    <w:rsid w:val="60376DFB"/>
    <w:rsid w:val="60943284"/>
    <w:rsid w:val="60A429B1"/>
    <w:rsid w:val="60F8107F"/>
    <w:rsid w:val="6116474A"/>
    <w:rsid w:val="61AB5CF3"/>
    <w:rsid w:val="61B551C2"/>
    <w:rsid w:val="61E5788F"/>
    <w:rsid w:val="6215357F"/>
    <w:rsid w:val="62204A3D"/>
    <w:rsid w:val="6241266D"/>
    <w:rsid w:val="628547BD"/>
    <w:rsid w:val="629658CD"/>
    <w:rsid w:val="62984579"/>
    <w:rsid w:val="62BB3BC6"/>
    <w:rsid w:val="62C007E7"/>
    <w:rsid w:val="630B680E"/>
    <w:rsid w:val="635A29F5"/>
    <w:rsid w:val="636228EB"/>
    <w:rsid w:val="6449757E"/>
    <w:rsid w:val="645F01E2"/>
    <w:rsid w:val="649B5961"/>
    <w:rsid w:val="64C216F4"/>
    <w:rsid w:val="64D846F3"/>
    <w:rsid w:val="64E92302"/>
    <w:rsid w:val="656568E6"/>
    <w:rsid w:val="666D1130"/>
    <w:rsid w:val="674865FC"/>
    <w:rsid w:val="67A01CFD"/>
    <w:rsid w:val="686234CD"/>
    <w:rsid w:val="689036B8"/>
    <w:rsid w:val="68CA1553"/>
    <w:rsid w:val="68EB7E6E"/>
    <w:rsid w:val="691B69B6"/>
    <w:rsid w:val="691F232A"/>
    <w:rsid w:val="69641DB9"/>
    <w:rsid w:val="6A1178C7"/>
    <w:rsid w:val="6A1F7D84"/>
    <w:rsid w:val="6ADE6F38"/>
    <w:rsid w:val="6AE0311F"/>
    <w:rsid w:val="6AFD7857"/>
    <w:rsid w:val="6B240457"/>
    <w:rsid w:val="6B3A6A4D"/>
    <w:rsid w:val="6C026FBD"/>
    <w:rsid w:val="6C046B37"/>
    <w:rsid w:val="6C146412"/>
    <w:rsid w:val="6C1A6167"/>
    <w:rsid w:val="6C3118E9"/>
    <w:rsid w:val="6C46674A"/>
    <w:rsid w:val="6C6104BC"/>
    <w:rsid w:val="6CA24CCE"/>
    <w:rsid w:val="6CCE55B8"/>
    <w:rsid w:val="6D110A00"/>
    <w:rsid w:val="6D61634E"/>
    <w:rsid w:val="6D6F2F8C"/>
    <w:rsid w:val="6DA73A96"/>
    <w:rsid w:val="6DC96DD7"/>
    <w:rsid w:val="6E0355E0"/>
    <w:rsid w:val="6EDF2BD2"/>
    <w:rsid w:val="6EEA0E9F"/>
    <w:rsid w:val="6EF74724"/>
    <w:rsid w:val="6F97156A"/>
    <w:rsid w:val="6FAE190D"/>
    <w:rsid w:val="700B75C7"/>
    <w:rsid w:val="703A5210"/>
    <w:rsid w:val="710234E6"/>
    <w:rsid w:val="7148130E"/>
    <w:rsid w:val="71804EA4"/>
    <w:rsid w:val="718B55F7"/>
    <w:rsid w:val="720505F7"/>
    <w:rsid w:val="720C2BDC"/>
    <w:rsid w:val="72122136"/>
    <w:rsid w:val="72411EE6"/>
    <w:rsid w:val="728C4044"/>
    <w:rsid w:val="72A90315"/>
    <w:rsid w:val="72F64917"/>
    <w:rsid w:val="73143AAC"/>
    <w:rsid w:val="734D6776"/>
    <w:rsid w:val="7377440F"/>
    <w:rsid w:val="73942E89"/>
    <w:rsid w:val="73C44722"/>
    <w:rsid w:val="74155FFE"/>
    <w:rsid w:val="7460720F"/>
    <w:rsid w:val="74B113BF"/>
    <w:rsid w:val="74C841A4"/>
    <w:rsid w:val="74EB1043"/>
    <w:rsid w:val="75214D75"/>
    <w:rsid w:val="75460511"/>
    <w:rsid w:val="75674200"/>
    <w:rsid w:val="75F307DE"/>
    <w:rsid w:val="768C2AEF"/>
    <w:rsid w:val="76C41A5E"/>
    <w:rsid w:val="76C770D1"/>
    <w:rsid w:val="77587BF9"/>
    <w:rsid w:val="777D6539"/>
    <w:rsid w:val="77A14A92"/>
    <w:rsid w:val="77B21B30"/>
    <w:rsid w:val="77D76FEA"/>
    <w:rsid w:val="77FF51B6"/>
    <w:rsid w:val="78306CA6"/>
    <w:rsid w:val="78BA0B71"/>
    <w:rsid w:val="78D635FC"/>
    <w:rsid w:val="78D67AA0"/>
    <w:rsid w:val="78EE7899"/>
    <w:rsid w:val="79870D9A"/>
    <w:rsid w:val="79AC07A9"/>
    <w:rsid w:val="7A3A29FC"/>
    <w:rsid w:val="7A4D63F4"/>
    <w:rsid w:val="7A5F3547"/>
    <w:rsid w:val="7A6608C9"/>
    <w:rsid w:val="7AA55685"/>
    <w:rsid w:val="7AD95625"/>
    <w:rsid w:val="7AEE7323"/>
    <w:rsid w:val="7B5A1BAF"/>
    <w:rsid w:val="7B7E4530"/>
    <w:rsid w:val="7BCD76C7"/>
    <w:rsid w:val="7C940A8C"/>
    <w:rsid w:val="7CB4284F"/>
    <w:rsid w:val="7CE90E33"/>
    <w:rsid w:val="7D40373A"/>
    <w:rsid w:val="7D746944"/>
    <w:rsid w:val="7D7A5255"/>
    <w:rsid w:val="7DCC76C3"/>
    <w:rsid w:val="7E135D43"/>
    <w:rsid w:val="7E3239CA"/>
    <w:rsid w:val="7E6D4936"/>
    <w:rsid w:val="7E7D27A3"/>
    <w:rsid w:val="7E863FE4"/>
    <w:rsid w:val="7EAA3560"/>
    <w:rsid w:val="7EBA2597"/>
    <w:rsid w:val="7F026D70"/>
    <w:rsid w:val="7F086945"/>
    <w:rsid w:val="7FAD2C5D"/>
    <w:rsid w:val="7FAE51C9"/>
    <w:rsid w:val="7FBB0DA4"/>
    <w:rsid w:val="7FE14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qFormat/>
    <w:uiPriority w:val="0"/>
    <w:pPr>
      <w:keepNext/>
      <w:keepLines/>
      <w:spacing w:before="260" w:after="260" w:line="416" w:lineRule="auto"/>
      <w:outlineLvl w:val="2"/>
    </w:pPr>
    <w:rPr>
      <w:b/>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List 3"/>
    <w:basedOn w:val="1"/>
    <w:next w:val="1"/>
    <w:qFormat/>
    <w:uiPriority w:val="0"/>
    <w:pPr>
      <w:ind w:left="100" w:leftChars="400" w:hanging="200" w:hangingChars="200"/>
    </w:pPr>
  </w:style>
  <w:style w:type="paragraph" w:styleId="5">
    <w:name w:val="Normal Indent"/>
    <w:basedOn w:val="1"/>
    <w:next w:val="1"/>
    <w:qFormat/>
    <w:uiPriority w:val="0"/>
    <w:pPr>
      <w:ind w:firstLine="420" w:firstLineChars="200"/>
    </w:pPr>
    <w:rPr>
      <w:rFonts w:ascii="Arial" w:hAnsi="Arial" w:cs="Arial"/>
      <w:sz w:val="21"/>
    </w:rPr>
  </w:style>
  <w:style w:type="paragraph" w:styleId="6">
    <w:name w:val="annotation text"/>
    <w:basedOn w:val="1"/>
    <w:qFormat/>
    <w:uiPriority w:val="0"/>
    <w:pPr>
      <w:jc w:val="left"/>
    </w:pPr>
  </w:style>
  <w:style w:type="paragraph" w:styleId="7">
    <w:name w:val="Body Text"/>
    <w:basedOn w:val="1"/>
    <w:next w:val="8"/>
    <w:qFormat/>
    <w:uiPriority w:val="0"/>
    <w:pPr>
      <w:widowControl/>
      <w:snapToGrid w:val="0"/>
      <w:spacing w:before="60" w:after="160" w:line="259" w:lineRule="auto"/>
      <w:ind w:right="113"/>
    </w:pPr>
    <w:rPr>
      <w:sz w:val="18"/>
      <w:szCs w:val="20"/>
    </w:rPr>
  </w:style>
  <w:style w:type="paragraph" w:customStyle="1" w:styleId="8">
    <w:name w:val="Default"/>
    <w:basedOn w:val="9"/>
    <w:next w:val="1"/>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9">
    <w:name w:val="纯文本1"/>
    <w:basedOn w:val="1"/>
    <w:next w:val="10"/>
    <w:qFormat/>
    <w:uiPriority w:val="0"/>
    <w:rPr>
      <w:rFonts w:ascii="宋体" w:hAnsi="Courier New" w:cs="Courier New"/>
      <w:sz w:val="21"/>
      <w:szCs w:val="21"/>
    </w:rPr>
  </w:style>
  <w:style w:type="paragraph" w:styleId="10">
    <w:name w:val="Plain Text"/>
    <w:basedOn w:val="1"/>
    <w:next w:val="11"/>
    <w:qFormat/>
    <w:uiPriority w:val="0"/>
    <w:rPr>
      <w:rFonts w:ascii="宋体" w:hAnsi="Courier New" w:cs="Courier New"/>
      <w:sz w:val="21"/>
      <w:szCs w:val="21"/>
    </w:rPr>
  </w:style>
  <w:style w:type="paragraph" w:styleId="11">
    <w:name w:val="toc 1"/>
    <w:basedOn w:val="1"/>
    <w:next w:val="1"/>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2">
    <w:name w:val="Body Text Indent"/>
    <w:basedOn w:val="1"/>
    <w:next w:val="13"/>
    <w:qFormat/>
    <w:uiPriority w:val="0"/>
    <w:pPr>
      <w:adjustRightInd w:val="0"/>
      <w:snapToGrid w:val="0"/>
      <w:spacing w:line="300" w:lineRule="auto"/>
      <w:ind w:firstLine="680" w:firstLineChars="200"/>
    </w:pPr>
    <w:rPr>
      <w:rFonts w:ascii="仿宋_GB2312" w:hAnsi="宋体" w:eastAsia="仿宋_GB2312"/>
      <w:sz w:val="32"/>
    </w:rPr>
  </w:style>
  <w:style w:type="paragraph" w:styleId="13">
    <w:name w:val="header"/>
    <w:basedOn w:val="1"/>
    <w:next w:val="14"/>
    <w:qFormat/>
    <w:uiPriority w:val="0"/>
    <w:pPr>
      <w:pBdr>
        <w:bottom w:val="single" w:color="auto" w:sz="6" w:space="1"/>
      </w:pBdr>
      <w:tabs>
        <w:tab w:val="center" w:pos="4153"/>
        <w:tab w:val="right" w:pos="8306"/>
      </w:tabs>
      <w:snapToGrid w:val="0"/>
      <w:jc w:val="center"/>
    </w:pPr>
    <w:rPr>
      <w:sz w:val="18"/>
      <w:szCs w:val="18"/>
    </w:rPr>
  </w:style>
  <w:style w:type="paragraph" w:customStyle="1" w:styleId="14">
    <w:name w:val="样式5"/>
    <w:basedOn w:val="5"/>
    <w:next w:val="1"/>
    <w:qFormat/>
    <w:uiPriority w:val="0"/>
    <w:pPr>
      <w:spacing w:line="380" w:lineRule="exact"/>
      <w:ind w:firstLine="566" w:firstLineChars="202"/>
    </w:pPr>
    <w:rPr>
      <w:rFonts w:ascii="Times New Roman" w:hAnsi="Times New Roman" w:eastAsia="华文行楷" w:cs="Times New Roman"/>
      <w:sz w:val="28"/>
    </w:rPr>
  </w:style>
  <w:style w:type="paragraph" w:styleId="15">
    <w:name w:val="Body Text Indent 2"/>
    <w:basedOn w:val="1"/>
    <w:next w:val="1"/>
    <w:qFormat/>
    <w:uiPriority w:val="0"/>
    <w:pPr>
      <w:spacing w:line="500" w:lineRule="exact"/>
      <w:ind w:left="72" w:hanging="72" w:hangingChars="30"/>
      <w:jc w:val="left"/>
    </w:pPr>
    <w:rPr>
      <w:rFonts w:ascii="宋体" w:hAnsi="宋体"/>
      <w:sz w:val="24"/>
    </w:rPr>
  </w:style>
  <w:style w:type="paragraph" w:styleId="16">
    <w:name w:val="footer"/>
    <w:basedOn w:val="1"/>
    <w:next w:val="1"/>
    <w:qFormat/>
    <w:uiPriority w:val="99"/>
    <w:pPr>
      <w:tabs>
        <w:tab w:val="center" w:pos="4153"/>
        <w:tab w:val="right" w:pos="8306"/>
      </w:tabs>
      <w:snapToGrid w:val="0"/>
      <w:jc w:val="left"/>
    </w:pPr>
    <w:rPr>
      <w:sz w:val="18"/>
      <w:szCs w:val="18"/>
    </w:rPr>
  </w:style>
  <w:style w:type="paragraph" w:styleId="17">
    <w:name w:val="table of figures"/>
    <w:basedOn w:val="1"/>
    <w:next w:val="1"/>
    <w:unhideWhenUsed/>
    <w:qFormat/>
    <w:uiPriority w:val="99"/>
    <w:pPr>
      <w:ind w:left="200" w:leftChars="200" w:hanging="200" w:hangingChars="200"/>
    </w:pPr>
  </w:style>
  <w:style w:type="paragraph" w:styleId="18">
    <w:name w:val="Normal (Web)"/>
    <w:basedOn w:val="1"/>
    <w:qFormat/>
    <w:uiPriority w:val="0"/>
    <w:rPr>
      <w:sz w:val="24"/>
    </w:rPr>
  </w:style>
  <w:style w:type="paragraph" w:styleId="19">
    <w:name w:val="Body Text First Indent"/>
    <w:basedOn w:val="7"/>
    <w:next w:val="20"/>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20">
    <w:name w:val="样式 正文首行缩进 + 首行缩进:  2 字符1"/>
    <w:basedOn w:val="19"/>
    <w:next w:val="11"/>
    <w:qFormat/>
    <w:uiPriority w:val="0"/>
    <w:pPr>
      <w:spacing w:after="0" w:line="360" w:lineRule="auto"/>
      <w:ind w:firstLine="480" w:firstLineChars="200"/>
    </w:pPr>
    <w:rPr>
      <w:sz w:val="24"/>
    </w:rPr>
  </w:style>
  <w:style w:type="paragraph" w:styleId="21">
    <w:name w:val="Body Text First Indent 2"/>
    <w:basedOn w:val="12"/>
    <w:next w:val="19"/>
    <w:unhideWhenUsed/>
    <w:qFormat/>
    <w:uiPriority w:val="0"/>
    <w:pPr>
      <w:spacing w:line="240" w:lineRule="auto"/>
      <w:ind w:firstLine="561"/>
    </w:pPr>
    <w:rPr>
      <w:b/>
      <w:iCs/>
      <w:sz w:val="28"/>
      <w:szCs w:val="28"/>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800080"/>
      <w:u w:val="none"/>
    </w:rPr>
  </w:style>
  <w:style w:type="character" w:styleId="27">
    <w:name w:val="Emphasis"/>
    <w:basedOn w:val="24"/>
    <w:qFormat/>
    <w:uiPriority w:val="0"/>
    <w:rPr>
      <w:i/>
    </w:rPr>
  </w:style>
  <w:style w:type="character" w:styleId="28">
    <w:name w:val="Hyperlink"/>
    <w:basedOn w:val="24"/>
    <w:qFormat/>
    <w:uiPriority w:val="0"/>
    <w:rPr>
      <w:color w:val="0000FF"/>
      <w:u w:val="none"/>
    </w:rPr>
  </w:style>
  <w:style w:type="paragraph" w:customStyle="1" w:styleId="29">
    <w:name w:val="样式 正文11 + 首行缩进:  2 字符"/>
    <w:basedOn w:val="1"/>
    <w:qFormat/>
    <w:uiPriority w:val="0"/>
    <w:pPr>
      <w:spacing w:line="500" w:lineRule="exact"/>
      <w:ind w:firstLine="560" w:firstLineChars="200"/>
    </w:pPr>
    <w:rPr>
      <w:rFonts w:ascii="宋体" w:hAnsi="宋体" w:cs="宋体"/>
      <w:b/>
      <w:color w:val="FF0000"/>
      <w:sz w:val="28"/>
    </w:rPr>
  </w:style>
  <w:style w:type="paragraph" w:customStyle="1" w:styleId="30">
    <w:name w:val="正文（缩进）"/>
    <w:basedOn w:val="1"/>
    <w:qFormat/>
    <w:uiPriority w:val="99"/>
    <w:pPr>
      <w:spacing w:line="360" w:lineRule="auto"/>
      <w:ind w:firstLine="480" w:firstLineChars="200"/>
    </w:pPr>
    <w:rPr>
      <w:sz w:val="24"/>
    </w:rPr>
  </w:style>
  <w:style w:type="paragraph" w:customStyle="1" w:styleId="31">
    <w:name w:val="0正文"/>
    <w:basedOn w:val="12"/>
    <w:next w:val="21"/>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2">
    <w:name w:val="Normal (Web)1"/>
    <w:basedOn w:val="1"/>
    <w:next w:val="33"/>
    <w:qFormat/>
    <w:uiPriority w:val="0"/>
    <w:pPr>
      <w:widowControl/>
    </w:pPr>
    <w:rPr>
      <w:rFonts w:ascii="宋体" w:eastAsia="宋体" w:cs="Times New Roman"/>
      <w:sz w:val="24"/>
      <w:szCs w:val="21"/>
    </w:rPr>
  </w:style>
  <w:style w:type="paragraph" w:customStyle="1" w:styleId="33">
    <w:name w:val="Date1"/>
    <w:basedOn w:val="1"/>
    <w:next w:val="1"/>
    <w:qFormat/>
    <w:uiPriority w:val="0"/>
    <w:pPr>
      <w:adjustRightInd w:val="0"/>
      <w:spacing w:line="240" w:lineRule="auto"/>
    </w:pPr>
    <w:rPr>
      <w:sz w:val="21"/>
      <w:szCs w:val="20"/>
    </w:rPr>
  </w:style>
  <w:style w:type="paragraph" w:customStyle="1" w:styleId="34">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5">
    <w:name w:val="样式 标题 1一级标题 + 段前: 0.5 行 段后: 0.5 行"/>
    <w:basedOn w:val="2"/>
    <w:qFormat/>
    <w:uiPriority w:val="0"/>
    <w:pPr>
      <w:spacing w:line="320" w:lineRule="exact"/>
      <w:outlineLvl w:val="9"/>
    </w:pPr>
    <w:rPr>
      <w:rFonts w:eastAsia="宋体"/>
      <w:spacing w:val="-6"/>
      <w:sz w:val="21"/>
      <w:szCs w:val="21"/>
    </w:rPr>
  </w:style>
  <w:style w:type="paragraph" w:customStyle="1" w:styleId="36">
    <w:name w:val="报告正文"/>
    <w:basedOn w:val="15"/>
    <w:qFormat/>
    <w:uiPriority w:val="0"/>
    <w:pPr>
      <w:numPr>
        <w:ilvl w:val="0"/>
        <w:numId w:val="1"/>
      </w:numPr>
      <w:spacing w:line="360" w:lineRule="auto"/>
      <w:ind w:firstLine="720" w:firstLineChars="200"/>
    </w:pPr>
  </w:style>
  <w:style w:type="paragraph" w:customStyle="1" w:styleId="3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8">
    <w:name w:val="fr4"/>
    <w:basedOn w:val="24"/>
    <w:qFormat/>
    <w:uiPriority w:val="0"/>
  </w:style>
  <w:style w:type="character" w:customStyle="1" w:styleId="39">
    <w:name w:val="last-child"/>
    <w:basedOn w:val="24"/>
    <w:qFormat/>
    <w:uiPriority w:val="0"/>
  </w:style>
  <w:style w:type="character" w:customStyle="1" w:styleId="40">
    <w:name w:val="before"/>
    <w:basedOn w:val="24"/>
    <w:qFormat/>
    <w:uiPriority w:val="0"/>
    <w:rPr>
      <w:rFonts w:hint="default" w:ascii="iconfont" w:hAnsi="iconfont" w:eastAsia="iconfont" w:cs="iconfont"/>
      <w:color w:val="CCCCCC"/>
    </w:rPr>
  </w:style>
  <w:style w:type="character" w:customStyle="1" w:styleId="41">
    <w:name w:val="before1"/>
    <w:basedOn w:val="24"/>
    <w:qFormat/>
    <w:uiPriority w:val="0"/>
    <w:rPr>
      <w:shd w:val="clear" w:color="auto" w:fill="39548B"/>
    </w:rPr>
  </w:style>
  <w:style w:type="character" w:customStyle="1" w:styleId="42">
    <w:name w:val="on"/>
    <w:basedOn w:val="24"/>
    <w:qFormat/>
    <w:uiPriority w:val="0"/>
  </w:style>
  <w:style w:type="paragraph" w:customStyle="1" w:styleId="43">
    <w:name w:val="p0"/>
    <w:basedOn w:val="1"/>
    <w:qFormat/>
    <w:uiPriority w:val="0"/>
    <w:pPr>
      <w:widowControl/>
    </w:pPr>
    <w:rPr>
      <w:szCs w:val="21"/>
    </w:rPr>
  </w:style>
  <w:style w:type="paragraph" w:customStyle="1" w:styleId="44">
    <w:name w:val="样式1"/>
    <w:basedOn w:val="45"/>
    <w:qFormat/>
    <w:uiPriority w:val="0"/>
    <w:pPr>
      <w:widowControl/>
      <w:spacing w:before="80" w:after="80" w:line="540" w:lineRule="exact"/>
      <w:ind w:left="-2"/>
    </w:pPr>
    <w:rPr>
      <w:rFonts w:ascii="Arial" w:hAnsi="Arial"/>
      <w:bCs/>
      <w:kern w:val="0"/>
      <w:szCs w:val="48"/>
    </w:rPr>
  </w:style>
  <w:style w:type="paragraph" w:customStyle="1" w:styleId="45">
    <w:name w:val="a-文本缩2"/>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6">
    <w:name w:val="【正文】"/>
    <w:basedOn w:val="1"/>
    <w:next w:val="1"/>
    <w:qFormat/>
    <w:uiPriority w:val="0"/>
    <w:pPr>
      <w:spacing w:line="360" w:lineRule="auto"/>
      <w:ind w:firstLine="200" w:firstLineChars="200"/>
    </w:pPr>
    <w:rPr>
      <w:spacing w:val="17"/>
      <w:sz w:val="24"/>
      <w:szCs w:val="20"/>
      <w:lang w:val="zh-CN"/>
    </w:rPr>
  </w:style>
  <w:style w:type="character" w:customStyle="1" w:styleId="47">
    <w:name w:val="fontstyle01"/>
    <w:basedOn w:val="24"/>
    <w:qFormat/>
    <w:uiPriority w:val="0"/>
    <w:rPr>
      <w:rFonts w:hint="eastAsia" w:ascii="宋体" w:hAnsi="宋体" w:eastAsia="宋体"/>
      <w:color w:val="000000"/>
      <w:sz w:val="24"/>
      <w:szCs w:val="24"/>
    </w:rPr>
  </w:style>
  <w:style w:type="paragraph" w:customStyle="1" w:styleId="48">
    <w:name w:val="toc 75"/>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49">
    <w:name w:val="3博创正文"/>
    <w:basedOn w:val="1"/>
    <w:unhideWhenUsed/>
    <w:qFormat/>
    <w:uiPriority w:val="0"/>
    <w:pPr>
      <w:adjustRightInd w:val="0"/>
      <w:snapToGrid w:val="0"/>
      <w:ind w:firstLine="720" w:firstLineChars="200"/>
      <w:jc w:val="both"/>
    </w:pPr>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3186</Words>
  <Characters>3523</Characters>
  <Lines>18</Lines>
  <Paragraphs>5</Paragraphs>
  <TotalTime>0</TotalTime>
  <ScaleCrop>false</ScaleCrop>
  <LinksUpToDate>false</LinksUpToDate>
  <CharactersWithSpaces>3528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2022-08-13T07:15:00Z</dcterms:created>
  <dc:creator>海霞</dc:creator>
  <cp:lastModifiedBy>李冬月</cp:lastModifiedBy>
  <cp:lastPrinted>2025-06-04T00:18:00Z</cp:lastPrinted>
  <dcterms:modified xsi:type="dcterms:W3CDTF">2025-06-25T01:47:22Z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F804846D92DD4512B7791F7C82F6DC65_13</vt:lpwstr>
  </property>
  <property fmtid="{D5CDD505-2E9C-101B-9397-08002B2CF9AE}" pid="4" name="KSOTemplateDocerSaveRecord">
    <vt:lpwstr>eyJoZGlkIjoiMTZjMDE3ZjFhOWM2NTA0YjgxZTk0YmUwZGRlM2NlMTYiLCJ1c2VySWQiOiIzNDA2OTIyOTkifQ==</vt:lpwstr>
  </property>
</Properties>
</file>