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86FBA5F">
      <w:pPr>
        <w:rPr>
          <w:rFonts w:hint="eastAsia" w:ascii="华文新魏" w:eastAsia="华文新魏"/>
          <w:b/>
          <w:color w:val="auto"/>
          <w:sz w:val="48"/>
          <w:szCs w:val="48"/>
          <w:highlight w:val="none"/>
          <w:lang w:val="en-US" w:eastAsia="zh-CN"/>
        </w:rPr>
      </w:pPr>
    </w:p>
    <w:p w14:paraId="15FA07E1">
      <w:pPr>
        <w:keepNext w:val="0"/>
        <w:keepLines w:val="0"/>
        <w:pageBreakBefore w:val="0"/>
        <w:widowControl w:val="0"/>
        <w:kinsoku/>
        <w:wordWrap/>
        <w:overflowPunct/>
        <w:topLinePunct w:val="0"/>
        <w:autoSpaceDE/>
        <w:autoSpaceDN/>
        <w:bidi w:val="0"/>
        <w:adjustRightInd w:val="0"/>
        <w:snapToGrid w:val="0"/>
        <w:spacing w:line="360" w:lineRule="auto"/>
        <w:ind w:left="0"/>
        <w:textAlignment w:val="auto"/>
        <w:rPr>
          <w:rFonts w:hint="eastAsia" w:ascii="华文新魏" w:eastAsia="华文新魏"/>
          <w:b/>
          <w:color w:val="auto"/>
          <w:sz w:val="48"/>
          <w:szCs w:val="48"/>
          <w:highlight w:val="none"/>
          <w:lang w:val="en-US" w:eastAsia="zh-CN"/>
        </w:rPr>
      </w:pPr>
    </w:p>
    <w:p w14:paraId="346A26F3">
      <w:pPr>
        <w:keepNext w:val="0"/>
        <w:keepLines w:val="0"/>
        <w:pageBreakBefore w:val="0"/>
        <w:widowControl w:val="0"/>
        <w:kinsoku/>
        <w:wordWrap/>
        <w:overflowPunct/>
        <w:topLinePunct w:val="0"/>
        <w:autoSpaceDE/>
        <w:autoSpaceDN/>
        <w:bidi w:val="0"/>
        <w:adjustRightInd w:val="0"/>
        <w:snapToGrid/>
        <w:spacing w:line="600" w:lineRule="auto"/>
        <w:ind w:left="0" w:firstLine="0" w:firstLineChars="0"/>
        <w:jc w:val="center"/>
        <w:textAlignment w:val="auto"/>
        <w:rPr>
          <w:rFonts w:hint="eastAsia" w:ascii="华文新魏" w:eastAsia="华文新魏"/>
          <w:b/>
          <w:color w:val="auto"/>
          <w:sz w:val="48"/>
          <w:szCs w:val="48"/>
          <w:highlight w:val="none"/>
          <w:lang w:val="en-US" w:eastAsia="zh-CN"/>
        </w:rPr>
      </w:pPr>
      <w:r>
        <w:rPr>
          <w:rFonts w:hint="eastAsia" w:ascii="华文新魏" w:eastAsia="华文新魏"/>
          <w:b/>
          <w:color w:val="auto"/>
          <w:sz w:val="48"/>
          <w:szCs w:val="48"/>
          <w:highlight w:val="none"/>
          <w:lang w:val="en-US" w:eastAsia="zh-CN"/>
        </w:rPr>
        <w:t>本溪市华宇木业有限公司木制品及泡沫制品包装生产线建设项目</w:t>
      </w:r>
      <w:r>
        <w:rPr>
          <w:rFonts w:hint="eastAsia" w:ascii="华文新魏" w:eastAsia="华文新魏"/>
          <w:b/>
          <w:color w:val="auto"/>
          <w:sz w:val="48"/>
          <w:szCs w:val="48"/>
          <w:highlight w:val="none"/>
        </w:rPr>
        <w:t>竣工环境保护验收</w:t>
      </w:r>
      <w:r>
        <w:rPr>
          <w:rFonts w:hint="eastAsia" w:ascii="华文新魏" w:eastAsia="华文新魏"/>
          <w:b/>
          <w:color w:val="auto"/>
          <w:sz w:val="48"/>
          <w:szCs w:val="48"/>
          <w:highlight w:val="none"/>
          <w:lang w:val="en-US" w:eastAsia="zh-CN"/>
        </w:rPr>
        <w:t>监测</w:t>
      </w:r>
      <w:r>
        <w:rPr>
          <w:rFonts w:hint="eastAsia" w:ascii="华文新魏" w:eastAsia="华文新魏"/>
          <w:b/>
          <w:color w:val="auto"/>
          <w:sz w:val="48"/>
          <w:szCs w:val="48"/>
          <w:highlight w:val="none"/>
        </w:rPr>
        <w:t>报告</w:t>
      </w:r>
      <w:r>
        <w:rPr>
          <w:rFonts w:hint="eastAsia" w:ascii="华文新魏" w:eastAsia="华文新魏"/>
          <w:b/>
          <w:color w:val="auto"/>
          <w:sz w:val="48"/>
          <w:szCs w:val="48"/>
          <w:highlight w:val="none"/>
          <w:lang w:val="en-US" w:eastAsia="zh-CN"/>
        </w:rPr>
        <w:t>表</w:t>
      </w:r>
    </w:p>
    <w:p w14:paraId="01EDFB04">
      <w:pPr>
        <w:keepNext w:val="0"/>
        <w:keepLines w:val="0"/>
        <w:pageBreakBefore w:val="0"/>
        <w:widowControl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华文新魏" w:eastAsia="华文新魏"/>
          <w:b/>
          <w:color w:val="auto"/>
          <w:sz w:val="48"/>
          <w:szCs w:val="48"/>
          <w:highlight w:val="none"/>
          <w:lang w:val="en-US" w:eastAsia="zh-CN"/>
        </w:rPr>
      </w:pPr>
    </w:p>
    <w:p w14:paraId="780DC1AB">
      <w:pPr>
        <w:keepNext w:val="0"/>
        <w:keepLines w:val="0"/>
        <w:pageBreakBefore w:val="0"/>
        <w:widowControl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华文新魏" w:eastAsia="华文新魏"/>
          <w:b/>
          <w:color w:val="auto"/>
          <w:sz w:val="48"/>
          <w:szCs w:val="48"/>
          <w:highlight w:val="none"/>
          <w:lang w:val="en-US" w:eastAsia="zh-CN"/>
        </w:rPr>
      </w:pPr>
    </w:p>
    <w:p w14:paraId="76F0A108">
      <w:pPr>
        <w:keepNext w:val="0"/>
        <w:keepLines w:val="0"/>
        <w:pageBreakBefore w:val="0"/>
        <w:widowControl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华文新魏" w:eastAsia="华文新魏"/>
          <w:b/>
          <w:color w:val="auto"/>
          <w:sz w:val="48"/>
          <w:szCs w:val="48"/>
          <w:highlight w:val="none"/>
          <w:lang w:val="en-US" w:eastAsia="zh-CN"/>
        </w:rPr>
      </w:pPr>
    </w:p>
    <w:p w14:paraId="18205FF5">
      <w:pPr>
        <w:pStyle w:val="8"/>
        <w:keepNext w:val="0"/>
        <w:keepLines w:val="0"/>
        <w:pageBreakBefore w:val="0"/>
        <w:widowControl w:val="0"/>
        <w:kinsoku/>
        <w:wordWrap/>
        <w:overflowPunct/>
        <w:topLinePunct w:val="0"/>
        <w:autoSpaceDE/>
        <w:autoSpaceDN/>
        <w:bidi w:val="0"/>
        <w:ind w:left="0" w:leftChars="0" w:firstLine="0" w:firstLineChars="0"/>
        <w:textAlignment w:val="auto"/>
        <w:rPr>
          <w:rFonts w:hint="eastAsia"/>
          <w:color w:val="auto"/>
          <w:highlight w:val="none"/>
          <w:lang w:val="en-US" w:eastAsia="zh-CN"/>
        </w:rPr>
      </w:pPr>
    </w:p>
    <w:p w14:paraId="37F322B3">
      <w:pPr>
        <w:pStyle w:val="8"/>
        <w:keepNext w:val="0"/>
        <w:keepLines w:val="0"/>
        <w:pageBreakBefore w:val="0"/>
        <w:widowControl w:val="0"/>
        <w:kinsoku/>
        <w:wordWrap/>
        <w:overflowPunct/>
        <w:topLinePunct w:val="0"/>
        <w:autoSpaceDE/>
        <w:autoSpaceDN/>
        <w:bidi w:val="0"/>
        <w:ind w:firstLine="0" w:firstLineChars="0"/>
        <w:textAlignment w:val="auto"/>
        <w:rPr>
          <w:rFonts w:hint="eastAsia"/>
          <w:color w:val="auto"/>
          <w:highlight w:val="none"/>
          <w:lang w:val="en-US" w:eastAsia="zh-CN"/>
        </w:rPr>
      </w:pPr>
    </w:p>
    <w:p w14:paraId="3AC6FDDD">
      <w:pPr>
        <w:pStyle w:val="8"/>
        <w:keepNext w:val="0"/>
        <w:keepLines w:val="0"/>
        <w:pageBreakBefore w:val="0"/>
        <w:widowControl w:val="0"/>
        <w:kinsoku/>
        <w:wordWrap/>
        <w:overflowPunct/>
        <w:topLinePunct w:val="0"/>
        <w:autoSpaceDE/>
        <w:autoSpaceDN/>
        <w:bidi w:val="0"/>
        <w:ind w:firstLine="0" w:firstLineChars="0"/>
        <w:textAlignment w:val="auto"/>
        <w:rPr>
          <w:rFonts w:hint="eastAsia"/>
          <w:color w:val="auto"/>
          <w:highlight w:val="none"/>
          <w:lang w:val="en-US" w:eastAsia="zh-CN"/>
        </w:rPr>
      </w:pPr>
    </w:p>
    <w:p w14:paraId="1DF2EE61">
      <w:pPr>
        <w:pStyle w:val="8"/>
        <w:keepNext w:val="0"/>
        <w:keepLines w:val="0"/>
        <w:pageBreakBefore w:val="0"/>
        <w:widowControl w:val="0"/>
        <w:kinsoku/>
        <w:wordWrap/>
        <w:overflowPunct/>
        <w:topLinePunct w:val="0"/>
        <w:autoSpaceDE/>
        <w:autoSpaceDN/>
        <w:bidi w:val="0"/>
        <w:ind w:firstLine="0" w:firstLineChars="0"/>
        <w:textAlignment w:val="auto"/>
        <w:rPr>
          <w:rFonts w:hint="eastAsia"/>
          <w:color w:val="auto"/>
          <w:highlight w:val="none"/>
          <w:lang w:val="en-US" w:eastAsia="zh-CN"/>
        </w:rPr>
      </w:pPr>
    </w:p>
    <w:p w14:paraId="63BEB0FA">
      <w:pPr>
        <w:keepNext w:val="0"/>
        <w:keepLines w:val="0"/>
        <w:pageBreakBefore w:val="0"/>
        <w:widowControl w:val="0"/>
        <w:kinsoku/>
        <w:wordWrap/>
        <w:overflowPunct/>
        <w:topLinePunct w:val="0"/>
        <w:autoSpaceDE/>
        <w:autoSpaceDN/>
        <w:bidi w:val="0"/>
        <w:adjustRightInd w:val="0"/>
        <w:snapToGrid w:val="0"/>
        <w:spacing w:line="360" w:lineRule="auto"/>
        <w:ind w:left="0" w:firstLine="0" w:firstLineChars="0"/>
        <w:jc w:val="both"/>
        <w:textAlignment w:val="auto"/>
        <w:rPr>
          <w:rFonts w:hint="eastAsia" w:ascii="华文新魏" w:eastAsia="华文新魏"/>
          <w:b/>
          <w:color w:val="auto"/>
          <w:sz w:val="48"/>
          <w:szCs w:val="48"/>
          <w:highlight w:val="none"/>
          <w:lang w:val="en-US" w:eastAsia="zh-CN"/>
        </w:rPr>
      </w:pPr>
    </w:p>
    <w:p w14:paraId="70C9F434">
      <w:pPr>
        <w:keepNext w:val="0"/>
        <w:keepLines w:val="0"/>
        <w:pageBreakBefore w:val="0"/>
        <w:widowControl w:val="0"/>
        <w:kinsoku/>
        <w:wordWrap/>
        <w:overflowPunct/>
        <w:topLinePunct w:val="0"/>
        <w:autoSpaceDE/>
        <w:autoSpaceDN/>
        <w:bidi w:val="0"/>
        <w:adjustRightInd w:val="0"/>
        <w:snapToGrid/>
        <w:spacing w:line="360" w:lineRule="auto"/>
        <w:ind w:left="0" w:firstLine="0" w:firstLineChars="0"/>
        <w:jc w:val="center"/>
        <w:textAlignment w:val="auto"/>
        <w:rPr>
          <w:rFonts w:hint="eastAsia" w:ascii="华文新魏" w:eastAsia="华文新魏"/>
          <w:b w:val="0"/>
          <w:bCs/>
          <w:color w:val="auto"/>
          <w:sz w:val="32"/>
          <w:szCs w:val="32"/>
          <w:highlight w:val="none"/>
          <w:lang w:val="en-US" w:eastAsia="zh-CN"/>
        </w:rPr>
      </w:pPr>
      <w:r>
        <w:rPr>
          <w:rFonts w:hint="eastAsia" w:ascii="华文新魏" w:eastAsia="华文新魏"/>
          <w:b w:val="0"/>
          <w:bCs/>
          <w:color w:val="auto"/>
          <w:sz w:val="32"/>
          <w:szCs w:val="32"/>
          <w:highlight w:val="none"/>
          <w:lang w:val="en-US" w:eastAsia="zh-CN"/>
        </w:rPr>
        <w:t>建设单位：本溪市华宇木业有限公司</w:t>
      </w:r>
    </w:p>
    <w:p w14:paraId="348904DE">
      <w:pPr>
        <w:keepNext w:val="0"/>
        <w:keepLines w:val="0"/>
        <w:pageBreakBefore w:val="0"/>
        <w:widowControl w:val="0"/>
        <w:kinsoku/>
        <w:wordWrap/>
        <w:overflowPunct/>
        <w:topLinePunct w:val="0"/>
        <w:autoSpaceDE/>
        <w:autoSpaceDN/>
        <w:bidi w:val="0"/>
        <w:adjustRightInd w:val="0"/>
        <w:snapToGrid/>
        <w:spacing w:line="360" w:lineRule="auto"/>
        <w:ind w:left="0" w:firstLine="0" w:firstLineChars="0"/>
        <w:jc w:val="center"/>
        <w:textAlignment w:val="auto"/>
        <w:rPr>
          <w:rFonts w:hint="default" w:ascii="华文新魏" w:eastAsia="华文新魏"/>
          <w:b w:val="0"/>
          <w:bCs/>
          <w:color w:val="auto"/>
          <w:sz w:val="32"/>
          <w:szCs w:val="32"/>
          <w:highlight w:val="none"/>
          <w:lang w:val="en-US" w:eastAsia="zh-CN"/>
        </w:rPr>
      </w:pPr>
      <w:r>
        <w:rPr>
          <w:rFonts w:hint="eastAsia" w:ascii="华文新魏" w:eastAsia="华文新魏"/>
          <w:b w:val="0"/>
          <w:bCs/>
          <w:color w:val="auto"/>
          <w:sz w:val="32"/>
          <w:szCs w:val="32"/>
          <w:highlight w:val="none"/>
          <w:lang w:val="en-US" w:eastAsia="zh-CN"/>
        </w:rPr>
        <w:t>编制单位：本溪市华宇木业有限公司</w:t>
      </w:r>
    </w:p>
    <w:p w14:paraId="18DDC1AC">
      <w:pPr>
        <w:pStyle w:val="15"/>
        <w:keepNext w:val="0"/>
        <w:keepLines w:val="0"/>
        <w:pageBreakBefore w:val="0"/>
        <w:widowControl w:val="0"/>
        <w:kinsoku/>
        <w:wordWrap/>
        <w:overflowPunct/>
        <w:topLinePunct w:val="0"/>
        <w:autoSpaceDE/>
        <w:autoSpaceDN/>
        <w:bidi w:val="0"/>
        <w:adjustRightInd w:val="0"/>
        <w:snapToGrid w:val="0"/>
        <w:spacing w:after="0" w:afterLines="0" w:line="360" w:lineRule="auto"/>
        <w:ind w:left="0" w:firstLine="0" w:firstLineChars="0"/>
        <w:textAlignment w:val="auto"/>
        <w:rPr>
          <w:rFonts w:hint="eastAsia"/>
          <w:color w:val="auto"/>
          <w:highlight w:val="none"/>
          <w:lang w:val="en-US" w:eastAsia="zh-CN"/>
        </w:rPr>
      </w:pPr>
    </w:p>
    <w:p w14:paraId="69985F25">
      <w:pPr>
        <w:keepNext w:val="0"/>
        <w:keepLines w:val="0"/>
        <w:pageBreakBefore w:val="0"/>
        <w:widowControl w:val="0"/>
        <w:kinsoku/>
        <w:wordWrap/>
        <w:overflowPunct/>
        <w:topLinePunct w:val="0"/>
        <w:autoSpaceDE/>
        <w:autoSpaceDN/>
        <w:bidi w:val="0"/>
        <w:adjustRightInd w:val="0"/>
        <w:snapToGrid/>
        <w:spacing w:line="360" w:lineRule="auto"/>
        <w:ind w:left="0" w:firstLine="0" w:firstLineChars="0"/>
        <w:jc w:val="center"/>
        <w:textAlignment w:val="auto"/>
        <w:rPr>
          <w:rFonts w:hint="eastAsia" w:ascii="华文新魏" w:eastAsia="华文新魏"/>
          <w:b w:val="0"/>
          <w:bCs/>
          <w:color w:val="auto"/>
          <w:sz w:val="32"/>
          <w:szCs w:val="32"/>
          <w:highlight w:val="none"/>
          <w:lang w:val="en-US" w:eastAsia="zh-CN"/>
        </w:rPr>
        <w:sectPr>
          <w:footerReference r:id="rId5" w:type="firs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华文新魏" w:eastAsia="华文新魏"/>
          <w:b w:val="0"/>
          <w:bCs/>
          <w:color w:val="auto"/>
          <w:sz w:val="32"/>
          <w:szCs w:val="32"/>
          <w:highlight w:val="none"/>
          <w:lang w:val="en-US" w:eastAsia="zh-CN"/>
        </w:rPr>
        <w:t>2025年3月</w:t>
      </w:r>
    </w:p>
    <w:p w14:paraId="6422A0F3">
      <w:pPr>
        <w:keepNext w:val="0"/>
        <w:keepLines w:val="0"/>
        <w:pageBreakBefore w:val="0"/>
        <w:widowControl/>
        <w:kinsoku/>
        <w:wordWrap/>
        <w:overflowPunct/>
        <w:topLinePunct w:val="0"/>
        <w:autoSpaceDE/>
        <w:autoSpaceDN/>
        <w:bidi w:val="0"/>
        <w:adjustRightInd w:val="0"/>
        <w:snapToGrid/>
        <w:spacing w:after="200" w:afterLines="0" w:line="360" w:lineRule="auto"/>
        <w:ind w:left="0" w:leftChars="0" w:firstLine="0" w:firstLineChars="0"/>
        <w:jc w:val="left"/>
        <w:textAlignment w:val="auto"/>
        <w:rPr>
          <w:rFonts w:hint="eastAsia" w:ascii="仿宋_GB2312" w:hAnsi="Tahoma" w:eastAsia="黑体" w:cs="Times New Roman"/>
          <w:b w:val="0"/>
          <w:bCs/>
          <w:color w:val="auto"/>
          <w:kern w:val="0"/>
          <w:sz w:val="30"/>
          <w:szCs w:val="30"/>
          <w:highlight w:val="none"/>
        </w:rPr>
      </w:pPr>
      <w:r>
        <w:rPr>
          <w:rFonts w:hint="eastAsia" w:ascii="仿宋_GB2312" w:hAnsi="Tahoma" w:eastAsia="黑体" w:cs="Times New Roman"/>
          <w:b w:val="0"/>
          <w:bCs/>
          <w:color w:val="auto"/>
          <w:kern w:val="0"/>
          <w:sz w:val="30"/>
          <w:szCs w:val="30"/>
          <w:highlight w:val="none"/>
        </w:rPr>
        <w:t>建设单位法人代表（签字）:</w:t>
      </w:r>
    </w:p>
    <w:p w14:paraId="1C4D1F2B">
      <w:pPr>
        <w:keepNext w:val="0"/>
        <w:keepLines w:val="0"/>
        <w:pageBreakBefore w:val="0"/>
        <w:widowControl/>
        <w:kinsoku/>
        <w:wordWrap/>
        <w:overflowPunct/>
        <w:topLinePunct w:val="0"/>
        <w:autoSpaceDE/>
        <w:autoSpaceDN/>
        <w:bidi w:val="0"/>
        <w:adjustRightInd w:val="0"/>
        <w:snapToGrid/>
        <w:spacing w:after="200" w:afterLines="0" w:line="360" w:lineRule="auto"/>
        <w:ind w:left="0" w:leftChars="0" w:firstLine="0" w:firstLineChars="0"/>
        <w:jc w:val="left"/>
        <w:textAlignment w:val="auto"/>
        <w:rPr>
          <w:rFonts w:ascii="仿宋_GB2312" w:hAnsi="Tahoma" w:eastAsia="黑体" w:cs="Times New Roman"/>
          <w:b w:val="0"/>
          <w:bCs/>
          <w:color w:val="auto"/>
          <w:kern w:val="0"/>
          <w:sz w:val="30"/>
          <w:szCs w:val="30"/>
          <w:highlight w:val="none"/>
        </w:rPr>
      </w:pPr>
      <w:r>
        <w:rPr>
          <w:rFonts w:hint="eastAsia" w:ascii="仿宋_GB2312" w:hAnsi="Tahoma" w:eastAsia="黑体" w:cs="Times New Roman"/>
          <w:b w:val="0"/>
          <w:bCs/>
          <w:color w:val="auto"/>
          <w:kern w:val="0"/>
          <w:sz w:val="30"/>
          <w:szCs w:val="30"/>
          <w:highlight w:val="none"/>
        </w:rPr>
        <w:t>编制单位法人代表（签字）:</w:t>
      </w:r>
    </w:p>
    <w:p w14:paraId="7B507F46">
      <w:pPr>
        <w:keepNext w:val="0"/>
        <w:keepLines w:val="0"/>
        <w:pageBreakBefore w:val="0"/>
        <w:widowControl/>
        <w:kinsoku/>
        <w:wordWrap/>
        <w:overflowPunct/>
        <w:topLinePunct w:val="0"/>
        <w:autoSpaceDE/>
        <w:autoSpaceDN/>
        <w:bidi w:val="0"/>
        <w:adjustRightInd w:val="0"/>
        <w:snapToGrid/>
        <w:spacing w:after="200" w:afterLines="0" w:line="360" w:lineRule="auto"/>
        <w:ind w:left="0" w:leftChars="0" w:firstLine="0" w:firstLineChars="0"/>
        <w:jc w:val="left"/>
        <w:textAlignment w:val="auto"/>
        <w:rPr>
          <w:rFonts w:hint="eastAsia" w:ascii="仿宋_GB2312" w:hAnsi="Tahoma" w:eastAsia="黑体" w:cs="Times New Roman"/>
          <w:b w:val="0"/>
          <w:bCs/>
          <w:color w:val="auto"/>
          <w:spacing w:val="20"/>
          <w:w w:val="79"/>
          <w:kern w:val="0"/>
          <w:sz w:val="30"/>
          <w:szCs w:val="30"/>
          <w:highlight w:val="none"/>
          <w:lang w:val="en-US" w:eastAsia="zh-CN"/>
        </w:rPr>
      </w:pPr>
      <w:r>
        <w:rPr>
          <w:rFonts w:hint="eastAsia" w:ascii="仿宋_GB2312" w:hAnsi="Tahoma" w:eastAsia="黑体" w:cs="Times New Roman"/>
          <w:b w:val="0"/>
          <w:bCs/>
          <w:color w:val="auto"/>
          <w:spacing w:val="20"/>
          <w:w w:val="79"/>
          <w:kern w:val="0"/>
          <w:sz w:val="30"/>
          <w:szCs w:val="30"/>
          <w:highlight w:val="none"/>
        </w:rPr>
        <w:t xml:space="preserve">项  </w:t>
      </w:r>
      <w:r>
        <w:rPr>
          <w:rFonts w:hint="eastAsia" w:ascii="仿宋_GB2312" w:hAnsi="Tahoma" w:eastAsia="黑体" w:cs="Times New Roman"/>
          <w:b w:val="0"/>
          <w:bCs/>
          <w:color w:val="auto"/>
          <w:spacing w:val="20"/>
          <w:w w:val="79"/>
          <w:kern w:val="0"/>
          <w:sz w:val="30"/>
          <w:szCs w:val="30"/>
          <w:highlight w:val="none"/>
          <w:lang w:val="en-US" w:eastAsia="zh-CN"/>
        </w:rPr>
        <w:t>目  负 责  人:赵振宇</w:t>
      </w:r>
    </w:p>
    <w:p w14:paraId="798E0CF5">
      <w:pPr>
        <w:keepNext w:val="0"/>
        <w:keepLines w:val="0"/>
        <w:pageBreakBefore w:val="0"/>
        <w:widowControl/>
        <w:kinsoku/>
        <w:wordWrap/>
        <w:overflowPunct/>
        <w:topLinePunct w:val="0"/>
        <w:autoSpaceDE/>
        <w:autoSpaceDN/>
        <w:bidi w:val="0"/>
        <w:adjustRightInd w:val="0"/>
        <w:snapToGrid/>
        <w:spacing w:after="200" w:afterLines="0" w:line="360" w:lineRule="auto"/>
        <w:ind w:left="0" w:leftChars="0" w:firstLine="0" w:firstLineChars="0"/>
        <w:jc w:val="left"/>
        <w:textAlignment w:val="auto"/>
        <w:rPr>
          <w:rFonts w:hint="eastAsia" w:ascii="仿宋_GB2312" w:hAnsi="Tahoma" w:eastAsia="黑体" w:cs="Times New Roman"/>
          <w:b w:val="0"/>
          <w:bCs/>
          <w:color w:val="auto"/>
          <w:spacing w:val="20"/>
          <w:w w:val="79"/>
          <w:kern w:val="0"/>
          <w:sz w:val="30"/>
          <w:szCs w:val="30"/>
          <w:highlight w:val="none"/>
          <w:lang w:val="en-US" w:eastAsia="zh-CN"/>
        </w:rPr>
      </w:pPr>
      <w:r>
        <w:rPr>
          <w:rFonts w:hint="eastAsia" w:ascii="仿宋_GB2312" w:hAnsi="Tahoma" w:eastAsia="黑体" w:cs="Times New Roman"/>
          <w:b w:val="0"/>
          <w:bCs/>
          <w:color w:val="auto"/>
          <w:spacing w:val="20"/>
          <w:w w:val="79"/>
          <w:kern w:val="0"/>
          <w:sz w:val="30"/>
          <w:szCs w:val="30"/>
          <w:highlight w:val="none"/>
          <w:lang w:val="en-US" w:eastAsia="zh-CN"/>
        </w:rPr>
        <w:t>填     表     人:赵振宇</w:t>
      </w:r>
    </w:p>
    <w:p w14:paraId="5DF192D9">
      <w:pPr>
        <w:keepNext w:val="0"/>
        <w:keepLines w:val="0"/>
        <w:pageBreakBefore w:val="0"/>
        <w:widowControl/>
        <w:kinsoku/>
        <w:wordWrap/>
        <w:overflowPunct/>
        <w:topLinePunct w:val="0"/>
        <w:autoSpaceDE/>
        <w:autoSpaceDN/>
        <w:bidi w:val="0"/>
        <w:adjustRightInd w:val="0"/>
        <w:snapToGrid w:val="0"/>
        <w:spacing w:line="360" w:lineRule="auto"/>
        <w:ind w:left="843" w:leftChars="0" w:hanging="843" w:hangingChars="300"/>
        <w:jc w:val="left"/>
        <w:textAlignment w:val="auto"/>
        <w:outlineLvl w:val="9"/>
        <w:rPr>
          <w:rFonts w:hint="default" w:ascii="仿宋_GB2312" w:hAnsi="Tahoma" w:eastAsia="仿宋_GB2312" w:cs="Times New Roman"/>
          <w:b/>
          <w:bCs/>
          <w:color w:val="auto"/>
          <w:kern w:val="0"/>
          <w:sz w:val="28"/>
          <w:szCs w:val="22"/>
          <w:highlight w:val="none"/>
          <w:lang w:val="en-US" w:eastAsia="zh-CN"/>
        </w:rPr>
      </w:pPr>
    </w:p>
    <w:p w14:paraId="3752003E">
      <w:pPr>
        <w:keepNext w:val="0"/>
        <w:keepLines w:val="0"/>
        <w:pageBreakBefore w:val="0"/>
        <w:widowControl/>
        <w:kinsoku/>
        <w:wordWrap/>
        <w:overflowPunct/>
        <w:topLinePunct w:val="0"/>
        <w:autoSpaceDE/>
        <w:autoSpaceDN/>
        <w:bidi w:val="0"/>
        <w:adjustRightInd w:val="0"/>
        <w:snapToGrid w:val="0"/>
        <w:spacing w:line="360" w:lineRule="auto"/>
        <w:ind w:left="843" w:leftChars="0" w:hanging="843" w:hangingChars="300"/>
        <w:jc w:val="left"/>
        <w:textAlignment w:val="auto"/>
        <w:outlineLvl w:val="9"/>
        <w:rPr>
          <w:rFonts w:hint="eastAsia" w:ascii="仿宋_GB2312" w:hAnsi="Tahoma" w:eastAsia="仿宋_GB2312" w:cs="Times New Roman"/>
          <w:b/>
          <w:bCs/>
          <w:color w:val="auto"/>
          <w:kern w:val="0"/>
          <w:sz w:val="28"/>
          <w:szCs w:val="22"/>
          <w:highlight w:val="none"/>
          <w:lang w:val="en-US" w:eastAsia="zh-CN"/>
        </w:rPr>
      </w:pPr>
    </w:p>
    <w:p w14:paraId="481ECDEC">
      <w:pPr>
        <w:keepNext w:val="0"/>
        <w:keepLines w:val="0"/>
        <w:pageBreakBefore w:val="0"/>
        <w:widowControl/>
        <w:kinsoku/>
        <w:wordWrap/>
        <w:overflowPunct/>
        <w:topLinePunct w:val="0"/>
        <w:autoSpaceDE/>
        <w:autoSpaceDN/>
        <w:bidi w:val="0"/>
        <w:adjustRightInd w:val="0"/>
        <w:snapToGrid w:val="0"/>
        <w:spacing w:line="360" w:lineRule="auto"/>
        <w:ind w:left="843" w:leftChars="0" w:hanging="843" w:hangingChars="300"/>
        <w:jc w:val="left"/>
        <w:textAlignment w:val="auto"/>
        <w:outlineLvl w:val="9"/>
        <w:rPr>
          <w:rFonts w:hint="eastAsia" w:ascii="仿宋_GB2312" w:hAnsi="Tahoma" w:eastAsia="仿宋_GB2312" w:cs="Times New Roman"/>
          <w:b/>
          <w:bCs/>
          <w:color w:val="auto"/>
          <w:kern w:val="0"/>
          <w:sz w:val="28"/>
          <w:szCs w:val="22"/>
          <w:highlight w:val="none"/>
          <w:lang w:val="en-US" w:eastAsia="zh-CN"/>
        </w:rPr>
      </w:pPr>
    </w:p>
    <w:p w14:paraId="60CF6303">
      <w:pPr>
        <w:keepNext w:val="0"/>
        <w:keepLines w:val="0"/>
        <w:pageBreakBefore w:val="0"/>
        <w:widowControl/>
        <w:kinsoku/>
        <w:wordWrap/>
        <w:overflowPunct/>
        <w:topLinePunct w:val="0"/>
        <w:autoSpaceDE/>
        <w:autoSpaceDN/>
        <w:bidi w:val="0"/>
        <w:adjustRightInd w:val="0"/>
        <w:snapToGrid w:val="0"/>
        <w:spacing w:line="360" w:lineRule="auto"/>
        <w:jc w:val="left"/>
        <w:textAlignment w:val="auto"/>
        <w:outlineLvl w:val="9"/>
        <w:rPr>
          <w:rFonts w:hint="eastAsia" w:ascii="仿宋_GB2312" w:hAnsi="Tahoma" w:eastAsia="仿宋_GB2312" w:cs="Times New Roman"/>
          <w:b/>
          <w:bCs/>
          <w:color w:val="auto"/>
          <w:kern w:val="0"/>
          <w:sz w:val="28"/>
          <w:szCs w:val="22"/>
          <w:highlight w:val="none"/>
          <w:lang w:val="en-US" w:eastAsia="zh-CN"/>
        </w:rPr>
      </w:pPr>
    </w:p>
    <w:p w14:paraId="4F45636F">
      <w:pPr>
        <w:keepNext w:val="0"/>
        <w:keepLines w:val="0"/>
        <w:pageBreakBefore w:val="0"/>
        <w:widowControl/>
        <w:kinsoku/>
        <w:wordWrap/>
        <w:overflowPunct/>
        <w:topLinePunct w:val="0"/>
        <w:autoSpaceDE/>
        <w:autoSpaceDN/>
        <w:bidi w:val="0"/>
        <w:adjustRightInd w:val="0"/>
        <w:snapToGrid/>
        <w:spacing w:line="360" w:lineRule="auto"/>
        <w:ind w:left="840" w:leftChars="0" w:hanging="840" w:hangingChars="300"/>
        <w:jc w:val="left"/>
        <w:textAlignment w:val="auto"/>
        <w:outlineLvl w:val="9"/>
        <w:rPr>
          <w:rFonts w:hint="eastAsia" w:ascii="仿宋_GB2312" w:hAnsi="Tahoma" w:eastAsia="仿宋_GB2312" w:cs="Times New Roman"/>
          <w:b w:val="0"/>
          <w:bCs w:val="0"/>
          <w:color w:val="auto"/>
          <w:kern w:val="0"/>
          <w:sz w:val="28"/>
          <w:szCs w:val="22"/>
          <w:highlight w:val="none"/>
          <w:lang w:val="en-US" w:eastAsia="zh-CN"/>
        </w:rPr>
      </w:pPr>
      <w:r>
        <w:rPr>
          <w:rFonts w:hint="eastAsia" w:ascii="仿宋_GB2312" w:hAnsi="Tahoma" w:eastAsia="仿宋_GB2312" w:cs="Times New Roman"/>
          <w:b w:val="0"/>
          <w:bCs w:val="0"/>
          <w:color w:val="auto"/>
          <w:kern w:val="0"/>
          <w:sz w:val="28"/>
          <w:szCs w:val="22"/>
          <w:highlight w:val="none"/>
          <w:lang w:val="en-US" w:eastAsia="zh-CN"/>
        </w:rPr>
        <w:t>建设单位：本溪市华宇木业有限公司（盖章）</w:t>
      </w:r>
    </w:p>
    <w:p w14:paraId="4576C1C1">
      <w:pPr>
        <w:keepNext w:val="0"/>
        <w:keepLines w:val="0"/>
        <w:pageBreakBefore w:val="0"/>
        <w:widowControl/>
        <w:kinsoku/>
        <w:wordWrap/>
        <w:overflowPunct/>
        <w:topLinePunct w:val="0"/>
        <w:autoSpaceDE/>
        <w:autoSpaceDN/>
        <w:bidi w:val="0"/>
        <w:adjustRightInd w:val="0"/>
        <w:snapToGrid/>
        <w:spacing w:line="360" w:lineRule="auto"/>
        <w:ind w:left="840" w:leftChars="0" w:hanging="840" w:hangingChars="300"/>
        <w:jc w:val="left"/>
        <w:textAlignment w:val="auto"/>
        <w:outlineLvl w:val="9"/>
        <w:rPr>
          <w:rFonts w:hint="default" w:ascii="仿宋_GB2312" w:hAnsi="Tahoma" w:eastAsia="仿宋_GB2312" w:cs="Times New Roman"/>
          <w:b w:val="0"/>
          <w:bCs w:val="0"/>
          <w:color w:val="auto"/>
          <w:kern w:val="0"/>
          <w:sz w:val="28"/>
          <w:szCs w:val="22"/>
          <w:highlight w:val="none"/>
          <w:lang w:val="en-US" w:eastAsia="zh-CN"/>
        </w:rPr>
      </w:pPr>
      <w:r>
        <w:rPr>
          <w:rFonts w:hint="eastAsia" w:ascii="仿宋_GB2312" w:hAnsi="Tahoma" w:eastAsia="仿宋_GB2312" w:cs="Times New Roman"/>
          <w:b w:val="0"/>
          <w:bCs w:val="0"/>
          <w:color w:val="auto"/>
          <w:kern w:val="0"/>
          <w:sz w:val="28"/>
          <w:szCs w:val="22"/>
          <w:highlight w:val="none"/>
          <w:lang w:val="en-US" w:eastAsia="zh-CN"/>
        </w:rPr>
        <w:t>电话:13324241655</w:t>
      </w:r>
    </w:p>
    <w:p w14:paraId="109F06FE">
      <w:pPr>
        <w:keepNext w:val="0"/>
        <w:keepLines w:val="0"/>
        <w:pageBreakBefore w:val="0"/>
        <w:widowControl/>
        <w:kinsoku/>
        <w:wordWrap/>
        <w:overflowPunct/>
        <w:topLinePunct w:val="0"/>
        <w:autoSpaceDE/>
        <w:autoSpaceDN/>
        <w:bidi w:val="0"/>
        <w:adjustRightInd w:val="0"/>
        <w:snapToGrid/>
        <w:spacing w:line="360" w:lineRule="auto"/>
        <w:ind w:left="840" w:leftChars="0" w:hanging="840" w:hangingChars="300"/>
        <w:jc w:val="left"/>
        <w:textAlignment w:val="auto"/>
        <w:outlineLvl w:val="9"/>
        <w:rPr>
          <w:rFonts w:hint="eastAsia" w:ascii="仿宋_GB2312" w:hAnsi="Tahoma" w:eastAsia="仿宋_GB2312" w:cs="Times New Roman"/>
          <w:b w:val="0"/>
          <w:bCs w:val="0"/>
          <w:color w:val="auto"/>
          <w:kern w:val="0"/>
          <w:sz w:val="28"/>
          <w:szCs w:val="22"/>
          <w:highlight w:val="none"/>
          <w:lang w:val="en-US" w:eastAsia="zh-CN"/>
        </w:rPr>
      </w:pPr>
      <w:r>
        <w:rPr>
          <w:rFonts w:hint="eastAsia" w:ascii="仿宋_GB2312" w:hAnsi="Tahoma" w:eastAsia="仿宋_GB2312" w:cs="Times New Roman"/>
          <w:b w:val="0"/>
          <w:bCs w:val="0"/>
          <w:color w:val="auto"/>
          <w:kern w:val="0"/>
          <w:sz w:val="28"/>
          <w:szCs w:val="22"/>
          <w:highlight w:val="none"/>
          <w:lang w:val="en-US" w:eastAsia="zh-CN"/>
        </w:rPr>
        <w:t>传真:/</w:t>
      </w:r>
    </w:p>
    <w:p w14:paraId="13E259BA">
      <w:pPr>
        <w:keepNext w:val="0"/>
        <w:keepLines w:val="0"/>
        <w:pageBreakBefore w:val="0"/>
        <w:widowControl/>
        <w:kinsoku/>
        <w:wordWrap/>
        <w:overflowPunct/>
        <w:topLinePunct w:val="0"/>
        <w:autoSpaceDE/>
        <w:autoSpaceDN/>
        <w:bidi w:val="0"/>
        <w:adjustRightInd w:val="0"/>
        <w:snapToGrid/>
        <w:spacing w:line="360" w:lineRule="auto"/>
        <w:ind w:left="840" w:leftChars="0" w:hanging="840" w:hangingChars="300"/>
        <w:jc w:val="left"/>
        <w:textAlignment w:val="auto"/>
        <w:outlineLvl w:val="9"/>
        <w:rPr>
          <w:rFonts w:hint="eastAsia" w:ascii="仿宋_GB2312" w:hAnsi="Tahoma" w:eastAsia="仿宋_GB2312" w:cs="Times New Roman"/>
          <w:b w:val="0"/>
          <w:bCs w:val="0"/>
          <w:color w:val="auto"/>
          <w:kern w:val="0"/>
          <w:sz w:val="28"/>
          <w:szCs w:val="22"/>
          <w:highlight w:val="none"/>
          <w:lang w:val="en-US" w:eastAsia="zh-CN"/>
        </w:rPr>
      </w:pPr>
      <w:r>
        <w:rPr>
          <w:rFonts w:hint="eastAsia" w:ascii="仿宋_GB2312" w:hAnsi="Tahoma" w:eastAsia="仿宋_GB2312" w:cs="Times New Roman"/>
          <w:b w:val="0"/>
          <w:bCs w:val="0"/>
          <w:color w:val="auto"/>
          <w:kern w:val="0"/>
          <w:sz w:val="28"/>
          <w:szCs w:val="22"/>
          <w:highlight w:val="none"/>
          <w:lang w:val="en-US" w:eastAsia="zh-CN"/>
        </w:rPr>
        <w:t>邮编:117000</w:t>
      </w:r>
    </w:p>
    <w:p w14:paraId="7D784474">
      <w:pPr>
        <w:keepNext w:val="0"/>
        <w:keepLines w:val="0"/>
        <w:pageBreakBefore w:val="0"/>
        <w:widowControl/>
        <w:kinsoku/>
        <w:wordWrap/>
        <w:overflowPunct/>
        <w:topLinePunct w:val="0"/>
        <w:autoSpaceDE/>
        <w:autoSpaceDN/>
        <w:bidi w:val="0"/>
        <w:adjustRightInd w:val="0"/>
        <w:snapToGrid/>
        <w:spacing w:line="360" w:lineRule="auto"/>
        <w:ind w:left="840" w:leftChars="0" w:hanging="840" w:hangingChars="300"/>
        <w:jc w:val="left"/>
        <w:textAlignment w:val="auto"/>
        <w:outlineLvl w:val="9"/>
        <w:rPr>
          <w:rFonts w:hint="eastAsia" w:ascii="仿宋_GB2312" w:hAnsi="Tahoma" w:eastAsia="仿宋_GB2312" w:cs="Times New Roman"/>
          <w:b w:val="0"/>
          <w:bCs w:val="0"/>
          <w:color w:val="auto"/>
          <w:kern w:val="0"/>
          <w:sz w:val="28"/>
          <w:szCs w:val="22"/>
          <w:highlight w:val="none"/>
          <w:lang w:val="en-US" w:eastAsia="zh-CN"/>
        </w:rPr>
      </w:pPr>
      <w:r>
        <w:rPr>
          <w:rFonts w:hint="eastAsia" w:ascii="仿宋_GB2312" w:hAnsi="Tahoma" w:eastAsia="仿宋_GB2312" w:cs="Times New Roman"/>
          <w:b w:val="0"/>
          <w:bCs w:val="0"/>
          <w:color w:val="auto"/>
          <w:kern w:val="0"/>
          <w:sz w:val="28"/>
          <w:szCs w:val="22"/>
          <w:highlight w:val="none"/>
          <w:lang w:val="en-US" w:eastAsia="zh-CN"/>
        </w:rPr>
        <w:t>地址:本溪市明山区高台子办事处原赫地社区二组</w:t>
      </w:r>
    </w:p>
    <w:p w14:paraId="4C907152">
      <w:pPr>
        <w:pStyle w:val="15"/>
        <w:rPr>
          <w:rFonts w:hint="eastAsia"/>
          <w:highlight w:val="none"/>
          <w:lang w:val="en-US" w:eastAsia="zh-CN"/>
        </w:rPr>
      </w:pPr>
    </w:p>
    <w:p w14:paraId="165F84FF">
      <w:pPr>
        <w:keepNext w:val="0"/>
        <w:keepLines w:val="0"/>
        <w:pageBreakBefore w:val="0"/>
        <w:widowControl/>
        <w:kinsoku/>
        <w:wordWrap/>
        <w:overflowPunct/>
        <w:topLinePunct w:val="0"/>
        <w:autoSpaceDE/>
        <w:autoSpaceDN/>
        <w:bidi w:val="0"/>
        <w:adjustRightInd w:val="0"/>
        <w:snapToGrid/>
        <w:spacing w:line="360" w:lineRule="auto"/>
        <w:ind w:left="840" w:leftChars="0" w:hanging="840" w:hangingChars="300"/>
        <w:jc w:val="left"/>
        <w:textAlignment w:val="auto"/>
        <w:outlineLvl w:val="9"/>
        <w:rPr>
          <w:rFonts w:hint="default" w:ascii="仿宋_GB2312" w:hAnsi="Tahoma" w:eastAsia="仿宋_GB2312" w:cs="Times New Roman"/>
          <w:b w:val="0"/>
          <w:bCs w:val="0"/>
          <w:color w:val="auto"/>
          <w:kern w:val="0"/>
          <w:sz w:val="28"/>
          <w:szCs w:val="22"/>
          <w:highlight w:val="none"/>
          <w:lang w:val="en-US" w:eastAsia="zh-CN"/>
        </w:rPr>
      </w:pPr>
      <w:r>
        <w:rPr>
          <w:rFonts w:hint="eastAsia" w:ascii="仿宋_GB2312" w:hAnsi="Tahoma" w:eastAsia="仿宋_GB2312" w:cs="Times New Roman"/>
          <w:b w:val="0"/>
          <w:bCs w:val="0"/>
          <w:color w:val="auto"/>
          <w:kern w:val="0"/>
          <w:sz w:val="28"/>
          <w:szCs w:val="22"/>
          <w:highlight w:val="none"/>
          <w:lang w:val="en-US" w:eastAsia="zh-CN"/>
        </w:rPr>
        <w:t>编制单位：本溪市华宇木业有限公司（盖章）</w:t>
      </w:r>
    </w:p>
    <w:p w14:paraId="3D853317">
      <w:pPr>
        <w:keepNext w:val="0"/>
        <w:keepLines w:val="0"/>
        <w:pageBreakBefore w:val="0"/>
        <w:widowControl/>
        <w:kinsoku/>
        <w:wordWrap/>
        <w:overflowPunct/>
        <w:topLinePunct w:val="0"/>
        <w:autoSpaceDE/>
        <w:autoSpaceDN/>
        <w:bidi w:val="0"/>
        <w:adjustRightInd w:val="0"/>
        <w:snapToGrid/>
        <w:spacing w:line="360" w:lineRule="auto"/>
        <w:ind w:left="840" w:leftChars="0" w:hanging="840" w:hangingChars="300"/>
        <w:jc w:val="left"/>
        <w:textAlignment w:val="auto"/>
        <w:outlineLvl w:val="9"/>
        <w:rPr>
          <w:rFonts w:hint="default" w:ascii="仿宋_GB2312" w:hAnsi="Tahoma" w:eastAsia="仿宋_GB2312" w:cs="Times New Roman"/>
          <w:b w:val="0"/>
          <w:bCs w:val="0"/>
          <w:color w:val="auto"/>
          <w:kern w:val="0"/>
          <w:sz w:val="28"/>
          <w:szCs w:val="22"/>
          <w:highlight w:val="none"/>
          <w:lang w:val="en-US" w:eastAsia="zh-CN"/>
        </w:rPr>
      </w:pPr>
      <w:r>
        <w:rPr>
          <w:rFonts w:hint="eastAsia" w:ascii="仿宋_GB2312" w:hAnsi="Tahoma" w:eastAsia="仿宋_GB2312" w:cs="Times New Roman"/>
          <w:b w:val="0"/>
          <w:bCs w:val="0"/>
          <w:color w:val="auto"/>
          <w:kern w:val="0"/>
          <w:sz w:val="28"/>
          <w:szCs w:val="22"/>
          <w:highlight w:val="none"/>
          <w:lang w:val="en-US" w:eastAsia="zh-CN"/>
        </w:rPr>
        <w:t>电话:13324241655</w:t>
      </w:r>
    </w:p>
    <w:p w14:paraId="1B7F084C">
      <w:pPr>
        <w:keepNext w:val="0"/>
        <w:keepLines w:val="0"/>
        <w:pageBreakBefore w:val="0"/>
        <w:widowControl/>
        <w:kinsoku/>
        <w:wordWrap/>
        <w:overflowPunct/>
        <w:topLinePunct w:val="0"/>
        <w:autoSpaceDE/>
        <w:autoSpaceDN/>
        <w:bidi w:val="0"/>
        <w:adjustRightInd w:val="0"/>
        <w:snapToGrid/>
        <w:spacing w:line="360" w:lineRule="auto"/>
        <w:ind w:left="840" w:leftChars="0" w:hanging="840" w:hangingChars="300"/>
        <w:jc w:val="left"/>
        <w:textAlignment w:val="auto"/>
        <w:outlineLvl w:val="9"/>
        <w:rPr>
          <w:rFonts w:hint="eastAsia" w:ascii="仿宋_GB2312" w:hAnsi="Tahoma" w:eastAsia="仿宋_GB2312" w:cs="Times New Roman"/>
          <w:b w:val="0"/>
          <w:bCs w:val="0"/>
          <w:color w:val="auto"/>
          <w:kern w:val="0"/>
          <w:sz w:val="28"/>
          <w:szCs w:val="22"/>
          <w:highlight w:val="none"/>
          <w:lang w:val="en-US" w:eastAsia="zh-CN"/>
        </w:rPr>
      </w:pPr>
      <w:r>
        <w:rPr>
          <w:rFonts w:hint="eastAsia" w:ascii="仿宋_GB2312" w:hAnsi="Tahoma" w:eastAsia="仿宋_GB2312" w:cs="Times New Roman"/>
          <w:b w:val="0"/>
          <w:bCs w:val="0"/>
          <w:color w:val="auto"/>
          <w:kern w:val="0"/>
          <w:sz w:val="28"/>
          <w:szCs w:val="22"/>
          <w:highlight w:val="none"/>
          <w:lang w:val="en-US" w:eastAsia="zh-CN"/>
        </w:rPr>
        <w:t>传真:/</w:t>
      </w:r>
    </w:p>
    <w:p w14:paraId="18AB2DC4">
      <w:pPr>
        <w:keepNext w:val="0"/>
        <w:keepLines w:val="0"/>
        <w:pageBreakBefore w:val="0"/>
        <w:widowControl/>
        <w:kinsoku/>
        <w:wordWrap/>
        <w:overflowPunct/>
        <w:topLinePunct w:val="0"/>
        <w:autoSpaceDE/>
        <w:autoSpaceDN/>
        <w:bidi w:val="0"/>
        <w:adjustRightInd w:val="0"/>
        <w:snapToGrid/>
        <w:spacing w:line="360" w:lineRule="auto"/>
        <w:ind w:left="840" w:leftChars="0" w:hanging="840" w:hangingChars="300"/>
        <w:jc w:val="left"/>
        <w:textAlignment w:val="auto"/>
        <w:outlineLvl w:val="9"/>
        <w:rPr>
          <w:rFonts w:hint="eastAsia" w:ascii="仿宋_GB2312" w:hAnsi="Tahoma" w:eastAsia="仿宋_GB2312" w:cs="Times New Roman"/>
          <w:b w:val="0"/>
          <w:bCs w:val="0"/>
          <w:color w:val="auto"/>
          <w:kern w:val="0"/>
          <w:sz w:val="28"/>
          <w:szCs w:val="22"/>
          <w:highlight w:val="none"/>
          <w:lang w:val="en-US" w:eastAsia="zh-CN"/>
        </w:rPr>
      </w:pPr>
      <w:r>
        <w:rPr>
          <w:rFonts w:hint="eastAsia" w:ascii="仿宋_GB2312" w:hAnsi="Tahoma" w:eastAsia="仿宋_GB2312" w:cs="Times New Roman"/>
          <w:b w:val="0"/>
          <w:bCs w:val="0"/>
          <w:color w:val="auto"/>
          <w:kern w:val="0"/>
          <w:sz w:val="28"/>
          <w:szCs w:val="22"/>
          <w:highlight w:val="none"/>
          <w:lang w:val="en-US" w:eastAsia="zh-CN"/>
        </w:rPr>
        <w:t>邮编:117000</w:t>
      </w:r>
    </w:p>
    <w:p w14:paraId="6B8BC268">
      <w:pPr>
        <w:keepNext w:val="0"/>
        <w:keepLines w:val="0"/>
        <w:pageBreakBefore w:val="0"/>
        <w:widowControl/>
        <w:kinsoku/>
        <w:wordWrap/>
        <w:overflowPunct/>
        <w:topLinePunct w:val="0"/>
        <w:autoSpaceDE/>
        <w:autoSpaceDN/>
        <w:bidi w:val="0"/>
        <w:adjustRightInd w:val="0"/>
        <w:snapToGrid/>
        <w:spacing w:line="360" w:lineRule="auto"/>
        <w:ind w:left="840" w:leftChars="0" w:hanging="840" w:hangingChars="300"/>
        <w:jc w:val="left"/>
        <w:textAlignment w:val="auto"/>
        <w:outlineLvl w:val="9"/>
        <w:rPr>
          <w:rFonts w:hint="eastAsia" w:ascii="仿宋_GB2312" w:hAnsi="Tahoma" w:eastAsia="仿宋_GB2312" w:cs="Times New Roman"/>
          <w:b w:val="0"/>
          <w:bCs w:val="0"/>
          <w:color w:val="auto"/>
          <w:kern w:val="0"/>
          <w:sz w:val="28"/>
          <w:szCs w:val="22"/>
          <w:highlight w:val="none"/>
          <w:lang w:val="en-US" w:eastAsia="zh-CN"/>
        </w:rPr>
      </w:pPr>
      <w:r>
        <w:rPr>
          <w:rFonts w:hint="eastAsia" w:ascii="仿宋_GB2312" w:hAnsi="Tahoma" w:eastAsia="仿宋_GB2312" w:cs="Times New Roman"/>
          <w:b w:val="0"/>
          <w:bCs w:val="0"/>
          <w:color w:val="auto"/>
          <w:kern w:val="0"/>
          <w:sz w:val="28"/>
          <w:szCs w:val="22"/>
          <w:highlight w:val="none"/>
          <w:lang w:val="en-US" w:eastAsia="zh-CN"/>
        </w:rPr>
        <w:t>地址:本溪市明山区高台子办事处原赫地社区二组</w:t>
      </w:r>
    </w:p>
    <w:p w14:paraId="09F4D0E0">
      <w:pPr>
        <w:rPr>
          <w:rFonts w:hint="eastAsia" w:ascii="Times New Roman" w:hAnsi="Times New Roman" w:eastAsia="黑体"/>
          <w:b/>
          <w:color w:val="auto"/>
          <w:sz w:val="24"/>
          <w:highlight w:val="none"/>
          <w:lang w:val="en-US" w:eastAsia="zh-CN"/>
        </w:rPr>
      </w:pPr>
      <w:r>
        <w:rPr>
          <w:rFonts w:hint="eastAsia" w:ascii="Times New Roman" w:hAnsi="Times New Roman" w:eastAsia="黑体"/>
          <w:b/>
          <w:color w:val="auto"/>
          <w:sz w:val="24"/>
          <w:highlight w:val="none"/>
          <w:lang w:val="en-US" w:eastAsia="zh-CN"/>
        </w:rPr>
        <w:br w:type="page"/>
      </w:r>
    </w:p>
    <w:p w14:paraId="6DD320C2">
      <w:pPr>
        <w:pStyle w:val="15"/>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rPr>
          <w:rFonts w:hint="default" w:ascii="Times New Roman" w:hAnsi="Times New Roman" w:eastAsia="黑体"/>
          <w:b/>
          <w:color w:val="auto"/>
          <w:sz w:val="24"/>
          <w:highlight w:val="none"/>
          <w:vertAlign w:val="baseline"/>
          <w:lang w:val="en-US" w:eastAsia="zh-CN"/>
        </w:rPr>
      </w:pPr>
      <w:r>
        <w:rPr>
          <w:rFonts w:hint="eastAsia" w:ascii="Times New Roman" w:hAnsi="Times New Roman" w:eastAsia="黑体"/>
          <w:b/>
          <w:color w:val="auto"/>
          <w:sz w:val="24"/>
          <w:highlight w:val="none"/>
          <w:lang w:val="en-US" w:eastAsia="zh-CN"/>
        </w:rPr>
        <w:t>表一</w:t>
      </w:r>
    </w:p>
    <w:tbl>
      <w:tblPr>
        <w:tblStyle w:val="24"/>
        <w:tblW w:w="892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50"/>
        <w:gridCol w:w="1760"/>
        <w:gridCol w:w="1909"/>
        <w:gridCol w:w="1177"/>
        <w:gridCol w:w="934"/>
        <w:gridCol w:w="1494"/>
      </w:tblGrid>
      <w:tr w14:paraId="251A80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exact"/>
          <w:jc w:val="center"/>
        </w:trPr>
        <w:tc>
          <w:tcPr>
            <w:tcW w:w="1650" w:type="dxa"/>
            <w:noWrap w:val="0"/>
            <w:vAlign w:val="center"/>
          </w:tcPr>
          <w:p w14:paraId="6CC80674">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建设项目名称</w:t>
            </w:r>
          </w:p>
        </w:tc>
        <w:tc>
          <w:tcPr>
            <w:tcW w:w="7274" w:type="dxa"/>
            <w:gridSpan w:val="5"/>
            <w:noWrap w:val="0"/>
            <w:vAlign w:val="center"/>
          </w:tcPr>
          <w:p w14:paraId="6F274A85">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本溪市华宇木业有限公司木制品及泡沫制品包装生产线建设项目</w:t>
            </w:r>
          </w:p>
        </w:tc>
      </w:tr>
      <w:tr w14:paraId="3CDBBA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exact"/>
          <w:jc w:val="center"/>
        </w:trPr>
        <w:tc>
          <w:tcPr>
            <w:tcW w:w="1650" w:type="dxa"/>
            <w:noWrap w:val="0"/>
            <w:vAlign w:val="center"/>
          </w:tcPr>
          <w:p w14:paraId="12203182">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建设单位名称</w:t>
            </w:r>
          </w:p>
        </w:tc>
        <w:tc>
          <w:tcPr>
            <w:tcW w:w="7274" w:type="dxa"/>
            <w:gridSpan w:val="5"/>
            <w:noWrap w:val="0"/>
            <w:vAlign w:val="center"/>
          </w:tcPr>
          <w:p w14:paraId="511A0BCF">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本溪市华宇木业有限公司</w:t>
            </w:r>
          </w:p>
        </w:tc>
      </w:tr>
      <w:tr w14:paraId="280431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exact"/>
          <w:jc w:val="center"/>
        </w:trPr>
        <w:tc>
          <w:tcPr>
            <w:tcW w:w="1650" w:type="dxa"/>
            <w:noWrap w:val="0"/>
            <w:vAlign w:val="center"/>
          </w:tcPr>
          <w:p w14:paraId="26A89882">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建设项目性质</w:t>
            </w:r>
          </w:p>
        </w:tc>
        <w:tc>
          <w:tcPr>
            <w:tcW w:w="7274" w:type="dxa"/>
            <w:gridSpan w:val="5"/>
            <w:noWrap w:val="0"/>
            <w:vAlign w:val="center"/>
          </w:tcPr>
          <w:p w14:paraId="455BD2CC">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√新建  改扩建  技改  迁建</w:t>
            </w:r>
          </w:p>
        </w:tc>
      </w:tr>
      <w:tr w14:paraId="5326A7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exact"/>
          <w:jc w:val="center"/>
        </w:trPr>
        <w:tc>
          <w:tcPr>
            <w:tcW w:w="1650" w:type="dxa"/>
            <w:noWrap w:val="0"/>
            <w:vAlign w:val="center"/>
          </w:tcPr>
          <w:p w14:paraId="4AC6FA33">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建设地点</w:t>
            </w:r>
          </w:p>
        </w:tc>
        <w:tc>
          <w:tcPr>
            <w:tcW w:w="7274" w:type="dxa"/>
            <w:gridSpan w:val="5"/>
            <w:noWrap w:val="0"/>
            <w:vAlign w:val="center"/>
          </w:tcPr>
          <w:p w14:paraId="3E4E3D57">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本溪市明山区高台子办事处原赫地社区二组</w:t>
            </w:r>
          </w:p>
        </w:tc>
      </w:tr>
      <w:tr w14:paraId="5B8139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exact"/>
          <w:jc w:val="center"/>
        </w:trPr>
        <w:tc>
          <w:tcPr>
            <w:tcW w:w="1650" w:type="dxa"/>
            <w:noWrap w:val="0"/>
            <w:vAlign w:val="center"/>
          </w:tcPr>
          <w:p w14:paraId="38D6FC1B">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主要产品名称</w:t>
            </w:r>
          </w:p>
        </w:tc>
        <w:tc>
          <w:tcPr>
            <w:tcW w:w="7274" w:type="dxa"/>
            <w:gridSpan w:val="5"/>
            <w:noWrap w:val="0"/>
            <w:vAlign w:val="center"/>
          </w:tcPr>
          <w:p w14:paraId="7F723DD7">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泡沫制品包装、木制包装箱、木制托盘</w:t>
            </w:r>
          </w:p>
        </w:tc>
      </w:tr>
      <w:tr w14:paraId="522503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exact"/>
          <w:jc w:val="center"/>
        </w:trPr>
        <w:tc>
          <w:tcPr>
            <w:tcW w:w="1650" w:type="dxa"/>
            <w:noWrap w:val="0"/>
            <w:vAlign w:val="center"/>
          </w:tcPr>
          <w:p w14:paraId="77836F1D">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设计生产能力</w:t>
            </w:r>
          </w:p>
        </w:tc>
        <w:tc>
          <w:tcPr>
            <w:tcW w:w="7274" w:type="dxa"/>
            <w:gridSpan w:val="5"/>
            <w:noWrap w:val="0"/>
            <w:vAlign w:val="center"/>
          </w:tcPr>
          <w:p w14:paraId="1969C5B0">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泡沫制品包装为500t/a、木制包装箱为500m</w:t>
            </w:r>
            <w:r>
              <w:rPr>
                <w:rFonts w:hint="eastAsia" w:ascii="Times New Roman" w:hAnsi="Times New Roman" w:eastAsia="宋体" w:cs="Times New Roman"/>
                <w:color w:val="auto"/>
                <w:kern w:val="0"/>
                <w:sz w:val="21"/>
                <w:szCs w:val="21"/>
                <w:highlight w:val="none"/>
                <w:vertAlign w:val="superscript"/>
                <w:lang w:val="en-US" w:eastAsia="zh-CN"/>
              </w:rPr>
              <w:t>3</w:t>
            </w:r>
            <w:r>
              <w:rPr>
                <w:rFonts w:hint="eastAsia" w:ascii="Times New Roman" w:hAnsi="Times New Roman" w:eastAsia="宋体" w:cs="Times New Roman"/>
                <w:color w:val="auto"/>
                <w:kern w:val="0"/>
                <w:sz w:val="21"/>
                <w:szCs w:val="21"/>
                <w:highlight w:val="none"/>
                <w:lang w:val="en-US" w:eastAsia="zh-CN"/>
              </w:rPr>
              <w:t>、木制托盘为500m</w:t>
            </w:r>
            <w:r>
              <w:rPr>
                <w:rFonts w:hint="eastAsia" w:ascii="Times New Roman" w:hAnsi="Times New Roman" w:eastAsia="宋体" w:cs="Times New Roman"/>
                <w:color w:val="auto"/>
                <w:kern w:val="0"/>
                <w:sz w:val="21"/>
                <w:szCs w:val="21"/>
                <w:highlight w:val="none"/>
                <w:vertAlign w:val="superscript"/>
                <w:lang w:val="en-US" w:eastAsia="zh-CN"/>
              </w:rPr>
              <w:t>3</w:t>
            </w:r>
          </w:p>
        </w:tc>
      </w:tr>
      <w:tr w14:paraId="0D88BB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exact"/>
          <w:jc w:val="center"/>
        </w:trPr>
        <w:tc>
          <w:tcPr>
            <w:tcW w:w="1650" w:type="dxa"/>
            <w:noWrap w:val="0"/>
            <w:vAlign w:val="center"/>
          </w:tcPr>
          <w:p w14:paraId="6396DAE3">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实际生产能力</w:t>
            </w:r>
          </w:p>
        </w:tc>
        <w:tc>
          <w:tcPr>
            <w:tcW w:w="7274" w:type="dxa"/>
            <w:gridSpan w:val="5"/>
            <w:noWrap w:val="0"/>
            <w:vAlign w:val="center"/>
          </w:tcPr>
          <w:p w14:paraId="5C5A4C75">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泡沫制品包装为500t/a，木制包装箱为500m</w:t>
            </w:r>
            <w:r>
              <w:rPr>
                <w:rFonts w:hint="eastAsia" w:ascii="Times New Roman" w:hAnsi="Times New Roman" w:eastAsia="宋体" w:cs="Times New Roman"/>
                <w:color w:val="auto"/>
                <w:kern w:val="0"/>
                <w:sz w:val="21"/>
                <w:szCs w:val="21"/>
                <w:highlight w:val="none"/>
                <w:vertAlign w:val="superscript"/>
                <w:lang w:val="en-US" w:eastAsia="zh-CN"/>
              </w:rPr>
              <w:t>3</w:t>
            </w:r>
            <w:r>
              <w:rPr>
                <w:rFonts w:hint="eastAsia" w:ascii="Times New Roman" w:hAnsi="Times New Roman" w:eastAsia="宋体" w:cs="Times New Roman"/>
                <w:color w:val="auto"/>
                <w:kern w:val="0"/>
                <w:sz w:val="21"/>
                <w:szCs w:val="21"/>
                <w:highlight w:val="none"/>
                <w:lang w:val="en-US" w:eastAsia="zh-CN"/>
              </w:rPr>
              <w:t>、木制托盘为500m</w:t>
            </w:r>
            <w:r>
              <w:rPr>
                <w:rFonts w:hint="eastAsia" w:ascii="Times New Roman" w:hAnsi="Times New Roman" w:eastAsia="宋体" w:cs="Times New Roman"/>
                <w:color w:val="auto"/>
                <w:kern w:val="0"/>
                <w:sz w:val="21"/>
                <w:szCs w:val="21"/>
                <w:highlight w:val="none"/>
                <w:vertAlign w:val="superscript"/>
                <w:lang w:val="en-US" w:eastAsia="zh-CN"/>
              </w:rPr>
              <w:t>3</w:t>
            </w:r>
          </w:p>
        </w:tc>
      </w:tr>
      <w:tr w14:paraId="4252F1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exact"/>
          <w:jc w:val="center"/>
        </w:trPr>
        <w:tc>
          <w:tcPr>
            <w:tcW w:w="1650" w:type="dxa"/>
            <w:noWrap w:val="0"/>
            <w:vAlign w:val="center"/>
          </w:tcPr>
          <w:p w14:paraId="589BE35A">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建设项目</w:t>
            </w:r>
          </w:p>
          <w:p w14:paraId="65E9E277">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环评时间</w:t>
            </w:r>
          </w:p>
        </w:tc>
        <w:tc>
          <w:tcPr>
            <w:tcW w:w="1760" w:type="dxa"/>
            <w:noWrap w:val="0"/>
            <w:vAlign w:val="center"/>
          </w:tcPr>
          <w:p w14:paraId="78D7696A">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20</w:t>
            </w:r>
            <w:r>
              <w:rPr>
                <w:rFonts w:hint="eastAsia" w:ascii="Times New Roman" w:hAnsi="Times New Roman" w:eastAsia="宋体" w:cs="Times New Roman"/>
                <w:color w:val="auto"/>
                <w:kern w:val="0"/>
                <w:sz w:val="21"/>
                <w:szCs w:val="21"/>
                <w:highlight w:val="none"/>
                <w:lang w:val="en-US" w:eastAsia="zh-CN"/>
              </w:rPr>
              <w:t>24</w:t>
            </w:r>
            <w:r>
              <w:rPr>
                <w:rFonts w:hint="default" w:ascii="Times New Roman" w:hAnsi="Times New Roman" w:eastAsia="宋体" w:cs="Times New Roman"/>
                <w:color w:val="auto"/>
                <w:kern w:val="0"/>
                <w:sz w:val="21"/>
                <w:szCs w:val="21"/>
                <w:highlight w:val="none"/>
                <w:lang w:val="en-US" w:eastAsia="zh-CN"/>
              </w:rPr>
              <w:t>年</w:t>
            </w:r>
            <w:r>
              <w:rPr>
                <w:rFonts w:hint="eastAsia" w:ascii="Times New Roman" w:hAnsi="Times New Roman" w:eastAsia="宋体" w:cs="Times New Roman"/>
                <w:color w:val="auto"/>
                <w:kern w:val="0"/>
                <w:sz w:val="21"/>
                <w:szCs w:val="21"/>
                <w:highlight w:val="none"/>
                <w:lang w:val="en-US" w:eastAsia="zh-CN"/>
              </w:rPr>
              <w:t>9</w:t>
            </w:r>
            <w:r>
              <w:rPr>
                <w:rFonts w:hint="default" w:ascii="Times New Roman" w:hAnsi="Times New Roman" w:eastAsia="宋体" w:cs="Times New Roman"/>
                <w:color w:val="auto"/>
                <w:kern w:val="0"/>
                <w:sz w:val="21"/>
                <w:szCs w:val="21"/>
                <w:highlight w:val="none"/>
                <w:lang w:val="en-US" w:eastAsia="zh-CN"/>
              </w:rPr>
              <w:t>月</w:t>
            </w:r>
          </w:p>
        </w:tc>
        <w:tc>
          <w:tcPr>
            <w:tcW w:w="1909" w:type="dxa"/>
            <w:noWrap w:val="0"/>
            <w:vAlign w:val="center"/>
          </w:tcPr>
          <w:p w14:paraId="1EFE444B">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开工建设时间</w:t>
            </w:r>
          </w:p>
        </w:tc>
        <w:tc>
          <w:tcPr>
            <w:tcW w:w="3605" w:type="dxa"/>
            <w:gridSpan w:val="3"/>
            <w:noWrap w:val="0"/>
            <w:vAlign w:val="center"/>
          </w:tcPr>
          <w:p w14:paraId="6DE3BE9A">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2024年10月</w:t>
            </w:r>
          </w:p>
        </w:tc>
      </w:tr>
      <w:tr w14:paraId="349EB6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exact"/>
          <w:jc w:val="center"/>
        </w:trPr>
        <w:tc>
          <w:tcPr>
            <w:tcW w:w="1650" w:type="dxa"/>
            <w:noWrap w:val="0"/>
            <w:vAlign w:val="center"/>
          </w:tcPr>
          <w:p w14:paraId="78190FE8">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调试</w:t>
            </w:r>
            <w:r>
              <w:rPr>
                <w:rFonts w:ascii="Times New Roman" w:hAnsi="Times New Roman" w:eastAsia="宋体" w:cs="Times New Roman"/>
                <w:color w:val="auto"/>
                <w:kern w:val="0"/>
                <w:sz w:val="21"/>
                <w:szCs w:val="21"/>
                <w:highlight w:val="none"/>
              </w:rPr>
              <w:t>时间</w:t>
            </w:r>
          </w:p>
        </w:tc>
        <w:tc>
          <w:tcPr>
            <w:tcW w:w="1760" w:type="dxa"/>
            <w:noWrap w:val="0"/>
            <w:vAlign w:val="center"/>
          </w:tcPr>
          <w:p w14:paraId="03EF9FB0">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w:t>
            </w:r>
            <w:r>
              <w:rPr>
                <w:rFonts w:hint="eastAsia" w:cs="Times New Roman"/>
                <w:color w:val="auto"/>
                <w:kern w:val="0"/>
                <w:sz w:val="21"/>
                <w:szCs w:val="21"/>
                <w:highlight w:val="none"/>
                <w:lang w:val="en-US" w:eastAsia="zh-CN"/>
              </w:rPr>
              <w:t>4</w:t>
            </w:r>
            <w:r>
              <w:rPr>
                <w:rFonts w:hint="eastAsia" w:ascii="Times New Roman" w:hAnsi="Times New Roman" w:eastAsia="宋体" w:cs="Times New Roman"/>
                <w:color w:val="auto"/>
                <w:kern w:val="0"/>
                <w:sz w:val="21"/>
                <w:szCs w:val="21"/>
                <w:highlight w:val="none"/>
                <w:lang w:val="en-US" w:eastAsia="zh-CN"/>
              </w:rPr>
              <w:t>年1</w:t>
            </w:r>
            <w:r>
              <w:rPr>
                <w:rFonts w:hint="eastAsia" w:cs="Times New Roman"/>
                <w:color w:val="auto"/>
                <w:kern w:val="0"/>
                <w:sz w:val="21"/>
                <w:szCs w:val="21"/>
                <w:highlight w:val="none"/>
                <w:lang w:val="en-US" w:eastAsia="zh-CN"/>
              </w:rPr>
              <w:t>2</w:t>
            </w:r>
            <w:r>
              <w:rPr>
                <w:rFonts w:hint="eastAsia" w:ascii="Times New Roman" w:hAnsi="Times New Roman" w:eastAsia="宋体" w:cs="Times New Roman"/>
                <w:color w:val="auto"/>
                <w:kern w:val="0"/>
                <w:sz w:val="21"/>
                <w:szCs w:val="21"/>
                <w:highlight w:val="none"/>
                <w:lang w:val="en-US" w:eastAsia="zh-CN"/>
              </w:rPr>
              <w:t>月</w:t>
            </w:r>
          </w:p>
        </w:tc>
        <w:tc>
          <w:tcPr>
            <w:tcW w:w="1909" w:type="dxa"/>
            <w:noWrap w:val="0"/>
            <w:vAlign w:val="center"/>
          </w:tcPr>
          <w:p w14:paraId="41BE4D92">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验收</w:t>
            </w:r>
            <w:r>
              <w:rPr>
                <w:rFonts w:ascii="Times New Roman" w:hAnsi="Times New Roman" w:eastAsia="宋体" w:cs="Times New Roman"/>
                <w:color w:val="auto"/>
                <w:kern w:val="0"/>
                <w:sz w:val="21"/>
                <w:szCs w:val="21"/>
                <w:highlight w:val="none"/>
              </w:rPr>
              <w:t>现场</w:t>
            </w:r>
          </w:p>
          <w:p w14:paraId="01CD7C1E">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监测时间</w:t>
            </w:r>
          </w:p>
        </w:tc>
        <w:tc>
          <w:tcPr>
            <w:tcW w:w="3605" w:type="dxa"/>
            <w:gridSpan w:val="3"/>
            <w:noWrap w:val="0"/>
            <w:vAlign w:val="center"/>
          </w:tcPr>
          <w:p w14:paraId="6EA0FE7A">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2025年1月20日-21日</w:t>
            </w:r>
          </w:p>
        </w:tc>
      </w:tr>
      <w:tr w14:paraId="4A140F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exact"/>
          <w:jc w:val="center"/>
        </w:trPr>
        <w:tc>
          <w:tcPr>
            <w:tcW w:w="1650" w:type="dxa"/>
            <w:noWrap w:val="0"/>
            <w:vAlign w:val="center"/>
          </w:tcPr>
          <w:p w14:paraId="724E6925">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环评报告表</w:t>
            </w:r>
          </w:p>
          <w:p w14:paraId="28CB2C2D">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审批部门</w:t>
            </w:r>
          </w:p>
        </w:tc>
        <w:tc>
          <w:tcPr>
            <w:tcW w:w="1760" w:type="dxa"/>
            <w:noWrap w:val="0"/>
            <w:vAlign w:val="center"/>
          </w:tcPr>
          <w:p w14:paraId="4E0C1894">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本溪市生态环境局</w:t>
            </w:r>
          </w:p>
        </w:tc>
        <w:tc>
          <w:tcPr>
            <w:tcW w:w="1909" w:type="dxa"/>
            <w:noWrap w:val="0"/>
            <w:vAlign w:val="center"/>
          </w:tcPr>
          <w:p w14:paraId="4C487B8E">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环评报告表</w:t>
            </w:r>
          </w:p>
          <w:p w14:paraId="750F98D3">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编制单位</w:t>
            </w:r>
          </w:p>
        </w:tc>
        <w:tc>
          <w:tcPr>
            <w:tcW w:w="3605" w:type="dxa"/>
            <w:gridSpan w:val="3"/>
            <w:noWrap w:val="0"/>
            <w:vAlign w:val="center"/>
          </w:tcPr>
          <w:p w14:paraId="3B73540E">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辽宁碧辉科技有限公司</w:t>
            </w:r>
          </w:p>
        </w:tc>
      </w:tr>
      <w:tr w14:paraId="2BCCF0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exact"/>
          <w:jc w:val="center"/>
        </w:trPr>
        <w:tc>
          <w:tcPr>
            <w:tcW w:w="1650" w:type="dxa"/>
            <w:noWrap w:val="0"/>
            <w:vAlign w:val="center"/>
          </w:tcPr>
          <w:p w14:paraId="77334404">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环保设施</w:t>
            </w:r>
          </w:p>
          <w:p w14:paraId="6652C223">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设计单位</w:t>
            </w:r>
          </w:p>
        </w:tc>
        <w:tc>
          <w:tcPr>
            <w:tcW w:w="1760" w:type="dxa"/>
            <w:noWrap w:val="0"/>
            <w:vAlign w:val="center"/>
          </w:tcPr>
          <w:p w14:paraId="305F2CC8">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w:t>
            </w:r>
          </w:p>
        </w:tc>
        <w:tc>
          <w:tcPr>
            <w:tcW w:w="1909" w:type="dxa"/>
            <w:noWrap w:val="0"/>
            <w:vAlign w:val="center"/>
          </w:tcPr>
          <w:p w14:paraId="23A8BCB4">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环保设施</w:t>
            </w:r>
          </w:p>
          <w:p w14:paraId="0CFBF4AC">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施工单位</w:t>
            </w:r>
          </w:p>
        </w:tc>
        <w:tc>
          <w:tcPr>
            <w:tcW w:w="3605" w:type="dxa"/>
            <w:gridSpan w:val="3"/>
            <w:noWrap w:val="0"/>
            <w:vAlign w:val="center"/>
          </w:tcPr>
          <w:p w14:paraId="2C104623">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w:t>
            </w:r>
          </w:p>
        </w:tc>
      </w:tr>
      <w:tr w14:paraId="16DDA2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exact"/>
          <w:jc w:val="center"/>
        </w:trPr>
        <w:tc>
          <w:tcPr>
            <w:tcW w:w="1650" w:type="dxa"/>
            <w:noWrap w:val="0"/>
            <w:vAlign w:val="center"/>
          </w:tcPr>
          <w:p w14:paraId="06151060">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投资总概算</w:t>
            </w:r>
          </w:p>
        </w:tc>
        <w:tc>
          <w:tcPr>
            <w:tcW w:w="1760" w:type="dxa"/>
            <w:noWrap w:val="0"/>
            <w:vAlign w:val="center"/>
          </w:tcPr>
          <w:p w14:paraId="09786ADA">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515万元</w:t>
            </w:r>
          </w:p>
        </w:tc>
        <w:tc>
          <w:tcPr>
            <w:tcW w:w="1909" w:type="dxa"/>
            <w:noWrap w:val="0"/>
            <w:vAlign w:val="center"/>
          </w:tcPr>
          <w:p w14:paraId="6846D8EC">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环保投资总概算</w:t>
            </w:r>
          </w:p>
        </w:tc>
        <w:tc>
          <w:tcPr>
            <w:tcW w:w="1177" w:type="dxa"/>
            <w:noWrap w:val="0"/>
            <w:vAlign w:val="center"/>
          </w:tcPr>
          <w:p w14:paraId="7C517103">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61万元</w:t>
            </w:r>
          </w:p>
        </w:tc>
        <w:tc>
          <w:tcPr>
            <w:tcW w:w="934" w:type="dxa"/>
            <w:noWrap w:val="0"/>
            <w:vAlign w:val="center"/>
          </w:tcPr>
          <w:p w14:paraId="6EC42DB4">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比例</w:t>
            </w:r>
          </w:p>
        </w:tc>
        <w:tc>
          <w:tcPr>
            <w:tcW w:w="1494" w:type="dxa"/>
            <w:noWrap w:val="0"/>
            <w:vAlign w:val="center"/>
          </w:tcPr>
          <w:p w14:paraId="0A40AB08">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11.84</w:t>
            </w:r>
            <w:r>
              <w:rPr>
                <w:rFonts w:hint="default" w:ascii="Times New Roman" w:hAnsi="Times New Roman" w:eastAsia="宋体" w:cs="Times New Roman"/>
                <w:color w:val="auto"/>
                <w:kern w:val="0"/>
                <w:sz w:val="21"/>
                <w:szCs w:val="21"/>
                <w:highlight w:val="none"/>
              </w:rPr>
              <w:t>%</w:t>
            </w:r>
          </w:p>
        </w:tc>
      </w:tr>
      <w:tr w14:paraId="352D48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exact"/>
          <w:jc w:val="center"/>
        </w:trPr>
        <w:tc>
          <w:tcPr>
            <w:tcW w:w="1650" w:type="dxa"/>
            <w:noWrap w:val="0"/>
            <w:vAlign w:val="center"/>
          </w:tcPr>
          <w:p w14:paraId="0D437473">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实际总概算</w:t>
            </w:r>
          </w:p>
        </w:tc>
        <w:tc>
          <w:tcPr>
            <w:tcW w:w="1760" w:type="dxa"/>
            <w:noWrap w:val="0"/>
            <w:vAlign w:val="center"/>
          </w:tcPr>
          <w:p w14:paraId="797190E9">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450万元</w:t>
            </w:r>
          </w:p>
        </w:tc>
        <w:tc>
          <w:tcPr>
            <w:tcW w:w="1909" w:type="dxa"/>
            <w:noWrap w:val="0"/>
            <w:vAlign w:val="center"/>
          </w:tcPr>
          <w:p w14:paraId="1F04B896">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环保投资</w:t>
            </w:r>
          </w:p>
        </w:tc>
        <w:tc>
          <w:tcPr>
            <w:tcW w:w="1177" w:type="dxa"/>
            <w:noWrap w:val="0"/>
            <w:vAlign w:val="center"/>
          </w:tcPr>
          <w:p w14:paraId="544A988B">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35万元</w:t>
            </w:r>
          </w:p>
        </w:tc>
        <w:tc>
          <w:tcPr>
            <w:tcW w:w="934" w:type="dxa"/>
            <w:noWrap w:val="0"/>
            <w:vAlign w:val="center"/>
          </w:tcPr>
          <w:p w14:paraId="61059F08">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比例</w:t>
            </w:r>
          </w:p>
        </w:tc>
        <w:tc>
          <w:tcPr>
            <w:tcW w:w="1494" w:type="dxa"/>
            <w:noWrap w:val="0"/>
            <w:vAlign w:val="center"/>
          </w:tcPr>
          <w:p w14:paraId="6ABE90EE">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7.78</w:t>
            </w:r>
            <w:r>
              <w:rPr>
                <w:rFonts w:hint="default" w:ascii="Times New Roman" w:hAnsi="Times New Roman" w:eastAsia="宋体" w:cs="Times New Roman"/>
                <w:color w:val="auto"/>
                <w:kern w:val="0"/>
                <w:sz w:val="21"/>
                <w:szCs w:val="21"/>
                <w:highlight w:val="none"/>
                <w:lang w:val="en-US" w:eastAsia="zh-CN"/>
              </w:rPr>
              <w:t>%</w:t>
            </w:r>
          </w:p>
        </w:tc>
      </w:tr>
      <w:tr w14:paraId="64B0FD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44" w:hRule="atLeast"/>
          <w:jc w:val="center"/>
        </w:trPr>
        <w:tc>
          <w:tcPr>
            <w:tcW w:w="1650" w:type="dxa"/>
            <w:noWrap w:val="0"/>
            <w:vAlign w:val="center"/>
          </w:tcPr>
          <w:p w14:paraId="3E70DFE3">
            <w:pPr>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center"/>
              <w:textAlignment w:val="auto"/>
              <w:outlineLvl w:val="9"/>
              <w:rPr>
                <w:rFonts w:hint="default" w:ascii="Times New Roman" w:hAnsi="Times New Roman" w:eastAsia="宋体" w:cs="Times New Roman"/>
                <w:color w:val="auto"/>
                <w:kern w:val="0"/>
                <w:sz w:val="21"/>
                <w:szCs w:val="21"/>
                <w:highlight w:val="yellow"/>
                <w:lang w:val="en-US" w:eastAsia="zh-CN"/>
              </w:rPr>
            </w:pPr>
            <w:r>
              <w:rPr>
                <w:rFonts w:hint="eastAsia" w:ascii="Times New Roman" w:hAnsi="Times New Roman" w:eastAsia="宋体" w:cs="Times New Roman"/>
                <w:color w:val="auto"/>
                <w:kern w:val="0"/>
                <w:sz w:val="21"/>
                <w:szCs w:val="21"/>
                <w:highlight w:val="none"/>
                <w:lang w:val="en-US" w:eastAsia="zh-CN"/>
              </w:rPr>
              <w:t>验收监测依据</w:t>
            </w:r>
          </w:p>
        </w:tc>
        <w:tc>
          <w:tcPr>
            <w:tcW w:w="7274" w:type="dxa"/>
            <w:gridSpan w:val="5"/>
            <w:noWrap w:val="0"/>
            <w:vAlign w:val="center"/>
          </w:tcPr>
          <w:p w14:paraId="198415C1">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（1）《中华人民共和国环境保护法》（2015年1月1日起施行）；</w:t>
            </w:r>
          </w:p>
          <w:p w14:paraId="262ECD52">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（2）《中华人民共和国环境影响评价法》（2018年12月29日修订）；</w:t>
            </w:r>
          </w:p>
          <w:p w14:paraId="11E55126">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（3）《中华人民共和国大气污染防治法》（2018年10月26日修正）；</w:t>
            </w:r>
          </w:p>
          <w:p w14:paraId="07AC0BED">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（4）《中华人民共和国水污染防治法》（2018年1月1日起施行）；</w:t>
            </w:r>
          </w:p>
          <w:p w14:paraId="05AF67BC">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（5）《中华人民共和国环境噪声污染防治法》（2022年6月5日）；</w:t>
            </w:r>
          </w:p>
          <w:p w14:paraId="70616443">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（6）《中华人民共和国固体废物污染环境防治法》（2020年9月1日起实施）；</w:t>
            </w:r>
          </w:p>
          <w:p w14:paraId="4E05E9D8">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（7）《建设项目环境保护管理条例》（中华人民共和国国务院令 第682号）；</w:t>
            </w:r>
          </w:p>
          <w:p w14:paraId="5883EAFF">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（8）《产业结构调整指导目录》（2024年本）；</w:t>
            </w:r>
          </w:p>
          <w:p w14:paraId="72AD1191">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（9）《建设项目竣工环境保护验收暂行办法》（国环规环评﹝2017〕4号）；</w:t>
            </w:r>
          </w:p>
          <w:p w14:paraId="386C11CB">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（10）《建设项目竣工环境保护验收技术指南 污染影响类》（2018年第9号）；</w:t>
            </w:r>
          </w:p>
          <w:p w14:paraId="48D0BDA5">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（11）《关于印发环评管理中部分行业建设项目重大变动清单的通知》（环办﹝2015〕52号）；</w:t>
            </w:r>
          </w:p>
          <w:p w14:paraId="4DAAA611">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（12）《关于印发&lt;污染影响类建设项目重大变动清单（试行）&gt;的通知》（环办环评函[2020]688号）；</w:t>
            </w:r>
          </w:p>
          <w:p w14:paraId="2E6FB662">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（13）《国家危险废物名录》（2021年版）；</w:t>
            </w:r>
          </w:p>
          <w:p w14:paraId="3E75EE0A">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（14）《辽宁省环境保护厅关于加强建设项目竣工环保验收工作的通知》（辽环发[2018]9号）；</w:t>
            </w:r>
          </w:p>
          <w:p w14:paraId="2C5C83A0">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（15）《关于进一步完善建设项目环境保护“三同时”及竣工环境保护自主验收监管工作机制的意见》（环执法[2021]70号）；</w:t>
            </w:r>
          </w:p>
          <w:p w14:paraId="0AA34F5C">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（16）《环境监测数据弄虚作假行为判定及处理办法》（环发[2015]175号）；</w:t>
            </w:r>
          </w:p>
          <w:p w14:paraId="7192028D">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（17）《本溪市华宇木业有限公司木制品及泡沫制品包装生产线建设项目环境影响报告表》（辽宁碧辉科技有限公司，2024年9月）；</w:t>
            </w:r>
          </w:p>
          <w:p w14:paraId="40764CFD">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（19）《关于本溪市华宇木业有限公司木制品及泡沫制品包装生产线建设项目环境影响报告表的批复》（本溪市生态环境局，2024年9月30日）；</w:t>
            </w:r>
          </w:p>
          <w:p w14:paraId="02419C93">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（20）</w:t>
            </w:r>
            <w:r>
              <w:rPr>
                <w:rFonts w:hint="eastAsia" w:eastAsia="宋体" w:cs="Times New Roman"/>
                <w:sz w:val="24"/>
                <w:szCs w:val="24"/>
                <w:vertAlign w:val="baseline"/>
                <w:lang w:val="en-US" w:eastAsia="zh-CN"/>
              </w:rPr>
              <w:t>《监测报告》（报告编号：HJJC20250120007）（辽宁天圆监测有限公司）</w:t>
            </w:r>
          </w:p>
          <w:p w14:paraId="757C0C2D">
            <w:pPr>
              <w:pStyle w:val="30"/>
              <w:keepNext w:val="0"/>
              <w:keepLines w:val="0"/>
              <w:pageBreakBefore w:val="0"/>
              <w:widowControl/>
              <w:kinsoku/>
              <w:wordWrap/>
              <w:overflowPunct/>
              <w:topLinePunct w:val="0"/>
              <w:autoSpaceDE/>
              <w:autoSpaceDN/>
              <w:bidi w:val="0"/>
              <w:adjustRightInd w:val="0"/>
              <w:snapToGrid w:val="0"/>
              <w:spacing w:line="360" w:lineRule="auto"/>
              <w:ind w:left="0" w:firstLine="0" w:firstLineChars="0"/>
              <w:jc w:val="left"/>
              <w:textAlignment w:val="auto"/>
              <w:rPr>
                <w:rFonts w:hint="default" w:ascii="Times New Roman" w:hAnsi="Times New Roman" w:eastAsia="宋体" w:cs="Times New Roman"/>
                <w:color w:val="auto"/>
                <w:kern w:val="0"/>
                <w:sz w:val="21"/>
                <w:szCs w:val="21"/>
                <w:highlight w:val="yellow"/>
                <w:lang w:val="en-US" w:eastAsia="zh-CN"/>
              </w:rPr>
            </w:pPr>
            <w:r>
              <w:rPr>
                <w:rFonts w:hint="eastAsia" w:eastAsia="宋体" w:cs="Times New Roman"/>
                <w:sz w:val="24"/>
                <w:szCs w:val="24"/>
                <w:vertAlign w:val="baseline"/>
                <w:lang w:val="en-US" w:eastAsia="zh-CN"/>
              </w:rPr>
              <w:t>（21）</w:t>
            </w:r>
            <w:r>
              <w:rPr>
                <w:rFonts w:hint="eastAsia" w:ascii="Times New Roman" w:hAnsi="Times New Roman" w:eastAsia="宋体" w:cs="Times New Roman"/>
                <w:sz w:val="24"/>
                <w:szCs w:val="24"/>
                <w:vertAlign w:val="baseline"/>
                <w:lang w:val="en-US" w:eastAsia="zh-CN"/>
              </w:rPr>
              <w:t>建设单位提供的相关资料。</w:t>
            </w:r>
          </w:p>
        </w:tc>
      </w:tr>
      <w:tr w14:paraId="08F454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44" w:hRule="atLeast"/>
          <w:jc w:val="center"/>
        </w:trPr>
        <w:tc>
          <w:tcPr>
            <w:tcW w:w="1650" w:type="dxa"/>
            <w:noWrap w:val="0"/>
            <w:vAlign w:val="center"/>
          </w:tcPr>
          <w:p w14:paraId="09F9717B">
            <w:pPr>
              <w:keepNext w:val="0"/>
              <w:keepLines w:val="0"/>
              <w:pageBreakBefore w:val="0"/>
              <w:widowControl/>
              <w:kinsoku/>
              <w:wordWrap/>
              <w:overflowPunct/>
              <w:topLinePunct w:val="0"/>
              <w:autoSpaceDE/>
              <w:autoSpaceDN/>
              <w:bidi w:val="0"/>
              <w:adjustRightInd w:val="0"/>
              <w:snapToGrid w:val="0"/>
              <w:spacing w:line="360" w:lineRule="auto"/>
              <w:ind w:left="0"/>
              <w:jc w:val="center"/>
              <w:textAlignment w:val="auto"/>
              <w:outlineLvl w:val="9"/>
              <w:rPr>
                <w:rFonts w:hint="default" w:ascii="Times New Roman" w:hAnsi="Times New Roman" w:eastAsia="宋体" w:cs="Times New Roman"/>
                <w:color w:val="auto"/>
                <w:kern w:val="0"/>
                <w:sz w:val="21"/>
                <w:szCs w:val="21"/>
                <w:highlight w:val="yellow"/>
                <w:lang w:val="en-US" w:eastAsia="zh-CN"/>
              </w:rPr>
            </w:pPr>
            <w:r>
              <w:rPr>
                <w:rFonts w:hint="eastAsia" w:ascii="Times New Roman" w:hAnsi="Times New Roman" w:eastAsia="宋体" w:cs="Times New Roman"/>
                <w:color w:val="auto"/>
                <w:kern w:val="0"/>
                <w:sz w:val="21"/>
                <w:szCs w:val="21"/>
                <w:highlight w:val="none"/>
                <w:lang w:val="en-US" w:eastAsia="zh-CN"/>
              </w:rPr>
              <w:t>验收监测评价标准、标号、级别、限值</w:t>
            </w:r>
          </w:p>
        </w:tc>
        <w:tc>
          <w:tcPr>
            <w:tcW w:w="7274" w:type="dxa"/>
            <w:gridSpan w:val="5"/>
            <w:noWrap w:val="0"/>
            <w:vAlign w:val="center"/>
          </w:tcPr>
          <w:p w14:paraId="5D0681C3">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both"/>
              <w:textAlignment w:val="auto"/>
              <w:rPr>
                <w:rFonts w:hint="default" w:ascii="Times New Roman" w:hAnsi="Times New Roman" w:eastAsia="宋体" w:cs="Times New Roman"/>
                <w:b/>
                <w:bCs/>
                <w:color w:val="auto"/>
                <w:kern w:val="2"/>
                <w:sz w:val="24"/>
                <w:szCs w:val="24"/>
                <w:highlight w:val="none"/>
                <w:lang w:val="en-US" w:eastAsia="zh-CN" w:bidi="ar-SA"/>
              </w:rPr>
            </w:pPr>
            <w:bookmarkStart w:id="0" w:name="_Toc30836"/>
            <w:r>
              <w:rPr>
                <w:rFonts w:hint="eastAsia" w:ascii="Times New Roman" w:hAnsi="Times New Roman" w:eastAsia="宋体" w:cs="Times New Roman"/>
                <w:b/>
                <w:bCs/>
                <w:color w:val="auto"/>
                <w:kern w:val="2"/>
                <w:sz w:val="24"/>
                <w:szCs w:val="24"/>
                <w:highlight w:val="none"/>
                <w:lang w:val="en-US" w:eastAsia="zh-CN" w:bidi="ar-SA"/>
              </w:rPr>
              <w:t xml:space="preserve">1 </w:t>
            </w:r>
            <w:r>
              <w:rPr>
                <w:rFonts w:hint="default" w:ascii="Times New Roman" w:hAnsi="Times New Roman" w:eastAsia="宋体" w:cs="Times New Roman"/>
                <w:b/>
                <w:bCs/>
                <w:color w:val="auto"/>
                <w:kern w:val="2"/>
                <w:sz w:val="24"/>
                <w:szCs w:val="24"/>
                <w:highlight w:val="none"/>
                <w:lang w:val="en-US" w:eastAsia="zh-CN" w:bidi="ar-SA"/>
              </w:rPr>
              <w:t>环境质量标准</w:t>
            </w:r>
            <w:bookmarkEnd w:id="0"/>
          </w:p>
          <w:p w14:paraId="6EFA2D7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环境空气</w:t>
            </w:r>
            <w:r>
              <w:rPr>
                <w:rFonts w:hint="eastAsia" w:ascii="Times New Roman" w:hAnsi="Times New Roman" w:eastAsia="宋体" w:cs="Times New Roman"/>
                <w:b/>
                <w:bCs/>
                <w:color w:val="auto"/>
                <w:kern w:val="2"/>
                <w:sz w:val="24"/>
                <w:szCs w:val="24"/>
                <w:highlight w:val="none"/>
                <w:lang w:val="en-US" w:eastAsia="zh-CN" w:bidi="ar-SA"/>
              </w:rPr>
              <w:t>质量标准</w:t>
            </w:r>
          </w:p>
          <w:p w14:paraId="769265E3">
            <w:pPr>
              <w:keepNext w:val="0"/>
              <w:keepLines w:val="0"/>
              <w:pageBreakBefore w:val="0"/>
              <w:widowControl/>
              <w:kinsoku/>
              <w:wordWrap/>
              <w:overflowPunct/>
              <w:topLinePunct w:val="0"/>
              <w:autoSpaceDE/>
              <w:autoSpaceDN/>
              <w:bidi w:val="0"/>
              <w:adjustRightInd w:val="0"/>
              <w:snapToGrid w:val="0"/>
              <w:spacing w:line="360" w:lineRule="auto"/>
              <w:ind w:left="0" w:firstLine="480" w:firstLineChars="200"/>
              <w:jc w:val="center"/>
              <w:textAlignment w:val="auto"/>
              <w:outlineLvl w:val="9"/>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本项目在环评阶段企业所在区域环境空气质量执行国家《环境空气质量标准》（GB3095-2012）中的二级标准。本项目验收调查阶段环境空气质量执行标准与环评阶段一致，具体标准值见表1-1。</w:t>
            </w:r>
          </w:p>
          <w:p w14:paraId="6FB7EC80">
            <w:pPr>
              <w:pStyle w:val="30"/>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eastAsia" w:ascii="黑体" w:hAnsi="黑体" w:eastAsia="黑体" w:cs="黑体"/>
                <w:sz w:val="21"/>
                <w:szCs w:val="21"/>
                <w:highlight w:val="none"/>
              </w:rPr>
            </w:pPr>
            <w:r>
              <w:rPr>
                <w:rFonts w:hint="eastAsia" w:ascii="Times New Roman" w:hAnsi="Times New Roman" w:eastAsia="黑体" w:cs="Times New Roman"/>
                <w:sz w:val="21"/>
                <w:szCs w:val="21"/>
                <w:highlight w:val="none"/>
              </w:rPr>
              <w:t>表</w:t>
            </w:r>
            <w:r>
              <w:rPr>
                <w:rFonts w:ascii="Times New Roman" w:hAnsi="Times New Roman" w:eastAsia="黑体" w:cs="Times New Roman"/>
                <w:sz w:val="21"/>
                <w:szCs w:val="21"/>
                <w:highlight w:val="none"/>
              </w:rPr>
              <w:t>1</w:t>
            </w:r>
            <w:r>
              <w:rPr>
                <w:rFonts w:hint="eastAsia" w:eastAsia="黑体" w:cs="Times New Roman"/>
                <w:sz w:val="21"/>
                <w:szCs w:val="21"/>
                <w:highlight w:val="none"/>
                <w:lang w:val="en-US" w:eastAsia="zh-CN"/>
              </w:rPr>
              <w:t>-1</w:t>
            </w:r>
            <w:r>
              <w:rPr>
                <w:rFonts w:hint="eastAsia" w:ascii="Times New Roman" w:hAnsi="Times New Roman" w:eastAsia="黑体" w:cs="Times New Roman"/>
                <w:sz w:val="21"/>
                <w:szCs w:val="21"/>
                <w:highlight w:val="none"/>
              </w:rPr>
              <w:t>环境空气质量</w:t>
            </w:r>
            <w:r>
              <w:rPr>
                <w:rFonts w:hint="eastAsia" w:ascii="黑体" w:hAnsi="黑体" w:eastAsia="黑体" w:cs="黑体"/>
                <w:sz w:val="21"/>
                <w:szCs w:val="21"/>
                <w:highlight w:val="none"/>
              </w:rPr>
              <w:t>标准</w:t>
            </w:r>
          </w:p>
          <w:tbl>
            <w:tblPr>
              <w:tblStyle w:val="24"/>
              <w:tblW w:w="7018"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1"/>
              <w:gridCol w:w="989"/>
              <w:gridCol w:w="1364"/>
              <w:gridCol w:w="1239"/>
              <w:gridCol w:w="2615"/>
            </w:tblGrid>
            <w:tr w14:paraId="2BDB92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1" w:type="dxa"/>
                  <w:vMerge w:val="restart"/>
                  <w:noWrap w:val="0"/>
                  <w:vAlign w:val="center"/>
                </w:tcPr>
                <w:p w14:paraId="3C2742C8">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污染物</w:t>
                  </w:r>
                </w:p>
              </w:tc>
              <w:tc>
                <w:tcPr>
                  <w:tcW w:w="3592" w:type="dxa"/>
                  <w:gridSpan w:val="3"/>
                  <w:noWrap w:val="0"/>
                  <w:vAlign w:val="center"/>
                </w:tcPr>
                <w:p w14:paraId="3ED0F635">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不同取值时间的浓度限值（μg/m3）</w:t>
                  </w:r>
                </w:p>
              </w:tc>
              <w:tc>
                <w:tcPr>
                  <w:tcW w:w="2615" w:type="dxa"/>
                  <w:vMerge w:val="restart"/>
                  <w:noWrap w:val="0"/>
                  <w:vAlign w:val="center"/>
                </w:tcPr>
                <w:p w14:paraId="37EFB3E2">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引用标准</w:t>
                  </w:r>
                </w:p>
              </w:tc>
            </w:tr>
            <w:tr w14:paraId="16B98E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1" w:type="dxa"/>
                  <w:vMerge w:val="continue"/>
                  <w:noWrap w:val="0"/>
                  <w:vAlign w:val="center"/>
                </w:tcPr>
                <w:p w14:paraId="4F568018">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p>
              </w:tc>
              <w:tc>
                <w:tcPr>
                  <w:tcW w:w="989" w:type="dxa"/>
                  <w:noWrap w:val="0"/>
                  <w:vAlign w:val="center"/>
                </w:tcPr>
                <w:p w14:paraId="79DBD00C">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年平均</w:t>
                  </w:r>
                </w:p>
              </w:tc>
              <w:tc>
                <w:tcPr>
                  <w:tcW w:w="1364" w:type="dxa"/>
                  <w:noWrap w:val="0"/>
                  <w:vAlign w:val="center"/>
                </w:tcPr>
                <w:p w14:paraId="168E8B32">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24小时平均</w:t>
                  </w:r>
                </w:p>
              </w:tc>
              <w:tc>
                <w:tcPr>
                  <w:tcW w:w="1239" w:type="dxa"/>
                  <w:noWrap w:val="0"/>
                  <w:vAlign w:val="center"/>
                </w:tcPr>
                <w:p w14:paraId="2BFA6B01">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1小时平均</w:t>
                  </w:r>
                </w:p>
              </w:tc>
              <w:tc>
                <w:tcPr>
                  <w:tcW w:w="2615" w:type="dxa"/>
                  <w:vMerge w:val="continue"/>
                  <w:noWrap w:val="0"/>
                  <w:vAlign w:val="center"/>
                </w:tcPr>
                <w:p w14:paraId="0DD21538">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p>
              </w:tc>
            </w:tr>
            <w:tr w14:paraId="288454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1" w:type="dxa"/>
                  <w:noWrap w:val="0"/>
                  <w:vAlign w:val="center"/>
                </w:tcPr>
                <w:p w14:paraId="3F35ECC6">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PM2.5</w:t>
                  </w:r>
                </w:p>
              </w:tc>
              <w:tc>
                <w:tcPr>
                  <w:tcW w:w="989" w:type="dxa"/>
                  <w:noWrap w:val="0"/>
                  <w:vAlign w:val="center"/>
                </w:tcPr>
                <w:p w14:paraId="73477B8C">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35</w:t>
                  </w:r>
                </w:p>
              </w:tc>
              <w:tc>
                <w:tcPr>
                  <w:tcW w:w="1364" w:type="dxa"/>
                  <w:noWrap w:val="0"/>
                  <w:vAlign w:val="center"/>
                </w:tcPr>
                <w:p w14:paraId="1F373BE9">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75</w:t>
                  </w:r>
                </w:p>
              </w:tc>
              <w:tc>
                <w:tcPr>
                  <w:tcW w:w="1239" w:type="dxa"/>
                  <w:noWrap w:val="0"/>
                  <w:vAlign w:val="center"/>
                </w:tcPr>
                <w:p w14:paraId="5723D804">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w:t>
                  </w:r>
                </w:p>
              </w:tc>
              <w:tc>
                <w:tcPr>
                  <w:tcW w:w="2615" w:type="dxa"/>
                  <w:vMerge w:val="restart"/>
                  <w:noWrap w:val="0"/>
                  <w:vAlign w:val="center"/>
                </w:tcPr>
                <w:p w14:paraId="3FFC4079">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《环境空气质量标准》（GB3095-2012）中二级标准</w:t>
                  </w:r>
                </w:p>
              </w:tc>
            </w:tr>
            <w:tr w14:paraId="7593EA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1" w:type="dxa"/>
                  <w:noWrap w:val="0"/>
                  <w:vAlign w:val="center"/>
                </w:tcPr>
                <w:p w14:paraId="3C52A27E">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PM10</w:t>
                  </w:r>
                </w:p>
              </w:tc>
              <w:tc>
                <w:tcPr>
                  <w:tcW w:w="989" w:type="dxa"/>
                  <w:noWrap w:val="0"/>
                  <w:vAlign w:val="center"/>
                </w:tcPr>
                <w:p w14:paraId="5DB0EA22">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70</w:t>
                  </w:r>
                </w:p>
              </w:tc>
              <w:tc>
                <w:tcPr>
                  <w:tcW w:w="1364" w:type="dxa"/>
                  <w:noWrap w:val="0"/>
                  <w:vAlign w:val="center"/>
                </w:tcPr>
                <w:p w14:paraId="2375124C">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150</w:t>
                  </w:r>
                </w:p>
              </w:tc>
              <w:tc>
                <w:tcPr>
                  <w:tcW w:w="1239" w:type="dxa"/>
                  <w:noWrap w:val="0"/>
                  <w:vAlign w:val="center"/>
                </w:tcPr>
                <w:p w14:paraId="3D52DF1F">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w:t>
                  </w:r>
                </w:p>
              </w:tc>
              <w:tc>
                <w:tcPr>
                  <w:tcW w:w="2615" w:type="dxa"/>
                  <w:vMerge w:val="continue"/>
                  <w:noWrap w:val="0"/>
                  <w:vAlign w:val="center"/>
                </w:tcPr>
                <w:p w14:paraId="529D0B9D">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p>
              </w:tc>
            </w:tr>
            <w:tr w14:paraId="67560C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1" w:type="dxa"/>
                  <w:noWrap w:val="0"/>
                  <w:vAlign w:val="center"/>
                </w:tcPr>
                <w:p w14:paraId="51061A6A">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SO2</w:t>
                  </w:r>
                </w:p>
              </w:tc>
              <w:tc>
                <w:tcPr>
                  <w:tcW w:w="989" w:type="dxa"/>
                  <w:noWrap w:val="0"/>
                  <w:vAlign w:val="center"/>
                </w:tcPr>
                <w:p w14:paraId="27DCF692">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60</w:t>
                  </w:r>
                </w:p>
              </w:tc>
              <w:tc>
                <w:tcPr>
                  <w:tcW w:w="1364" w:type="dxa"/>
                  <w:noWrap w:val="0"/>
                  <w:vAlign w:val="center"/>
                </w:tcPr>
                <w:p w14:paraId="700B6762">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150</w:t>
                  </w:r>
                </w:p>
              </w:tc>
              <w:tc>
                <w:tcPr>
                  <w:tcW w:w="1239" w:type="dxa"/>
                  <w:noWrap w:val="0"/>
                  <w:vAlign w:val="center"/>
                </w:tcPr>
                <w:p w14:paraId="7C5224CB">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500</w:t>
                  </w:r>
                </w:p>
              </w:tc>
              <w:tc>
                <w:tcPr>
                  <w:tcW w:w="2615" w:type="dxa"/>
                  <w:vMerge w:val="continue"/>
                  <w:noWrap w:val="0"/>
                  <w:vAlign w:val="center"/>
                </w:tcPr>
                <w:p w14:paraId="4E0DA1CB">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p>
              </w:tc>
            </w:tr>
            <w:tr w14:paraId="5AE695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1" w:type="dxa"/>
                  <w:noWrap w:val="0"/>
                  <w:vAlign w:val="center"/>
                </w:tcPr>
                <w:p w14:paraId="4C79BA8B">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NO2</w:t>
                  </w:r>
                </w:p>
              </w:tc>
              <w:tc>
                <w:tcPr>
                  <w:tcW w:w="989" w:type="dxa"/>
                  <w:noWrap w:val="0"/>
                  <w:vAlign w:val="center"/>
                </w:tcPr>
                <w:p w14:paraId="5489CDC3">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40</w:t>
                  </w:r>
                </w:p>
              </w:tc>
              <w:tc>
                <w:tcPr>
                  <w:tcW w:w="1364" w:type="dxa"/>
                  <w:noWrap w:val="0"/>
                  <w:vAlign w:val="center"/>
                </w:tcPr>
                <w:p w14:paraId="4FF17EAC">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80</w:t>
                  </w:r>
                </w:p>
              </w:tc>
              <w:tc>
                <w:tcPr>
                  <w:tcW w:w="1239" w:type="dxa"/>
                  <w:noWrap w:val="0"/>
                  <w:vAlign w:val="center"/>
                </w:tcPr>
                <w:p w14:paraId="3CF5311E">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200</w:t>
                  </w:r>
                </w:p>
              </w:tc>
              <w:tc>
                <w:tcPr>
                  <w:tcW w:w="2615" w:type="dxa"/>
                  <w:vMerge w:val="continue"/>
                  <w:noWrap w:val="0"/>
                  <w:vAlign w:val="center"/>
                </w:tcPr>
                <w:p w14:paraId="4E5D3D81">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p>
              </w:tc>
            </w:tr>
            <w:tr w14:paraId="453372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1" w:type="dxa"/>
                  <w:noWrap w:val="0"/>
                  <w:vAlign w:val="center"/>
                </w:tcPr>
                <w:p w14:paraId="20AE2D3A">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CO</w:t>
                  </w:r>
                </w:p>
              </w:tc>
              <w:tc>
                <w:tcPr>
                  <w:tcW w:w="989" w:type="dxa"/>
                  <w:noWrap w:val="0"/>
                  <w:vAlign w:val="center"/>
                </w:tcPr>
                <w:p w14:paraId="779E7E76">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w:t>
                  </w:r>
                </w:p>
              </w:tc>
              <w:tc>
                <w:tcPr>
                  <w:tcW w:w="1364" w:type="dxa"/>
                  <w:noWrap w:val="0"/>
                  <w:vAlign w:val="center"/>
                </w:tcPr>
                <w:p w14:paraId="23D1BE69">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4</w:t>
                  </w:r>
                </w:p>
              </w:tc>
              <w:tc>
                <w:tcPr>
                  <w:tcW w:w="1239" w:type="dxa"/>
                  <w:noWrap w:val="0"/>
                  <w:vAlign w:val="center"/>
                </w:tcPr>
                <w:p w14:paraId="09B90B18">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10</w:t>
                  </w:r>
                </w:p>
              </w:tc>
              <w:tc>
                <w:tcPr>
                  <w:tcW w:w="2615" w:type="dxa"/>
                  <w:vMerge w:val="continue"/>
                  <w:noWrap w:val="0"/>
                  <w:vAlign w:val="center"/>
                </w:tcPr>
                <w:p w14:paraId="41320457">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p>
              </w:tc>
            </w:tr>
            <w:tr w14:paraId="12A7AC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1" w:type="dxa"/>
                  <w:noWrap w:val="0"/>
                  <w:vAlign w:val="center"/>
                </w:tcPr>
                <w:p w14:paraId="2E335192">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污染物</w:t>
                  </w:r>
                </w:p>
              </w:tc>
              <w:tc>
                <w:tcPr>
                  <w:tcW w:w="989" w:type="dxa"/>
                  <w:noWrap w:val="0"/>
                  <w:vAlign w:val="center"/>
                </w:tcPr>
                <w:p w14:paraId="434551E5">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年平均</w:t>
                  </w:r>
                </w:p>
              </w:tc>
              <w:tc>
                <w:tcPr>
                  <w:tcW w:w="1364" w:type="dxa"/>
                  <w:noWrap w:val="0"/>
                  <w:vAlign w:val="center"/>
                </w:tcPr>
                <w:p w14:paraId="0BB574B6">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日最大8小时平均</w:t>
                  </w:r>
                </w:p>
              </w:tc>
              <w:tc>
                <w:tcPr>
                  <w:tcW w:w="1239" w:type="dxa"/>
                  <w:noWrap w:val="0"/>
                  <w:vAlign w:val="center"/>
                </w:tcPr>
                <w:p w14:paraId="0414E358">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1小时平均</w:t>
                  </w:r>
                </w:p>
              </w:tc>
              <w:tc>
                <w:tcPr>
                  <w:tcW w:w="2615" w:type="dxa"/>
                  <w:noWrap w:val="0"/>
                  <w:vAlign w:val="center"/>
                </w:tcPr>
                <w:p w14:paraId="44EB790C">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引用标准</w:t>
                  </w:r>
                </w:p>
              </w:tc>
            </w:tr>
            <w:tr w14:paraId="537DE6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1" w:type="dxa"/>
                  <w:noWrap w:val="0"/>
                  <w:vAlign w:val="center"/>
                </w:tcPr>
                <w:p w14:paraId="4F06B3E0">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O3</w:t>
                  </w:r>
                </w:p>
              </w:tc>
              <w:tc>
                <w:tcPr>
                  <w:tcW w:w="989" w:type="dxa"/>
                  <w:noWrap w:val="0"/>
                  <w:vAlign w:val="center"/>
                </w:tcPr>
                <w:p w14:paraId="7061E506">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w:t>
                  </w:r>
                </w:p>
              </w:tc>
              <w:tc>
                <w:tcPr>
                  <w:tcW w:w="1364" w:type="dxa"/>
                  <w:noWrap w:val="0"/>
                  <w:vAlign w:val="center"/>
                </w:tcPr>
                <w:p w14:paraId="39CACF1D">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160</w:t>
                  </w:r>
                </w:p>
              </w:tc>
              <w:tc>
                <w:tcPr>
                  <w:tcW w:w="1239" w:type="dxa"/>
                  <w:noWrap w:val="0"/>
                  <w:vAlign w:val="center"/>
                </w:tcPr>
                <w:p w14:paraId="2290E18F">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200</w:t>
                  </w:r>
                </w:p>
              </w:tc>
              <w:tc>
                <w:tcPr>
                  <w:tcW w:w="2615" w:type="dxa"/>
                  <w:noWrap w:val="0"/>
                  <w:vAlign w:val="center"/>
                </w:tcPr>
                <w:p w14:paraId="79EEEC10">
                  <w:pPr>
                    <w:keepNext w:val="0"/>
                    <w:keepLines w:val="0"/>
                    <w:pageBreakBefore w:val="0"/>
                    <w:kinsoku/>
                    <w:wordWrap/>
                    <w:overflowPunct/>
                    <w:topLinePunct w:val="0"/>
                    <w:autoSpaceDE/>
                    <w:autoSpaceDN/>
                    <w:bidi w:val="0"/>
                    <w:adjustRightInd w:val="0"/>
                    <w:snapToGrid w:val="0"/>
                    <w:spacing w:line="360" w:lineRule="auto"/>
                    <w:ind w:left="0" w:firstLine="0" w:firstLineChars="0"/>
                    <w:jc w:val="center"/>
                    <w:textAlignment w:val="auto"/>
                    <w:rPr>
                      <w:rFonts w:hint="eastAsia" w:ascii="Times New Roman" w:hAnsi="Times New Roman"/>
                      <w:sz w:val="21"/>
                      <w:szCs w:val="21"/>
                      <w:highlight w:val="none"/>
                    </w:rPr>
                  </w:pPr>
                  <w:r>
                    <w:rPr>
                      <w:rFonts w:hint="eastAsia" w:ascii="Times New Roman" w:hAnsi="Times New Roman"/>
                      <w:sz w:val="21"/>
                      <w:szCs w:val="21"/>
                      <w:highlight w:val="none"/>
                    </w:rPr>
                    <w:t>《环境空气质量标准》（GB3095-2012）中二级标准</w:t>
                  </w:r>
                </w:p>
              </w:tc>
            </w:tr>
          </w:tbl>
          <w:p w14:paraId="6ABC50B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both"/>
              <w:textAlignment w:val="auto"/>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2 污染物排放标准</w:t>
            </w:r>
          </w:p>
          <w:p w14:paraId="4C262C3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both"/>
              <w:textAlignment w:val="auto"/>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2.1废气</w:t>
            </w:r>
          </w:p>
          <w:p w14:paraId="73AA2CFC">
            <w:pPr>
              <w:keepNext w:val="0"/>
              <w:keepLines w:val="0"/>
              <w:pageBreakBefore w:val="0"/>
              <w:widowControl/>
              <w:kinsoku/>
              <w:wordWrap/>
              <w:overflowPunct/>
              <w:topLinePunct w:val="0"/>
              <w:autoSpaceDE/>
              <w:autoSpaceDN/>
              <w:bidi w:val="0"/>
              <w:adjustRightInd w:val="0"/>
              <w:snapToGrid w:val="0"/>
              <w:spacing w:line="360" w:lineRule="auto"/>
              <w:ind w:left="0" w:firstLine="480" w:firstLineChars="200"/>
              <w:jc w:val="left"/>
              <w:textAlignment w:val="auto"/>
              <w:outlineLvl w:val="9"/>
              <w:rPr>
                <w:rFonts w:hint="default"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（1）</w:t>
            </w:r>
            <w:r>
              <w:rPr>
                <w:rFonts w:hint="eastAsia" w:ascii="Times New Roman" w:hAnsi="Times New Roman" w:cs="Times New Roman"/>
                <w:color w:val="auto"/>
                <w:sz w:val="24"/>
                <w:highlight w:val="none"/>
                <w:lang w:val="en-US" w:eastAsia="zh-CN"/>
              </w:rPr>
              <w:t xml:space="preserve"> </w:t>
            </w:r>
            <w:r>
              <w:rPr>
                <w:rFonts w:hint="default" w:ascii="Times New Roman" w:hAnsi="Times New Roman" w:cs="Times New Roman"/>
                <w:color w:val="auto"/>
                <w:sz w:val="24"/>
                <w:highlight w:val="none"/>
                <w:lang w:val="en-US" w:eastAsia="zh-CN"/>
              </w:rPr>
              <w:t>EPS泡沫</w:t>
            </w:r>
            <w:r>
              <w:rPr>
                <w:rFonts w:hint="eastAsia" w:ascii="Times New Roman" w:hAnsi="Times New Roman" w:cs="Times New Roman"/>
                <w:color w:val="auto"/>
                <w:sz w:val="24"/>
                <w:highlight w:val="none"/>
                <w:lang w:val="en-US" w:eastAsia="zh-CN"/>
              </w:rPr>
              <w:t>包装生</w:t>
            </w:r>
            <w:r>
              <w:rPr>
                <w:rFonts w:hint="eastAsia" w:ascii="Times New Roman" w:hAnsi="Times New Roman" w:eastAsia="宋体"/>
                <w:color w:val="auto"/>
                <w:sz w:val="24"/>
                <w:highlight w:val="none"/>
                <w:lang w:val="en-US" w:eastAsia="zh-CN"/>
              </w:rPr>
              <w:t>产线</w:t>
            </w:r>
          </w:p>
          <w:p w14:paraId="66BAF970">
            <w:pPr>
              <w:keepNext w:val="0"/>
              <w:keepLines w:val="0"/>
              <w:pageBreakBefore w:val="0"/>
              <w:widowControl/>
              <w:kinsoku/>
              <w:wordWrap/>
              <w:overflowPunct/>
              <w:topLinePunct w:val="0"/>
              <w:autoSpaceDE/>
              <w:autoSpaceDN/>
              <w:bidi w:val="0"/>
              <w:adjustRightInd w:val="0"/>
              <w:snapToGrid w:val="0"/>
              <w:spacing w:line="360" w:lineRule="auto"/>
              <w:ind w:left="0" w:firstLine="480" w:firstLineChars="200"/>
              <w:jc w:val="left"/>
              <w:textAlignment w:val="auto"/>
              <w:outlineLvl w:val="9"/>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本项目营运期</w:t>
            </w:r>
            <w:r>
              <w:rPr>
                <w:rFonts w:hint="default" w:ascii="Times New Roman" w:hAnsi="Times New Roman" w:eastAsia="宋体"/>
                <w:color w:val="auto"/>
                <w:sz w:val="24"/>
                <w:highlight w:val="none"/>
                <w:lang w:val="en-US" w:eastAsia="zh-CN"/>
              </w:rPr>
              <w:t>EPS泡沫</w:t>
            </w:r>
            <w:r>
              <w:rPr>
                <w:rFonts w:hint="eastAsia" w:ascii="Times New Roman" w:hAnsi="Times New Roman" w:eastAsia="宋体"/>
                <w:color w:val="auto"/>
                <w:sz w:val="24"/>
                <w:highlight w:val="none"/>
                <w:lang w:val="en-US" w:eastAsia="zh-CN"/>
              </w:rPr>
              <w:t>包装生产线产生的有组织废气</w:t>
            </w:r>
            <w:r>
              <w:rPr>
                <w:rFonts w:hint="default" w:ascii="Times New Roman" w:hAnsi="Times New Roman" w:eastAsia="宋体"/>
                <w:color w:val="auto"/>
                <w:sz w:val="24"/>
                <w:highlight w:val="none"/>
                <w:lang w:val="en-US" w:eastAsia="zh-CN"/>
              </w:rPr>
              <w:t>《合成树脂工业污染物排放标准》(GB31572-2015)</w:t>
            </w:r>
            <w:r>
              <w:rPr>
                <w:rFonts w:hint="eastAsia" w:ascii="Times New Roman" w:hAnsi="Times New Roman" w:eastAsia="宋体"/>
                <w:color w:val="auto"/>
                <w:sz w:val="24"/>
                <w:highlight w:val="none"/>
                <w:lang w:val="en-US" w:eastAsia="zh-CN"/>
              </w:rPr>
              <w:t>及2024年修改单</w:t>
            </w:r>
            <w:r>
              <w:rPr>
                <w:rFonts w:hint="default" w:ascii="Times New Roman" w:hAnsi="Times New Roman" w:eastAsia="宋体"/>
                <w:color w:val="auto"/>
                <w:sz w:val="24"/>
                <w:highlight w:val="none"/>
                <w:lang w:val="en-US" w:eastAsia="zh-CN"/>
              </w:rPr>
              <w:t>表5大气污染物特别排放限值</w:t>
            </w:r>
            <w:r>
              <w:rPr>
                <w:rFonts w:hint="eastAsia" w:ascii="Times New Roman" w:hAnsi="Times New Roman" w:eastAsia="宋体"/>
                <w:color w:val="auto"/>
                <w:sz w:val="24"/>
                <w:highlight w:val="none"/>
                <w:lang w:val="en-US" w:eastAsia="zh-CN"/>
              </w:rPr>
              <w:t>，</w:t>
            </w:r>
            <w:r>
              <w:rPr>
                <w:rFonts w:hint="default" w:ascii="Times New Roman" w:hAnsi="Times New Roman" w:eastAsia="宋体"/>
                <w:color w:val="auto"/>
                <w:sz w:val="24"/>
                <w:highlight w:val="none"/>
                <w:lang w:val="en-US" w:eastAsia="zh-CN"/>
              </w:rPr>
              <w:t>无组织废气执行《挥发性有机物无组织排放控制标准》（GB37822-2019）表A.1规定的限值</w:t>
            </w:r>
            <w:r>
              <w:rPr>
                <w:rFonts w:hint="eastAsia"/>
                <w:color w:val="auto"/>
                <w:sz w:val="24"/>
                <w:highlight w:val="none"/>
                <w:lang w:val="en-US" w:eastAsia="zh-CN"/>
              </w:rPr>
              <w:t>，</w:t>
            </w:r>
            <w:r>
              <w:rPr>
                <w:rFonts w:hint="eastAsia" w:ascii="Times New Roman" w:hAnsi="Times New Roman" w:eastAsia="宋体"/>
                <w:color w:val="auto"/>
                <w:sz w:val="24"/>
                <w:highlight w:val="none"/>
                <w:lang w:val="en-US" w:eastAsia="zh-CN"/>
              </w:rPr>
              <w:t>与环评一致。具体见下表。</w:t>
            </w:r>
          </w:p>
          <w:p w14:paraId="12B29CA6">
            <w:pPr>
              <w:pStyle w:val="30"/>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黑体" w:cs="Times New Roman"/>
                <w:sz w:val="21"/>
                <w:szCs w:val="21"/>
                <w:highlight w:val="none"/>
                <w:lang w:val="en-US" w:eastAsia="zh-CN"/>
              </w:rPr>
            </w:pPr>
            <w:bookmarkStart w:id="1" w:name="OLE_LINK21"/>
            <w:r>
              <w:rPr>
                <w:rFonts w:hint="eastAsia" w:ascii="Times New Roman" w:hAnsi="Times New Roman" w:eastAsia="黑体" w:cs="Times New Roman"/>
                <w:sz w:val="21"/>
                <w:szCs w:val="21"/>
                <w:highlight w:val="none"/>
              </w:rPr>
              <w:t>表</w:t>
            </w:r>
            <w:bookmarkEnd w:id="1"/>
            <w:r>
              <w:rPr>
                <w:rFonts w:hint="eastAsia" w:ascii="Times New Roman" w:hAnsi="Times New Roman" w:eastAsia="黑体" w:cs="Times New Roman"/>
                <w:sz w:val="21"/>
                <w:szCs w:val="21"/>
                <w:highlight w:val="none"/>
                <w:lang w:val="en-US" w:eastAsia="zh-CN"/>
              </w:rPr>
              <w:t>1-2合成树脂工业污染物特别排放标准</w:t>
            </w:r>
          </w:p>
          <w:tbl>
            <w:tblPr>
              <w:tblStyle w:val="25"/>
              <w:tblW w:w="7039"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13"/>
              <w:gridCol w:w="1604"/>
              <w:gridCol w:w="1761"/>
              <w:gridCol w:w="1761"/>
            </w:tblGrid>
            <w:tr w14:paraId="35A62F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1913" w:type="dxa"/>
                  <w:tcBorders>
                    <w:tl2br w:val="nil"/>
                    <w:tr2bl w:val="nil"/>
                  </w:tcBorders>
                  <w:vAlign w:val="center"/>
                </w:tcPr>
                <w:p w14:paraId="23D2C837">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污染物项目</w:t>
                  </w:r>
                </w:p>
              </w:tc>
              <w:tc>
                <w:tcPr>
                  <w:tcW w:w="1604" w:type="dxa"/>
                  <w:tcBorders>
                    <w:tl2br w:val="nil"/>
                    <w:tr2bl w:val="nil"/>
                  </w:tcBorders>
                  <w:vAlign w:val="center"/>
                </w:tcPr>
                <w:p w14:paraId="46E20A8F">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排放限值mg/m</w:t>
                  </w:r>
                  <w:r>
                    <w:rPr>
                      <w:rFonts w:hint="eastAsia" w:cs="Times New Roman"/>
                      <w:color w:val="auto"/>
                      <w:sz w:val="21"/>
                      <w:szCs w:val="21"/>
                      <w:highlight w:val="none"/>
                      <w:vertAlign w:val="superscript"/>
                      <w:lang w:val="en-US" w:eastAsia="zh-CN"/>
                    </w:rPr>
                    <w:t>3</w:t>
                  </w:r>
                </w:p>
              </w:tc>
              <w:tc>
                <w:tcPr>
                  <w:tcW w:w="1761" w:type="dxa"/>
                  <w:tcBorders>
                    <w:tl2br w:val="nil"/>
                    <w:tr2bl w:val="nil"/>
                  </w:tcBorders>
                  <w:vAlign w:val="center"/>
                </w:tcPr>
                <w:p w14:paraId="2087EB8A">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适用的合成树脂类型</w:t>
                  </w:r>
                </w:p>
              </w:tc>
              <w:tc>
                <w:tcPr>
                  <w:tcW w:w="1761" w:type="dxa"/>
                  <w:tcBorders>
                    <w:tl2br w:val="nil"/>
                    <w:tr2bl w:val="nil"/>
                  </w:tcBorders>
                  <w:vAlign w:val="center"/>
                </w:tcPr>
                <w:p w14:paraId="29F22424">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污染物排放监控位置</w:t>
                  </w:r>
                </w:p>
              </w:tc>
            </w:tr>
            <w:tr w14:paraId="461AE1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913" w:type="dxa"/>
                  <w:tcBorders>
                    <w:tl2br w:val="nil"/>
                    <w:tr2bl w:val="nil"/>
                  </w:tcBorders>
                  <w:vAlign w:val="center"/>
                </w:tcPr>
                <w:p w14:paraId="02143499">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非甲烷总烃</w:t>
                  </w:r>
                </w:p>
              </w:tc>
              <w:tc>
                <w:tcPr>
                  <w:tcW w:w="1604" w:type="dxa"/>
                  <w:tcBorders>
                    <w:tl2br w:val="nil"/>
                    <w:tr2bl w:val="nil"/>
                  </w:tcBorders>
                  <w:vAlign w:val="center"/>
                </w:tcPr>
                <w:p w14:paraId="19D9E2C5">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60</w:t>
                  </w:r>
                </w:p>
              </w:tc>
              <w:tc>
                <w:tcPr>
                  <w:tcW w:w="1761" w:type="dxa"/>
                  <w:vMerge w:val="restart"/>
                  <w:tcBorders>
                    <w:tl2br w:val="nil"/>
                    <w:tr2bl w:val="nil"/>
                  </w:tcBorders>
                  <w:vAlign w:val="center"/>
                </w:tcPr>
                <w:p w14:paraId="2E4ADE51">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所有合成树脂</w:t>
                  </w:r>
                </w:p>
              </w:tc>
              <w:tc>
                <w:tcPr>
                  <w:tcW w:w="1761" w:type="dxa"/>
                  <w:vMerge w:val="restart"/>
                  <w:tcBorders>
                    <w:tl2br w:val="nil"/>
                    <w:tr2bl w:val="nil"/>
                  </w:tcBorders>
                  <w:vAlign w:val="center"/>
                </w:tcPr>
                <w:p w14:paraId="003818DB">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车间或生产设施排气筒</w:t>
                  </w:r>
                </w:p>
              </w:tc>
            </w:tr>
            <w:tr w14:paraId="5D6429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913" w:type="dxa"/>
                  <w:tcBorders>
                    <w:tl2br w:val="nil"/>
                    <w:tr2bl w:val="nil"/>
                  </w:tcBorders>
                  <w:vAlign w:val="center"/>
                </w:tcPr>
                <w:p w14:paraId="79A5FDCA">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颗粒物</w:t>
                  </w:r>
                </w:p>
              </w:tc>
              <w:tc>
                <w:tcPr>
                  <w:tcW w:w="1604" w:type="dxa"/>
                  <w:tcBorders>
                    <w:tl2br w:val="nil"/>
                    <w:tr2bl w:val="nil"/>
                  </w:tcBorders>
                  <w:vAlign w:val="center"/>
                </w:tcPr>
                <w:p w14:paraId="19DFE860">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w:t>
                  </w:r>
                </w:p>
              </w:tc>
              <w:tc>
                <w:tcPr>
                  <w:tcW w:w="1761" w:type="dxa"/>
                  <w:vMerge w:val="continue"/>
                  <w:tcBorders>
                    <w:tl2br w:val="nil"/>
                    <w:tr2bl w:val="nil"/>
                  </w:tcBorders>
                  <w:vAlign w:val="center"/>
                </w:tcPr>
                <w:p w14:paraId="0064FED0">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eastAsia" w:cs="Times New Roman"/>
                      <w:color w:val="auto"/>
                      <w:sz w:val="21"/>
                      <w:szCs w:val="21"/>
                      <w:highlight w:val="none"/>
                      <w:vertAlign w:val="baseline"/>
                      <w:lang w:val="en-US" w:eastAsia="zh-CN"/>
                    </w:rPr>
                  </w:pPr>
                </w:p>
              </w:tc>
              <w:tc>
                <w:tcPr>
                  <w:tcW w:w="1761" w:type="dxa"/>
                  <w:vMerge w:val="continue"/>
                  <w:tcBorders>
                    <w:tl2br w:val="nil"/>
                    <w:tr2bl w:val="nil"/>
                  </w:tcBorders>
                  <w:vAlign w:val="center"/>
                </w:tcPr>
                <w:p w14:paraId="1A792B2F">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eastAsia" w:cs="Times New Roman"/>
                      <w:color w:val="auto"/>
                      <w:sz w:val="21"/>
                      <w:szCs w:val="21"/>
                      <w:highlight w:val="none"/>
                      <w:vertAlign w:val="baseline"/>
                      <w:lang w:val="en-US" w:eastAsia="zh-CN"/>
                    </w:rPr>
                  </w:pPr>
                </w:p>
              </w:tc>
            </w:tr>
            <w:tr w14:paraId="05A7F3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913" w:type="dxa"/>
                  <w:tcBorders>
                    <w:tl2br w:val="nil"/>
                    <w:tr2bl w:val="nil"/>
                  </w:tcBorders>
                  <w:vAlign w:val="center"/>
                </w:tcPr>
                <w:p w14:paraId="45321FE2">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苯乙烯</w:t>
                  </w:r>
                </w:p>
              </w:tc>
              <w:tc>
                <w:tcPr>
                  <w:tcW w:w="1604" w:type="dxa"/>
                  <w:tcBorders>
                    <w:tl2br w:val="nil"/>
                    <w:tr2bl w:val="nil"/>
                  </w:tcBorders>
                  <w:vAlign w:val="center"/>
                </w:tcPr>
                <w:p w14:paraId="0A720796">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w:t>
                  </w:r>
                </w:p>
              </w:tc>
              <w:tc>
                <w:tcPr>
                  <w:tcW w:w="1761" w:type="dxa"/>
                  <w:vMerge w:val="restart"/>
                  <w:tcBorders>
                    <w:tl2br w:val="nil"/>
                    <w:tr2bl w:val="nil"/>
                  </w:tcBorders>
                  <w:vAlign w:val="center"/>
                </w:tcPr>
                <w:p w14:paraId="31FCCBD2">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聚苯乙烯树脂</w:t>
                  </w:r>
                </w:p>
              </w:tc>
              <w:tc>
                <w:tcPr>
                  <w:tcW w:w="1761" w:type="dxa"/>
                  <w:vMerge w:val="continue"/>
                  <w:tcBorders>
                    <w:tl2br w:val="nil"/>
                    <w:tr2bl w:val="nil"/>
                  </w:tcBorders>
                  <w:vAlign w:val="center"/>
                </w:tcPr>
                <w:p w14:paraId="2BF29B94">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eastAsia" w:cs="Times New Roman"/>
                      <w:color w:val="auto"/>
                      <w:sz w:val="21"/>
                      <w:szCs w:val="21"/>
                      <w:highlight w:val="none"/>
                      <w:vertAlign w:val="baseline"/>
                      <w:lang w:val="en-US" w:eastAsia="zh-CN"/>
                    </w:rPr>
                  </w:pPr>
                </w:p>
              </w:tc>
            </w:tr>
            <w:tr w14:paraId="2FE159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913" w:type="dxa"/>
                  <w:tcBorders>
                    <w:tl2br w:val="nil"/>
                    <w:tr2bl w:val="nil"/>
                  </w:tcBorders>
                  <w:vAlign w:val="center"/>
                </w:tcPr>
                <w:p w14:paraId="2001A415">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甲苯</w:t>
                  </w:r>
                </w:p>
              </w:tc>
              <w:tc>
                <w:tcPr>
                  <w:tcW w:w="1604" w:type="dxa"/>
                  <w:tcBorders>
                    <w:tl2br w:val="nil"/>
                    <w:tr2bl w:val="nil"/>
                  </w:tcBorders>
                  <w:vAlign w:val="center"/>
                </w:tcPr>
                <w:p w14:paraId="5CD283D8">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w:t>
                  </w:r>
                </w:p>
              </w:tc>
              <w:tc>
                <w:tcPr>
                  <w:tcW w:w="1761" w:type="dxa"/>
                  <w:vMerge w:val="continue"/>
                  <w:tcBorders>
                    <w:tl2br w:val="nil"/>
                    <w:tr2bl w:val="nil"/>
                  </w:tcBorders>
                  <w:vAlign w:val="center"/>
                </w:tcPr>
                <w:p w14:paraId="3AC3AEC7">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eastAsia" w:cs="Times New Roman"/>
                      <w:color w:val="auto"/>
                      <w:sz w:val="21"/>
                      <w:szCs w:val="21"/>
                      <w:highlight w:val="none"/>
                      <w:vertAlign w:val="baseline"/>
                      <w:lang w:val="en-US" w:eastAsia="zh-CN"/>
                    </w:rPr>
                  </w:pPr>
                </w:p>
              </w:tc>
              <w:tc>
                <w:tcPr>
                  <w:tcW w:w="1761" w:type="dxa"/>
                  <w:vMerge w:val="continue"/>
                  <w:tcBorders>
                    <w:tl2br w:val="nil"/>
                    <w:tr2bl w:val="nil"/>
                  </w:tcBorders>
                  <w:vAlign w:val="center"/>
                </w:tcPr>
                <w:p w14:paraId="6C1004FE">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eastAsia" w:cs="Times New Roman"/>
                      <w:color w:val="auto"/>
                      <w:sz w:val="21"/>
                      <w:szCs w:val="21"/>
                      <w:highlight w:val="none"/>
                      <w:vertAlign w:val="baseline"/>
                      <w:lang w:val="en-US" w:eastAsia="zh-CN"/>
                    </w:rPr>
                  </w:pPr>
                </w:p>
              </w:tc>
            </w:tr>
            <w:tr w14:paraId="442626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913" w:type="dxa"/>
                  <w:tcBorders>
                    <w:tl2br w:val="nil"/>
                    <w:tr2bl w:val="nil"/>
                  </w:tcBorders>
                  <w:vAlign w:val="center"/>
                </w:tcPr>
                <w:p w14:paraId="32B9CE49">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乙苯</w:t>
                  </w:r>
                </w:p>
              </w:tc>
              <w:tc>
                <w:tcPr>
                  <w:tcW w:w="1604" w:type="dxa"/>
                  <w:tcBorders>
                    <w:tl2br w:val="nil"/>
                    <w:tr2bl w:val="nil"/>
                  </w:tcBorders>
                  <w:vAlign w:val="center"/>
                </w:tcPr>
                <w:p w14:paraId="4382C221">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50</w:t>
                  </w:r>
                </w:p>
              </w:tc>
              <w:tc>
                <w:tcPr>
                  <w:tcW w:w="1761" w:type="dxa"/>
                  <w:vMerge w:val="continue"/>
                  <w:tcBorders>
                    <w:tl2br w:val="nil"/>
                    <w:tr2bl w:val="nil"/>
                  </w:tcBorders>
                  <w:vAlign w:val="center"/>
                </w:tcPr>
                <w:p w14:paraId="042DB56E">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default" w:cs="Times New Roman"/>
                      <w:color w:val="auto"/>
                      <w:sz w:val="21"/>
                      <w:szCs w:val="21"/>
                      <w:highlight w:val="none"/>
                      <w:vertAlign w:val="baseline"/>
                      <w:lang w:val="en-US" w:eastAsia="zh-CN"/>
                    </w:rPr>
                  </w:pPr>
                </w:p>
              </w:tc>
              <w:tc>
                <w:tcPr>
                  <w:tcW w:w="1761" w:type="dxa"/>
                  <w:vMerge w:val="continue"/>
                  <w:tcBorders>
                    <w:tl2br w:val="nil"/>
                    <w:tr2bl w:val="nil"/>
                  </w:tcBorders>
                  <w:vAlign w:val="center"/>
                </w:tcPr>
                <w:p w14:paraId="1832F406">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eastAsia" w:cs="Times New Roman"/>
                      <w:color w:val="auto"/>
                      <w:sz w:val="21"/>
                      <w:szCs w:val="21"/>
                      <w:highlight w:val="none"/>
                      <w:vertAlign w:val="baseline"/>
                      <w:lang w:val="en-US" w:eastAsia="zh-CN"/>
                    </w:rPr>
                  </w:pPr>
                </w:p>
              </w:tc>
            </w:tr>
          </w:tbl>
          <w:p w14:paraId="3F238425">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firstLineChars="0"/>
              <w:jc w:val="center"/>
              <w:textAlignment w:val="auto"/>
              <w:outlineLvl w:val="9"/>
              <w:rPr>
                <w:rFonts w:hint="default" w:ascii="黑体" w:hAnsi="黑体" w:eastAsia="黑体" w:cs="黑体"/>
                <w:b w:val="0"/>
                <w:bCs/>
                <w:color w:val="auto"/>
                <w:kern w:val="2"/>
                <w:sz w:val="21"/>
                <w:szCs w:val="24"/>
                <w:highlight w:val="none"/>
                <w:lang w:val="en-US" w:eastAsia="zh-CN" w:bidi="ar-SA"/>
              </w:rPr>
            </w:pPr>
          </w:p>
          <w:p w14:paraId="6A62E6D4">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firstLineChars="0"/>
              <w:jc w:val="center"/>
              <w:textAlignment w:val="auto"/>
              <w:outlineLvl w:val="9"/>
              <w:rPr>
                <w:rFonts w:hint="default" w:ascii="黑体" w:hAnsi="黑体" w:eastAsia="黑体" w:cs="黑体"/>
                <w:b w:val="0"/>
                <w:bCs/>
                <w:color w:val="auto"/>
                <w:kern w:val="2"/>
                <w:sz w:val="21"/>
                <w:szCs w:val="24"/>
                <w:highlight w:val="none"/>
                <w:lang w:val="en-US" w:eastAsia="zh-CN" w:bidi="ar-SA"/>
              </w:rPr>
            </w:pPr>
            <w:r>
              <w:rPr>
                <w:rFonts w:hint="default" w:ascii="黑体" w:hAnsi="黑体" w:eastAsia="黑体" w:cs="黑体"/>
                <w:b w:val="0"/>
                <w:bCs/>
                <w:color w:val="auto"/>
                <w:kern w:val="2"/>
                <w:sz w:val="21"/>
                <w:szCs w:val="24"/>
                <w:highlight w:val="none"/>
                <w:lang w:val="en-US" w:eastAsia="zh-CN" w:bidi="ar-SA"/>
              </w:rPr>
              <w:t>表</w:t>
            </w:r>
            <w:r>
              <w:rPr>
                <w:rFonts w:hint="eastAsia" w:ascii="黑体" w:hAnsi="黑体" w:eastAsia="黑体" w:cs="黑体"/>
                <w:b w:val="0"/>
                <w:bCs/>
                <w:color w:val="auto"/>
                <w:kern w:val="2"/>
                <w:sz w:val="21"/>
                <w:szCs w:val="24"/>
                <w:highlight w:val="none"/>
                <w:lang w:val="en-US" w:eastAsia="zh-CN" w:bidi="ar-SA"/>
              </w:rPr>
              <w:t>1-3</w:t>
            </w:r>
            <w:r>
              <w:rPr>
                <w:rFonts w:hint="default" w:ascii="黑体" w:hAnsi="黑体" w:eastAsia="黑体" w:cs="黑体"/>
                <w:b w:val="0"/>
                <w:bCs/>
                <w:color w:val="auto"/>
                <w:kern w:val="2"/>
                <w:sz w:val="21"/>
                <w:szCs w:val="24"/>
                <w:highlight w:val="none"/>
                <w:lang w:val="en-US" w:eastAsia="zh-CN" w:bidi="ar-SA"/>
              </w:rPr>
              <w:t>厂区内VOCs无组织排放限值</w:t>
            </w:r>
          </w:p>
          <w:tbl>
            <w:tblPr>
              <w:tblStyle w:val="25"/>
              <w:tblW w:w="694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17"/>
              <w:gridCol w:w="914"/>
              <w:gridCol w:w="1322"/>
              <w:gridCol w:w="1609"/>
              <w:gridCol w:w="1682"/>
            </w:tblGrid>
            <w:tr w14:paraId="3065E4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417" w:type="dxa"/>
                  <w:tcBorders>
                    <w:tl2br w:val="nil"/>
                    <w:tr2bl w:val="nil"/>
                  </w:tcBorders>
                  <w:vAlign w:val="center"/>
                </w:tcPr>
                <w:p w14:paraId="0849CF53">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污染物项目</w:t>
                  </w:r>
                </w:p>
              </w:tc>
              <w:tc>
                <w:tcPr>
                  <w:tcW w:w="914" w:type="dxa"/>
                  <w:tcBorders>
                    <w:tl2br w:val="nil"/>
                    <w:tr2bl w:val="nil"/>
                  </w:tcBorders>
                  <w:vAlign w:val="center"/>
                </w:tcPr>
                <w:p w14:paraId="2BBFC45D">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排放</w:t>
                  </w:r>
                </w:p>
                <w:p w14:paraId="50FC67AC">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限值</w:t>
                  </w:r>
                </w:p>
              </w:tc>
              <w:tc>
                <w:tcPr>
                  <w:tcW w:w="1322" w:type="dxa"/>
                  <w:tcBorders>
                    <w:tl2br w:val="nil"/>
                    <w:tr2bl w:val="nil"/>
                  </w:tcBorders>
                  <w:vAlign w:val="center"/>
                </w:tcPr>
                <w:p w14:paraId="3FCB00F2">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特别排放限值mg/m3</w:t>
                  </w:r>
                </w:p>
              </w:tc>
              <w:tc>
                <w:tcPr>
                  <w:tcW w:w="1609" w:type="dxa"/>
                  <w:tcBorders>
                    <w:tl2br w:val="nil"/>
                    <w:tr2bl w:val="nil"/>
                  </w:tcBorders>
                  <w:vAlign w:val="center"/>
                </w:tcPr>
                <w:p w14:paraId="5DF93307">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限值含义</w:t>
                  </w:r>
                </w:p>
              </w:tc>
              <w:tc>
                <w:tcPr>
                  <w:tcW w:w="1682" w:type="dxa"/>
                  <w:tcBorders>
                    <w:tl2br w:val="nil"/>
                    <w:tr2bl w:val="nil"/>
                  </w:tcBorders>
                  <w:vAlign w:val="center"/>
                </w:tcPr>
                <w:p w14:paraId="0ED4A26A">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无组织排放监控位置</w:t>
                  </w:r>
                </w:p>
              </w:tc>
            </w:tr>
            <w:tr w14:paraId="5B2C50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417" w:type="dxa"/>
                  <w:vMerge w:val="restart"/>
                  <w:tcBorders>
                    <w:tl2br w:val="nil"/>
                    <w:tr2bl w:val="nil"/>
                  </w:tcBorders>
                  <w:vAlign w:val="center"/>
                </w:tcPr>
                <w:p w14:paraId="4176CABB">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NMHC</w:t>
                  </w:r>
                </w:p>
              </w:tc>
              <w:tc>
                <w:tcPr>
                  <w:tcW w:w="914" w:type="dxa"/>
                  <w:tcBorders>
                    <w:tl2br w:val="nil"/>
                    <w:tr2bl w:val="nil"/>
                  </w:tcBorders>
                  <w:vAlign w:val="center"/>
                </w:tcPr>
                <w:p w14:paraId="5091056A">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10</w:t>
                  </w:r>
                </w:p>
              </w:tc>
              <w:tc>
                <w:tcPr>
                  <w:tcW w:w="1322" w:type="dxa"/>
                  <w:tcBorders>
                    <w:tl2br w:val="nil"/>
                    <w:tr2bl w:val="nil"/>
                  </w:tcBorders>
                  <w:vAlign w:val="center"/>
                </w:tcPr>
                <w:p w14:paraId="3C762D57">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w:t>
                  </w:r>
                </w:p>
              </w:tc>
              <w:tc>
                <w:tcPr>
                  <w:tcW w:w="1609" w:type="dxa"/>
                  <w:tcBorders>
                    <w:tl2br w:val="nil"/>
                    <w:tr2bl w:val="nil"/>
                  </w:tcBorders>
                  <w:vAlign w:val="center"/>
                </w:tcPr>
                <w:p w14:paraId="41A02E8C">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监控点处1h平均浓度值</w:t>
                  </w:r>
                </w:p>
              </w:tc>
              <w:tc>
                <w:tcPr>
                  <w:tcW w:w="1682" w:type="dxa"/>
                  <w:vMerge w:val="restart"/>
                  <w:tcBorders>
                    <w:tl2br w:val="nil"/>
                    <w:tr2bl w:val="nil"/>
                  </w:tcBorders>
                  <w:vAlign w:val="center"/>
                </w:tcPr>
                <w:p w14:paraId="3C640AD0">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在厂房外设置监控点</w:t>
                  </w:r>
                </w:p>
              </w:tc>
            </w:tr>
            <w:tr w14:paraId="6FB95F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417" w:type="dxa"/>
                  <w:vMerge w:val="continue"/>
                  <w:tcBorders>
                    <w:tl2br w:val="nil"/>
                    <w:tr2bl w:val="nil"/>
                  </w:tcBorders>
                  <w:vAlign w:val="center"/>
                </w:tcPr>
                <w:p w14:paraId="0CC146CA">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p>
              </w:tc>
              <w:tc>
                <w:tcPr>
                  <w:tcW w:w="914" w:type="dxa"/>
                  <w:tcBorders>
                    <w:tl2br w:val="nil"/>
                    <w:tr2bl w:val="nil"/>
                  </w:tcBorders>
                  <w:vAlign w:val="center"/>
                </w:tcPr>
                <w:p w14:paraId="0BDAA762">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30</w:t>
                  </w:r>
                </w:p>
              </w:tc>
              <w:tc>
                <w:tcPr>
                  <w:tcW w:w="1322" w:type="dxa"/>
                  <w:tcBorders>
                    <w:tl2br w:val="nil"/>
                    <w:tr2bl w:val="nil"/>
                  </w:tcBorders>
                  <w:vAlign w:val="center"/>
                </w:tcPr>
                <w:p w14:paraId="158368F5">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20</w:t>
                  </w:r>
                </w:p>
              </w:tc>
              <w:tc>
                <w:tcPr>
                  <w:tcW w:w="1609" w:type="dxa"/>
                  <w:tcBorders>
                    <w:tl2br w:val="nil"/>
                    <w:tr2bl w:val="nil"/>
                  </w:tcBorders>
                  <w:vAlign w:val="center"/>
                </w:tcPr>
                <w:p w14:paraId="6B583BA5">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监控点处任意一次浓度值</w:t>
                  </w:r>
                </w:p>
              </w:tc>
              <w:tc>
                <w:tcPr>
                  <w:tcW w:w="1682" w:type="dxa"/>
                  <w:vMerge w:val="continue"/>
                  <w:tcBorders>
                    <w:tl2br w:val="nil"/>
                    <w:tr2bl w:val="nil"/>
                  </w:tcBorders>
                  <w:vAlign w:val="center"/>
                </w:tcPr>
                <w:p w14:paraId="107A5193">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p>
              </w:tc>
            </w:tr>
          </w:tbl>
          <w:p w14:paraId="158CCA05">
            <w:pPr>
              <w:keepNext w:val="0"/>
              <w:keepLines w:val="0"/>
              <w:pageBreakBefore w:val="0"/>
              <w:widowControl/>
              <w:kinsoku/>
              <w:wordWrap/>
              <w:overflowPunct/>
              <w:topLinePunct w:val="0"/>
              <w:autoSpaceDE/>
              <w:autoSpaceDN/>
              <w:bidi w:val="0"/>
              <w:adjustRightInd w:val="0"/>
              <w:snapToGrid w:val="0"/>
              <w:spacing w:line="360" w:lineRule="auto"/>
              <w:ind w:left="0" w:leftChars="0" w:firstLine="0" w:firstLineChars="0"/>
              <w:jc w:val="left"/>
              <w:textAlignment w:val="auto"/>
              <w:outlineLvl w:val="9"/>
              <w:rPr>
                <w:rFonts w:hint="eastAsia" w:ascii="Times New Roman" w:hAnsi="Times New Roman" w:eastAsia="宋体"/>
                <w:color w:val="auto"/>
                <w:sz w:val="24"/>
                <w:highlight w:val="none"/>
                <w:lang w:val="en-US" w:eastAsia="zh-CN"/>
              </w:rPr>
            </w:pPr>
          </w:p>
          <w:p w14:paraId="08DA53E5">
            <w:pPr>
              <w:keepNext w:val="0"/>
              <w:keepLines w:val="0"/>
              <w:pageBreakBefore w:val="0"/>
              <w:widowControl/>
              <w:kinsoku/>
              <w:wordWrap/>
              <w:overflowPunct/>
              <w:topLinePunct w:val="0"/>
              <w:autoSpaceDE/>
              <w:autoSpaceDN/>
              <w:bidi w:val="0"/>
              <w:adjustRightInd w:val="0"/>
              <w:snapToGrid w:val="0"/>
              <w:spacing w:line="360" w:lineRule="auto"/>
              <w:ind w:left="0" w:firstLine="480" w:firstLineChars="200"/>
              <w:jc w:val="left"/>
              <w:textAlignment w:val="auto"/>
              <w:outlineLvl w:val="9"/>
              <w:rPr>
                <w:rFonts w:hint="default"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（2）木制品生产线</w:t>
            </w:r>
          </w:p>
          <w:p w14:paraId="2F4714E4">
            <w:pPr>
              <w:keepNext w:val="0"/>
              <w:keepLines w:val="0"/>
              <w:pageBreakBefore w:val="0"/>
              <w:widowControl/>
              <w:kinsoku/>
              <w:wordWrap/>
              <w:overflowPunct/>
              <w:topLinePunct w:val="0"/>
              <w:autoSpaceDE/>
              <w:autoSpaceDN/>
              <w:bidi w:val="0"/>
              <w:adjustRightInd w:val="0"/>
              <w:snapToGrid w:val="0"/>
              <w:spacing w:line="360" w:lineRule="auto"/>
              <w:ind w:left="0" w:firstLine="480" w:firstLineChars="200"/>
              <w:jc w:val="left"/>
              <w:textAlignment w:val="auto"/>
              <w:outlineLvl w:val="9"/>
              <w:rPr>
                <w:rFonts w:hint="eastAsia" w:ascii="Times New Roman" w:hAnsi="Times New Roman" w:eastAsia="宋体"/>
                <w:color w:val="auto"/>
                <w:sz w:val="24"/>
                <w:highlight w:val="none"/>
                <w:lang w:val="en-US" w:eastAsia="zh-CN"/>
              </w:rPr>
            </w:pPr>
            <w:r>
              <w:rPr>
                <w:rFonts w:hint="default" w:ascii="Times New Roman" w:hAnsi="Times New Roman" w:cs="Times New Roman"/>
                <w:b w:val="0"/>
                <w:bCs/>
                <w:color w:val="auto"/>
                <w:sz w:val="24"/>
                <w:highlight w:val="none"/>
                <w:lang w:val="en-US" w:eastAsia="zh-CN"/>
              </w:rPr>
              <w:t>本项目营运期木制品生产工序工艺废气主要为颗粒物。</w:t>
            </w:r>
            <w:r>
              <w:rPr>
                <w:rFonts w:hint="eastAsia" w:ascii="Times New Roman" w:hAnsi="Times New Roman" w:cs="Times New Roman"/>
                <w:b w:val="0"/>
                <w:bCs/>
                <w:color w:val="auto"/>
                <w:sz w:val="24"/>
                <w:highlight w:val="none"/>
                <w:lang w:val="en-US" w:eastAsia="zh-CN"/>
              </w:rPr>
              <w:t>由于企业木制品原料直接购买半成品，工艺流程不涉及带锯切割和截锯截尺，只通过钉枪固定后形成木制品成品外售，由于该工序颗粒物产生量较少，同时生产工序位于封闭厂房内，本项目</w:t>
            </w:r>
            <w:r>
              <w:rPr>
                <w:rFonts w:hint="eastAsia" w:ascii="Times New Roman" w:hAnsi="Times New Roman" w:eastAsia="宋体"/>
                <w:color w:val="auto"/>
                <w:sz w:val="24"/>
                <w:highlight w:val="none"/>
                <w:lang w:val="en-US" w:eastAsia="zh-CN"/>
              </w:rPr>
              <w:t>木制品生产线工序产生的</w:t>
            </w:r>
            <w:r>
              <w:rPr>
                <w:rFonts w:hint="default" w:ascii="Times New Roman" w:hAnsi="Times New Roman" w:cs="Times New Roman"/>
                <w:b w:val="0"/>
                <w:bCs/>
                <w:color w:val="auto"/>
                <w:sz w:val="24"/>
                <w:highlight w:val="none"/>
                <w:lang w:val="en-US" w:eastAsia="zh-CN"/>
              </w:rPr>
              <w:t>颗粒物</w:t>
            </w:r>
            <w:r>
              <w:rPr>
                <w:rFonts w:hint="eastAsia" w:ascii="Times New Roman" w:hAnsi="Times New Roman" w:cs="Times New Roman"/>
                <w:b w:val="0"/>
                <w:bCs/>
                <w:color w:val="auto"/>
                <w:sz w:val="24"/>
                <w:highlight w:val="none"/>
                <w:lang w:val="en-US" w:eastAsia="zh-CN"/>
              </w:rPr>
              <w:t>为无组织</w:t>
            </w:r>
            <w:r>
              <w:rPr>
                <w:rFonts w:hint="default" w:ascii="Times New Roman" w:hAnsi="Times New Roman" w:cs="Times New Roman"/>
                <w:b w:val="0"/>
                <w:bCs/>
                <w:color w:val="auto"/>
                <w:sz w:val="24"/>
                <w:highlight w:val="none"/>
                <w:lang w:val="en-US" w:eastAsia="zh-CN"/>
              </w:rPr>
              <w:t>排放</w:t>
            </w:r>
            <w:r>
              <w:rPr>
                <w:rFonts w:hint="eastAsia" w:ascii="Times New Roman" w:hAnsi="Times New Roman" w:cs="Times New Roman"/>
                <w:b w:val="0"/>
                <w:bCs/>
                <w:color w:val="auto"/>
                <w:sz w:val="24"/>
                <w:highlight w:val="none"/>
                <w:lang w:val="en-US" w:eastAsia="zh-CN"/>
              </w:rPr>
              <w:t>，执行</w:t>
            </w:r>
            <w:r>
              <w:rPr>
                <w:rFonts w:hint="eastAsia" w:cs="Times New Roman"/>
                <w:b w:val="0"/>
                <w:bCs/>
                <w:color w:val="auto"/>
                <w:sz w:val="24"/>
                <w:highlight w:val="none"/>
                <w:lang w:val="en-US" w:eastAsia="zh-CN"/>
              </w:rPr>
              <w:t>标准</w:t>
            </w:r>
            <w:r>
              <w:rPr>
                <w:rFonts w:hint="eastAsia" w:ascii="Times New Roman" w:hAnsi="Times New Roman" w:cs="Times New Roman"/>
                <w:b w:val="0"/>
                <w:bCs/>
                <w:color w:val="auto"/>
                <w:sz w:val="24"/>
                <w:highlight w:val="none"/>
                <w:lang w:val="en-US" w:eastAsia="zh-CN"/>
              </w:rPr>
              <w:t>为</w:t>
            </w:r>
            <w:r>
              <w:rPr>
                <w:rFonts w:hint="default" w:ascii="Times New Roman" w:hAnsi="Times New Roman" w:cs="Times New Roman"/>
                <w:b w:val="0"/>
                <w:bCs/>
                <w:color w:val="auto"/>
                <w:sz w:val="24"/>
                <w:highlight w:val="none"/>
                <w:lang w:val="en-US" w:eastAsia="zh-CN"/>
              </w:rPr>
              <w:t>《大气污染物综合排放标准》（GB16297-1996）中的浓度限值，详见下表。</w:t>
            </w:r>
            <w:r>
              <w:rPr>
                <w:rFonts w:hint="eastAsia" w:ascii="Times New Roman" w:hAnsi="Times New Roman" w:eastAsia="宋体"/>
                <w:color w:val="auto"/>
                <w:sz w:val="24"/>
                <w:highlight w:val="none"/>
                <w:lang w:val="en-US" w:eastAsia="zh-CN"/>
              </w:rPr>
              <w:t>具体见下表。</w:t>
            </w:r>
          </w:p>
          <w:p w14:paraId="245C8FD5">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黑体" w:cs="Times New Roman"/>
                <w:kern w:val="2"/>
                <w:sz w:val="21"/>
                <w:szCs w:val="21"/>
                <w:highlight w:val="none"/>
                <w:lang w:val="en-US" w:eastAsia="zh-CN" w:bidi="ar-SA"/>
              </w:rPr>
            </w:pPr>
            <w:r>
              <w:rPr>
                <w:rFonts w:hint="eastAsia" w:ascii="Times New Roman" w:hAnsi="Times New Roman" w:eastAsia="黑体" w:cs="Times New Roman"/>
                <w:kern w:val="2"/>
                <w:sz w:val="21"/>
                <w:szCs w:val="21"/>
                <w:highlight w:val="none"/>
                <w:lang w:val="en-US" w:eastAsia="zh-CN" w:bidi="ar-SA"/>
              </w:rPr>
              <w:t>表1-</w:t>
            </w:r>
            <w:r>
              <w:rPr>
                <w:rFonts w:hint="eastAsia" w:eastAsia="黑体" w:cs="Times New Roman"/>
                <w:kern w:val="2"/>
                <w:sz w:val="21"/>
                <w:szCs w:val="21"/>
                <w:highlight w:val="none"/>
                <w:lang w:val="en-US" w:eastAsia="zh-CN" w:bidi="ar-SA"/>
              </w:rPr>
              <w:t>4</w:t>
            </w:r>
            <w:r>
              <w:rPr>
                <w:rFonts w:hint="eastAsia" w:ascii="Times New Roman" w:hAnsi="Times New Roman" w:eastAsia="黑体" w:cs="Times New Roman"/>
                <w:kern w:val="2"/>
                <w:sz w:val="21"/>
                <w:szCs w:val="21"/>
                <w:highlight w:val="none"/>
                <w:lang w:val="en-US" w:eastAsia="zh-CN" w:bidi="ar-SA"/>
              </w:rPr>
              <w:t>《大气污染物综合排放标准》（GB16297-1996）</w:t>
            </w:r>
          </w:p>
          <w:tbl>
            <w:tblPr>
              <w:tblStyle w:val="25"/>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97"/>
              <w:gridCol w:w="5157"/>
            </w:tblGrid>
            <w:tr w14:paraId="4CC6B4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tcBorders>
                    <w:tl2br w:val="nil"/>
                    <w:tr2bl w:val="nil"/>
                  </w:tcBorders>
                  <w:noWrap w:val="0"/>
                  <w:vAlign w:val="center"/>
                </w:tcPr>
                <w:p w14:paraId="0BC83B2A">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污染物名称</w:t>
                  </w:r>
                </w:p>
              </w:tc>
              <w:tc>
                <w:tcPr>
                  <w:tcW w:w="3655" w:type="pct"/>
                  <w:tcBorders>
                    <w:tl2br w:val="nil"/>
                    <w:tr2bl w:val="nil"/>
                  </w:tcBorders>
                  <w:noWrap w:val="0"/>
                  <w:vAlign w:val="center"/>
                </w:tcPr>
                <w:p w14:paraId="77E1CB36">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无组织排放监控浓度限值（周界外浓度最高点）mg/m3</w:t>
                  </w:r>
                </w:p>
              </w:tc>
            </w:tr>
            <w:tr w14:paraId="6217A0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tcBorders>
                    <w:tl2br w:val="nil"/>
                    <w:tr2bl w:val="nil"/>
                  </w:tcBorders>
                  <w:noWrap w:val="0"/>
                  <w:vAlign w:val="center"/>
                </w:tcPr>
                <w:p w14:paraId="37F6DDEC">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颗粒物</w:t>
                  </w:r>
                </w:p>
              </w:tc>
              <w:tc>
                <w:tcPr>
                  <w:tcW w:w="3655" w:type="pct"/>
                  <w:tcBorders>
                    <w:tl2br w:val="nil"/>
                    <w:tr2bl w:val="nil"/>
                  </w:tcBorders>
                  <w:noWrap w:val="0"/>
                  <w:vAlign w:val="center"/>
                </w:tcPr>
                <w:p w14:paraId="320D0043">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jc w:val="center"/>
                    <w:textAlignment w:val="auto"/>
                    <w:outlineLvl w:val="9"/>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w:t>
                  </w:r>
                </w:p>
              </w:tc>
            </w:tr>
          </w:tbl>
          <w:p w14:paraId="41ADF14C">
            <w:pPr>
              <w:pStyle w:val="15"/>
              <w:keepNext w:val="0"/>
              <w:keepLines w:val="0"/>
              <w:pageBreakBefore w:val="0"/>
              <w:widowControl w:val="0"/>
              <w:wordWrap/>
              <w:overflowPunct/>
              <w:topLinePunct w:val="0"/>
              <w:autoSpaceDE/>
              <w:autoSpaceDN/>
              <w:bidi w:val="0"/>
              <w:adjustRightInd w:val="0"/>
              <w:snapToGrid w:val="0"/>
              <w:spacing w:after="0" w:afterLines="0" w:line="360" w:lineRule="auto"/>
              <w:ind w:left="0" w:right="0"/>
              <w:jc w:val="left"/>
              <w:textAlignment w:val="auto"/>
              <w:outlineLvl w:val="9"/>
              <w:rPr>
                <w:rFonts w:hint="eastAsia" w:ascii="Times New Roman" w:hAnsi="Times New Roman" w:eastAsia="宋体" w:cstheme="minorBidi"/>
                <w:color w:val="auto"/>
                <w:kern w:val="2"/>
                <w:sz w:val="24"/>
                <w:szCs w:val="24"/>
                <w:highlight w:val="yellow"/>
                <w:lang w:val="en-US" w:eastAsia="zh-CN" w:bidi="ar-SA"/>
              </w:rPr>
            </w:pPr>
          </w:p>
          <w:p w14:paraId="4B6C3D95">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left"/>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2.2噪声</w:t>
            </w:r>
          </w:p>
          <w:p w14:paraId="0A438C45">
            <w:pPr>
              <w:keepNext w:val="0"/>
              <w:keepLines w:val="0"/>
              <w:pageBreakBefore w:val="0"/>
              <w:widowControl/>
              <w:kinsoku/>
              <w:wordWrap/>
              <w:overflowPunct/>
              <w:topLinePunct w:val="0"/>
              <w:autoSpaceDE/>
              <w:autoSpaceDN/>
              <w:bidi w:val="0"/>
              <w:adjustRightInd w:val="0"/>
              <w:snapToGrid w:val="0"/>
              <w:spacing w:line="360" w:lineRule="auto"/>
              <w:ind w:left="0" w:firstLine="480" w:firstLineChars="200"/>
              <w:jc w:val="left"/>
              <w:textAlignment w:val="auto"/>
              <w:outlineLvl w:val="9"/>
              <w:rPr>
                <w:rFonts w:hint="eastAsia" w:ascii="黑体" w:hAnsi="黑体" w:eastAsia="黑体" w:cs="黑体"/>
                <w:b w:val="0"/>
                <w:bCs w:val="0"/>
                <w:highlight w:val="none"/>
                <w:lang w:val="en-US" w:eastAsia="zh-CN"/>
              </w:rPr>
            </w:pPr>
            <w:r>
              <w:rPr>
                <w:rFonts w:hint="eastAsia" w:ascii="Times New Roman" w:hAnsi="Times New Roman" w:eastAsia="宋体"/>
                <w:color w:val="auto"/>
                <w:sz w:val="24"/>
                <w:highlight w:val="none"/>
                <w:lang w:val="en-US" w:eastAsia="zh-CN"/>
              </w:rPr>
              <w:t>项目</w:t>
            </w:r>
            <w:r>
              <w:rPr>
                <w:rFonts w:hint="default" w:ascii="Times New Roman" w:hAnsi="Times New Roman" w:eastAsia="宋体"/>
                <w:color w:val="auto"/>
                <w:sz w:val="24"/>
                <w:highlight w:val="none"/>
                <w:lang w:val="en-US" w:eastAsia="zh-CN"/>
              </w:rPr>
              <w:t>运营期厂界</w:t>
            </w:r>
            <w:r>
              <w:rPr>
                <w:rFonts w:hint="eastAsia" w:ascii="Times New Roman" w:hAnsi="Times New Roman" w:eastAsia="宋体"/>
                <w:color w:val="auto"/>
                <w:sz w:val="24"/>
                <w:highlight w:val="none"/>
                <w:lang w:val="en-US" w:eastAsia="zh-CN"/>
              </w:rPr>
              <w:t>四周</w:t>
            </w:r>
            <w:r>
              <w:rPr>
                <w:rFonts w:hint="default" w:ascii="Times New Roman" w:hAnsi="Times New Roman" w:eastAsia="宋体"/>
                <w:color w:val="auto"/>
                <w:sz w:val="24"/>
                <w:highlight w:val="none"/>
                <w:lang w:val="en-US" w:eastAsia="zh-CN"/>
              </w:rPr>
              <w:t>噪声执行《工业企业厂界环境噪声排放标准》（GB12348-2008）中</w:t>
            </w:r>
            <w:r>
              <w:rPr>
                <w:rFonts w:hint="eastAsia" w:ascii="Times New Roman" w:hAnsi="Times New Roman" w:eastAsia="宋体"/>
                <w:color w:val="auto"/>
                <w:sz w:val="24"/>
                <w:highlight w:val="none"/>
                <w:lang w:val="en-US" w:eastAsia="zh-CN"/>
              </w:rPr>
              <w:t>3</w:t>
            </w:r>
            <w:r>
              <w:rPr>
                <w:rFonts w:hint="default" w:ascii="Times New Roman" w:hAnsi="Times New Roman" w:eastAsia="宋体"/>
                <w:color w:val="auto"/>
                <w:sz w:val="24"/>
                <w:highlight w:val="none"/>
                <w:lang w:val="en-US" w:eastAsia="zh-CN"/>
              </w:rPr>
              <w:t>类标准</w:t>
            </w:r>
            <w:r>
              <w:rPr>
                <w:rFonts w:hint="eastAsia" w:ascii="Times New Roman" w:hAnsi="Times New Roman" w:eastAsia="宋体"/>
                <w:color w:val="auto"/>
                <w:sz w:val="24"/>
                <w:highlight w:val="none"/>
                <w:lang w:val="en-US" w:eastAsia="zh-CN"/>
              </w:rPr>
              <w:t>，与环评一致。详见下表。</w:t>
            </w:r>
          </w:p>
          <w:p w14:paraId="5CC9DC8E">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right"/>
              <w:textAlignment w:val="auto"/>
              <w:rPr>
                <w:rFonts w:hint="eastAsia" w:ascii="Times New Roman" w:hAnsi="Times New Roman" w:eastAsia="黑体" w:cs="Times New Roman"/>
                <w:kern w:val="2"/>
                <w:sz w:val="21"/>
                <w:szCs w:val="21"/>
                <w:highlight w:val="none"/>
                <w:lang w:val="en-US" w:eastAsia="zh-CN" w:bidi="ar-SA"/>
              </w:rPr>
            </w:pPr>
            <w:r>
              <w:rPr>
                <w:rFonts w:hint="eastAsia" w:ascii="Times New Roman" w:hAnsi="Times New Roman" w:eastAsia="黑体" w:cs="Times New Roman"/>
                <w:kern w:val="2"/>
                <w:sz w:val="21"/>
                <w:szCs w:val="21"/>
                <w:highlight w:val="none"/>
                <w:lang w:val="en-US" w:eastAsia="zh-CN" w:bidi="ar-SA"/>
              </w:rPr>
              <w:t>表1-</w:t>
            </w:r>
            <w:r>
              <w:rPr>
                <w:rFonts w:hint="eastAsia" w:eastAsia="黑体" w:cs="Times New Roman"/>
                <w:kern w:val="2"/>
                <w:sz w:val="21"/>
                <w:szCs w:val="21"/>
                <w:highlight w:val="none"/>
                <w:lang w:val="en-US" w:eastAsia="zh-CN" w:bidi="ar-SA"/>
              </w:rPr>
              <w:t>5</w:t>
            </w:r>
            <w:r>
              <w:rPr>
                <w:rFonts w:hint="eastAsia" w:ascii="Times New Roman" w:hAnsi="Times New Roman" w:eastAsia="黑体" w:cs="Times New Roman"/>
                <w:kern w:val="2"/>
                <w:sz w:val="21"/>
                <w:szCs w:val="21"/>
                <w:highlight w:val="none"/>
                <w:lang w:val="en-US" w:eastAsia="zh-CN" w:bidi="ar-SA"/>
              </w:rPr>
              <w:t>工业企业厂界环境噪声排放标准            单位：dB(A)</w:t>
            </w:r>
          </w:p>
          <w:tbl>
            <w:tblPr>
              <w:tblStyle w:val="24"/>
              <w:tblW w:w="7079" w:type="dxa"/>
              <w:tblInd w:w="5"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56"/>
              <w:gridCol w:w="2477"/>
              <w:gridCol w:w="2446"/>
            </w:tblGrid>
            <w:tr w14:paraId="24136E49">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14" w:hRule="atLeast"/>
              </w:trPr>
              <w:tc>
                <w:tcPr>
                  <w:tcW w:w="2156" w:type="dxa"/>
                  <w:vMerge w:val="restart"/>
                  <w:tcBorders>
                    <w:tl2br w:val="nil"/>
                    <w:tr2bl w:val="nil"/>
                  </w:tcBorders>
                  <w:noWrap w:val="0"/>
                  <w:vAlign w:val="center"/>
                </w:tcPr>
                <w:p w14:paraId="15A25C68">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声环境功能区类别</w:t>
                  </w:r>
                </w:p>
              </w:tc>
              <w:tc>
                <w:tcPr>
                  <w:tcW w:w="4923" w:type="dxa"/>
                  <w:gridSpan w:val="2"/>
                  <w:tcBorders>
                    <w:tl2br w:val="nil"/>
                    <w:tr2bl w:val="nil"/>
                  </w:tcBorders>
                  <w:noWrap w:val="0"/>
                  <w:vAlign w:val="center"/>
                </w:tcPr>
                <w:p w14:paraId="1B88FE1A">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时段</w:t>
                  </w:r>
                </w:p>
              </w:tc>
            </w:tr>
            <w:tr w14:paraId="2F7E427B">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19" w:hRule="atLeast"/>
              </w:trPr>
              <w:tc>
                <w:tcPr>
                  <w:tcW w:w="2156" w:type="dxa"/>
                  <w:vMerge w:val="continue"/>
                  <w:tcBorders>
                    <w:tl2br w:val="nil"/>
                    <w:tr2bl w:val="nil"/>
                  </w:tcBorders>
                  <w:noWrap w:val="0"/>
                  <w:vAlign w:val="center"/>
                </w:tcPr>
                <w:p w14:paraId="265A07A0">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p>
              </w:tc>
              <w:tc>
                <w:tcPr>
                  <w:tcW w:w="2477" w:type="dxa"/>
                  <w:tcBorders>
                    <w:tl2br w:val="nil"/>
                    <w:tr2bl w:val="nil"/>
                  </w:tcBorders>
                  <w:noWrap w:val="0"/>
                  <w:vAlign w:val="center"/>
                </w:tcPr>
                <w:p w14:paraId="7806B5E9">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昼间</w:t>
                  </w:r>
                </w:p>
              </w:tc>
              <w:tc>
                <w:tcPr>
                  <w:tcW w:w="2446" w:type="dxa"/>
                  <w:tcBorders>
                    <w:tl2br w:val="nil"/>
                    <w:tr2bl w:val="nil"/>
                  </w:tcBorders>
                  <w:noWrap w:val="0"/>
                  <w:vAlign w:val="center"/>
                </w:tcPr>
                <w:p w14:paraId="254D1B2E">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夜间</w:t>
                  </w:r>
                </w:p>
              </w:tc>
            </w:tr>
            <w:tr w14:paraId="0D3E7E2B">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83" w:hRule="atLeast"/>
              </w:trPr>
              <w:tc>
                <w:tcPr>
                  <w:tcW w:w="2156" w:type="dxa"/>
                  <w:tcBorders>
                    <w:tl2br w:val="nil"/>
                    <w:tr2bl w:val="nil"/>
                  </w:tcBorders>
                  <w:noWrap w:val="0"/>
                  <w:vAlign w:val="center"/>
                </w:tcPr>
                <w:p w14:paraId="5D59A255">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w:t>
                  </w:r>
                </w:p>
              </w:tc>
              <w:tc>
                <w:tcPr>
                  <w:tcW w:w="2477" w:type="dxa"/>
                  <w:tcBorders>
                    <w:tl2br w:val="nil"/>
                    <w:tr2bl w:val="nil"/>
                  </w:tcBorders>
                  <w:noWrap w:val="0"/>
                  <w:vAlign w:val="center"/>
                </w:tcPr>
                <w:p w14:paraId="2D32BB98">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65</w:t>
                  </w:r>
                </w:p>
              </w:tc>
              <w:tc>
                <w:tcPr>
                  <w:tcW w:w="2446" w:type="dxa"/>
                  <w:tcBorders>
                    <w:tl2br w:val="nil"/>
                    <w:tr2bl w:val="nil"/>
                  </w:tcBorders>
                  <w:noWrap w:val="0"/>
                  <w:vAlign w:val="center"/>
                </w:tcPr>
                <w:p w14:paraId="7535CF07">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55</w:t>
                  </w:r>
                </w:p>
              </w:tc>
            </w:tr>
          </w:tbl>
          <w:p w14:paraId="574E746A">
            <w:pPr>
              <w:keepNext w:val="0"/>
              <w:keepLines w:val="0"/>
              <w:pageBreakBefore w:val="0"/>
              <w:widowControl w:val="0"/>
              <w:kinsoku/>
              <w:wordWrap/>
              <w:overflowPunct/>
              <w:topLinePunct w:val="0"/>
              <w:autoSpaceDE/>
              <w:autoSpaceDN/>
              <w:bidi w:val="0"/>
              <w:adjustRightInd w:val="0"/>
              <w:snapToGrid w:val="0"/>
              <w:spacing w:line="360" w:lineRule="auto"/>
              <w:ind w:left="0"/>
              <w:jc w:val="left"/>
              <w:textAlignment w:val="auto"/>
              <w:rPr>
                <w:rFonts w:hint="eastAsia" w:ascii="Times New Roman" w:hAnsi="Times New Roman" w:eastAsia="宋体" w:cs="Times New Roman"/>
                <w:b/>
                <w:bCs/>
                <w:color w:val="auto"/>
                <w:kern w:val="2"/>
                <w:sz w:val="24"/>
                <w:szCs w:val="24"/>
                <w:highlight w:val="none"/>
                <w:lang w:val="en-US" w:eastAsia="zh-CN" w:bidi="ar-SA"/>
              </w:rPr>
            </w:pPr>
          </w:p>
          <w:p w14:paraId="5D1D9266">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left"/>
              <w:textAlignment w:val="auto"/>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2.3废水</w:t>
            </w:r>
          </w:p>
          <w:p w14:paraId="7711AF6B">
            <w:pPr>
              <w:bidi w:val="0"/>
              <w:rPr>
                <w:rFonts w:hint="default" w:ascii="Times New Roman" w:hAnsi="Times New Roman" w:eastAsia="宋体"/>
                <w:color w:val="auto"/>
                <w:sz w:val="24"/>
                <w:highlight w:val="none"/>
                <w:lang w:val="en-US" w:eastAsia="zh-CN"/>
              </w:rPr>
            </w:pPr>
            <w:r>
              <w:rPr>
                <w:rFonts w:hint="eastAsia" w:ascii="Times New Roman" w:hAnsi="Times New Roman" w:eastAsia="宋体" w:cs="Times New Roman"/>
                <w:highlight w:val="none"/>
                <w:lang w:eastAsia="zh-CN"/>
              </w:rPr>
              <w:t>本项目生产过程无外排废水。脱模工序的间接冷却水（单独存在管道中，不与生产工序接触），循环使用，不外排。</w:t>
            </w:r>
            <w:r>
              <w:rPr>
                <w:rFonts w:hint="default" w:ascii="Times New Roman" w:hAnsi="Times New Roman" w:eastAsia="宋体" w:cs="Times New Roman"/>
                <w:highlight w:val="none"/>
                <w:lang w:val="en-US" w:eastAsia="zh-CN"/>
              </w:rPr>
              <w:t>高温蒸汽冷凝水</w:t>
            </w:r>
            <w:r>
              <w:rPr>
                <w:rFonts w:hint="eastAsia" w:ascii="Times New Roman" w:hAnsi="Times New Roman" w:eastAsia="宋体" w:cs="Times New Roman"/>
                <w:highlight w:val="none"/>
                <w:lang w:eastAsia="zh-CN"/>
              </w:rPr>
              <w:t>排入厂区冷凝水收集池</w:t>
            </w:r>
            <w:r>
              <w:rPr>
                <w:rFonts w:hint="default" w:ascii="Times New Roman" w:hAnsi="Times New Roman" w:eastAsia="宋体" w:cs="Times New Roman"/>
                <w:highlight w:val="none"/>
                <w:lang w:val="en-US" w:eastAsia="zh-CN"/>
              </w:rPr>
              <w:t>（</w:t>
            </w:r>
            <w:r>
              <w:rPr>
                <w:rFonts w:hint="eastAsia" w:ascii="Times New Roman" w:hAnsi="Times New Roman" w:eastAsia="宋体" w:cs="Times New Roman"/>
                <w:highlight w:val="none"/>
                <w:lang w:val="en-US" w:eastAsia="zh-CN"/>
              </w:rPr>
              <w:t>4个收集池，每个</w:t>
            </w:r>
            <w:r>
              <w:rPr>
                <w:rFonts w:hint="default" w:ascii="Times New Roman" w:hAnsi="Times New Roman" w:eastAsia="宋体" w:cs="Times New Roman"/>
                <w:highlight w:val="none"/>
                <w:lang w:val="en-US" w:eastAsia="zh-CN"/>
              </w:rPr>
              <w:t>容积为</w:t>
            </w:r>
            <w:r>
              <w:rPr>
                <w:rFonts w:hint="eastAsia" w:ascii="Times New Roman" w:hAnsi="Times New Roman" w:eastAsia="宋体" w:cs="Times New Roman"/>
                <w:highlight w:val="none"/>
                <w:lang w:val="en-US" w:eastAsia="zh-CN"/>
              </w:rPr>
              <w:t>3</w:t>
            </w:r>
            <w:r>
              <w:rPr>
                <w:rFonts w:hint="default" w:ascii="Times New Roman" w:hAnsi="Times New Roman" w:eastAsia="宋体" w:cs="Times New Roman"/>
                <w:highlight w:val="none"/>
                <w:lang w:val="en-US" w:eastAsia="zh-CN"/>
              </w:rPr>
              <w:t>0m</w:t>
            </w:r>
            <w:r>
              <w:rPr>
                <w:rFonts w:hint="default" w:ascii="Times New Roman" w:hAnsi="Times New Roman" w:eastAsia="宋体" w:cs="Times New Roman"/>
                <w:highlight w:val="none"/>
                <w:vertAlign w:val="superscript"/>
                <w:lang w:val="en-US" w:eastAsia="zh-CN"/>
              </w:rPr>
              <w:t>3</w:t>
            </w:r>
            <w:r>
              <w:rPr>
                <w:rFonts w:hint="default" w:ascii="Times New Roman" w:hAnsi="Times New Roman" w:eastAsia="宋体" w:cs="Times New Roman"/>
                <w:highlight w:val="none"/>
                <w:lang w:val="en-US" w:eastAsia="zh-CN"/>
              </w:rPr>
              <w:t>），</w:t>
            </w:r>
            <w:r>
              <w:rPr>
                <w:rFonts w:hint="eastAsia" w:ascii="Times New Roman" w:hAnsi="Times New Roman" w:eastAsia="宋体" w:cs="Times New Roman"/>
                <w:highlight w:val="none"/>
                <w:lang w:val="en-US" w:eastAsia="zh-CN"/>
              </w:rPr>
              <w:t>收集后作为冷却补充水使用，不外排。生活污水排入防渗旱厕，定期清掏不外排</w:t>
            </w:r>
            <w:r>
              <w:rPr>
                <w:rFonts w:hint="eastAsia" w:ascii="Times New Roman" w:hAnsi="Times New Roman" w:eastAsia="宋体"/>
                <w:color w:val="auto"/>
                <w:sz w:val="24"/>
                <w:highlight w:val="none"/>
                <w:lang w:val="en-US" w:eastAsia="zh-CN"/>
              </w:rPr>
              <w:t>。</w:t>
            </w:r>
          </w:p>
          <w:p w14:paraId="264C1DC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left"/>
              <w:textAlignment w:val="auto"/>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2.4固体废物</w:t>
            </w:r>
          </w:p>
          <w:p w14:paraId="476A399B">
            <w:pPr>
              <w:keepNext w:val="0"/>
              <w:keepLines w:val="0"/>
              <w:pageBreakBefore w:val="0"/>
              <w:widowControl/>
              <w:kinsoku/>
              <w:wordWrap/>
              <w:overflowPunct/>
              <w:topLinePunct w:val="0"/>
              <w:autoSpaceDE/>
              <w:autoSpaceDN/>
              <w:bidi w:val="0"/>
              <w:adjustRightInd w:val="0"/>
              <w:snapToGrid w:val="0"/>
              <w:spacing w:line="360" w:lineRule="auto"/>
              <w:ind w:left="0" w:firstLine="480" w:firstLineChars="200"/>
              <w:jc w:val="left"/>
              <w:textAlignment w:val="auto"/>
              <w:outlineLvl w:val="9"/>
              <w:rPr>
                <w:rFonts w:hint="default" w:ascii="Times New Roman" w:hAnsi="Times New Roman" w:eastAsia="宋体"/>
                <w:color w:val="auto"/>
                <w:sz w:val="24"/>
                <w:highlight w:val="yellow"/>
                <w:lang w:val="en-US" w:eastAsia="zh-CN"/>
              </w:rPr>
            </w:pPr>
            <w:r>
              <w:rPr>
                <w:rFonts w:hint="eastAsia" w:ascii="Times New Roman" w:hAnsi="Times New Roman" w:eastAsia="宋体"/>
                <w:color w:val="auto"/>
                <w:sz w:val="24"/>
                <w:highlight w:val="none"/>
                <w:lang w:val="en-US" w:eastAsia="zh-CN"/>
              </w:rPr>
              <w:t>项目运营期环评和验收阶段：</w:t>
            </w:r>
            <w:r>
              <w:rPr>
                <w:rFonts w:hint="default" w:ascii="Times New Roman" w:hAnsi="Times New Roman" w:cs="Times New Roman"/>
                <w:color w:val="auto"/>
                <w:sz w:val="24"/>
                <w:highlight w:val="none"/>
              </w:rPr>
              <w:t>一般工业固体废物执行《一般工业固体废物贮存和填埋污染控制标准》(GB18599-2020)；危险废物暂存执行《危险废物贮存污染控制标准》（GB18597-</w:t>
            </w:r>
            <w:r>
              <w:rPr>
                <w:rFonts w:hint="default" w:ascii="Times New Roman" w:hAnsi="Times New Roman" w:cs="Times New Roman"/>
                <w:color w:val="auto"/>
                <w:sz w:val="24"/>
                <w:highlight w:val="none"/>
                <w:lang w:val="en-US" w:eastAsia="zh-CN"/>
              </w:rPr>
              <w:t>2023</w:t>
            </w:r>
            <w:r>
              <w:rPr>
                <w:rFonts w:hint="default" w:ascii="Times New Roman" w:hAnsi="Times New Roman" w:cs="Times New Roman"/>
                <w:color w:val="auto"/>
                <w:sz w:val="24"/>
                <w:highlight w:val="none"/>
              </w:rPr>
              <w:t>）中的相关要求</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生活垃圾参照执行《城市生活垃圾管理办法》（</w:t>
            </w:r>
            <w:r>
              <w:rPr>
                <w:rFonts w:hint="default" w:ascii="Times New Roman" w:hAnsi="Times New Roman" w:cs="Times New Roman"/>
                <w:color w:val="auto"/>
                <w:sz w:val="24"/>
                <w:highlight w:val="none"/>
              </w:rPr>
              <w:t>2007年7月1日</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w:t>
            </w:r>
          </w:p>
        </w:tc>
      </w:tr>
    </w:tbl>
    <w:p w14:paraId="78B9B988">
      <w:pPr>
        <w:pStyle w:val="15"/>
        <w:rPr>
          <w:rFonts w:hint="default" w:ascii="Times New Roman" w:hAnsi="Times New Roman" w:eastAsia="黑体"/>
          <w:b/>
          <w:color w:val="auto"/>
          <w:sz w:val="24"/>
          <w:highlight w:val="yellow"/>
          <w:lang w:val="en-US" w:eastAsia="zh-CN"/>
        </w:rPr>
        <w:sectPr>
          <w:headerReference r:id="rId6" w:type="default"/>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74F19A02">
      <w:pPr>
        <w:pStyle w:val="15"/>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rPr>
          <w:rFonts w:hint="default" w:ascii="Times New Roman" w:hAnsi="Times New Roman" w:eastAsia="黑体"/>
          <w:b/>
          <w:color w:val="auto"/>
          <w:sz w:val="24"/>
          <w:highlight w:val="none"/>
          <w:vertAlign w:val="baseline"/>
          <w:lang w:val="en-US" w:eastAsia="zh-CN"/>
        </w:rPr>
      </w:pPr>
      <w:r>
        <w:rPr>
          <w:rFonts w:hint="eastAsia" w:ascii="Times New Roman" w:hAnsi="Times New Roman" w:eastAsia="黑体"/>
          <w:b/>
          <w:color w:val="auto"/>
          <w:sz w:val="24"/>
          <w:highlight w:val="none"/>
          <w:lang w:val="en-US" w:eastAsia="zh-CN"/>
        </w:rPr>
        <w:t>表二</w:t>
      </w:r>
    </w:p>
    <w:tbl>
      <w:tblPr>
        <w:tblStyle w:val="25"/>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6"/>
      </w:tblGrid>
      <w:tr w14:paraId="7BCF2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81" w:hRule="atLeast"/>
        </w:trPr>
        <w:tc>
          <w:tcPr>
            <w:tcW w:w="8316" w:type="dxa"/>
          </w:tcPr>
          <w:p w14:paraId="2A62ECCF">
            <w:pPr>
              <w:pStyle w:val="15"/>
              <w:keepNext w:val="0"/>
              <w:keepLines w:val="0"/>
              <w:pageBreakBefore w:val="0"/>
              <w:widowControl w:val="0"/>
              <w:kinsoku/>
              <w:wordWrap/>
              <w:overflowPunct/>
              <w:topLinePunct w:val="0"/>
              <w:autoSpaceDE/>
              <w:autoSpaceDN/>
              <w:bidi w:val="0"/>
              <w:adjustRightInd w:val="0"/>
              <w:snapToGrid/>
              <w:spacing w:after="0" w:line="360" w:lineRule="auto"/>
              <w:ind w:left="0" w:leftChars="0" w:firstLine="0" w:firstLineChars="0"/>
              <w:textAlignment w:val="auto"/>
              <w:rPr>
                <w:rFonts w:hint="eastAsia" w:ascii="Times New Roman" w:hAnsi="Times New Roman" w:eastAsia="宋体" w:cstheme="minorBidi"/>
                <w:b/>
                <w:bCs/>
                <w:color w:val="auto"/>
                <w:kern w:val="2"/>
                <w:sz w:val="28"/>
                <w:szCs w:val="28"/>
                <w:highlight w:val="none"/>
                <w:lang w:val="en-US" w:eastAsia="zh-CN" w:bidi="ar-SA"/>
              </w:rPr>
            </w:pPr>
            <w:r>
              <w:rPr>
                <w:rFonts w:hint="eastAsia" w:ascii="Times New Roman" w:hAnsi="Times New Roman" w:eastAsia="宋体" w:cstheme="minorBidi"/>
                <w:b/>
                <w:bCs/>
                <w:color w:val="auto"/>
                <w:kern w:val="2"/>
                <w:sz w:val="28"/>
                <w:szCs w:val="28"/>
                <w:highlight w:val="none"/>
                <w:lang w:val="en-US" w:eastAsia="zh-CN" w:bidi="ar-SA"/>
              </w:rPr>
              <w:t>工程建设内容</w:t>
            </w:r>
          </w:p>
          <w:p w14:paraId="3469FCF2">
            <w:pPr>
              <w:pStyle w:val="15"/>
              <w:keepNext w:val="0"/>
              <w:keepLines w:val="0"/>
              <w:pageBreakBefore w:val="0"/>
              <w:widowControl w:val="0"/>
              <w:kinsoku/>
              <w:wordWrap/>
              <w:overflowPunct/>
              <w:topLinePunct w:val="0"/>
              <w:autoSpaceDE/>
              <w:autoSpaceDN/>
              <w:bidi w:val="0"/>
              <w:adjustRightInd w:val="0"/>
              <w:snapToGrid/>
              <w:spacing w:after="0" w:line="360" w:lineRule="auto"/>
              <w:ind w:left="0" w:leftChars="0" w:firstLine="0" w:firstLineChars="0"/>
              <w:textAlignment w:val="auto"/>
              <w:rPr>
                <w:rFonts w:hint="eastAsia" w:ascii="Times New Roman" w:hAnsi="Times New Roman" w:eastAsiaTheme="minorEastAsia" w:cstheme="minorBidi"/>
                <w:b/>
                <w:color w:val="auto"/>
                <w:kern w:val="2"/>
                <w:sz w:val="24"/>
                <w:szCs w:val="24"/>
                <w:highlight w:val="none"/>
                <w:vertAlign w:val="baseline"/>
                <w:lang w:val="en-US" w:eastAsia="zh-CN" w:bidi="ar-SA"/>
              </w:rPr>
            </w:pPr>
            <w:r>
              <w:rPr>
                <w:rFonts w:hint="eastAsia" w:ascii="Times New Roman" w:hAnsi="Times New Roman" w:eastAsiaTheme="minorEastAsia" w:cstheme="minorBidi"/>
                <w:b/>
                <w:color w:val="auto"/>
                <w:kern w:val="2"/>
                <w:sz w:val="24"/>
                <w:szCs w:val="24"/>
                <w:highlight w:val="none"/>
                <w:vertAlign w:val="baseline"/>
                <w:lang w:val="en-US" w:eastAsia="zh-CN" w:bidi="ar-SA"/>
              </w:rPr>
              <w:t>1 项目概况</w:t>
            </w:r>
          </w:p>
          <w:p w14:paraId="71C4B550">
            <w:pPr>
              <w:bidi w:val="0"/>
              <w:ind w:firstLine="964"/>
              <w:rPr>
                <w:rFonts w:hint="eastAsia" w:ascii="Times New Roman" w:hAnsi="Times New Roman" w:eastAsia="宋体"/>
                <w:lang w:val="en-US" w:eastAsia="zh-CN"/>
              </w:rPr>
            </w:pPr>
            <w:r>
              <w:rPr>
                <w:rFonts w:hint="eastAsia"/>
                <w:lang w:val="en-US" w:eastAsia="zh-CN"/>
              </w:rPr>
              <w:t>本溪市华宇木业有限公司于2024年10月投资450万元在辽宁省本溪市明山区高台子办事处建设“本溪市华宇木业有限公司木制品及泡沫制品包装生产线建设项目”。2024年9月，辽宁碧辉科技有限公司编制完成《本溪市华宇木业有限公司木制品及泡沫制品包装生产线建设项目环境影响报告表》，2024年9月23日，本溪市生态环</w:t>
            </w:r>
            <w:r>
              <w:rPr>
                <w:rFonts w:hint="eastAsia" w:ascii="Times New Roman" w:hAnsi="Times New Roman" w:eastAsia="宋体"/>
                <w:lang w:val="en-US" w:eastAsia="zh-CN"/>
              </w:rPr>
              <w:t>境局出具《关于本溪市华宇木业有限公司木制品及泡沫制品包装生产线建设项目环境影响报告表的批复》（本环建表字[2024]75号）。项目于2024年10月进行项目建设，2024年12月竣工。</w:t>
            </w:r>
          </w:p>
          <w:p w14:paraId="4DEE883F">
            <w:pPr>
              <w:bidi w:val="0"/>
              <w:ind w:firstLine="964"/>
              <w:rPr>
                <w:rFonts w:hint="eastAsia"/>
                <w:lang w:val="en-US" w:eastAsia="zh-CN"/>
              </w:rPr>
            </w:pPr>
            <w:r>
              <w:rPr>
                <w:rFonts w:hint="eastAsia" w:ascii="Times New Roman" w:hAnsi="Times New Roman" w:eastAsia="宋体"/>
                <w:lang w:val="en-US" w:eastAsia="zh-CN"/>
              </w:rPr>
              <w:t>202</w:t>
            </w:r>
            <w:r>
              <w:rPr>
                <w:rFonts w:hint="eastAsia"/>
                <w:lang w:val="en-US" w:eastAsia="zh-CN"/>
              </w:rPr>
              <w:t>5</w:t>
            </w:r>
            <w:r>
              <w:rPr>
                <w:rFonts w:hint="eastAsia" w:ascii="Times New Roman" w:hAnsi="Times New Roman" w:eastAsia="宋体"/>
                <w:lang w:val="en-US" w:eastAsia="zh-CN"/>
              </w:rPr>
              <w:t>年1月建设单位决定对该项目进行验收。本次验收监测报告表对“本溪市华宇木业有限公司木制品及泡沫制品包装生产线建设项目”中的环保手续、项目建成及环境保护</w:t>
            </w:r>
            <w:r>
              <w:rPr>
                <w:rFonts w:hint="eastAsia"/>
                <w:lang w:val="en-US" w:eastAsia="zh-CN"/>
              </w:rPr>
              <w:t>设施建设等情况进行验收。2025年1月建设单位委托辽宁天圆监测有限公司对本项目进行污染源监测，并于同年2月出具《监测报告》（报告编号：HJJC20250120007），2025年3月建设单位编制完成《本溪市华宇木业有限公司木制品及泡沫制品包装生产线建设项目竣工环境保护验收监测报告表》。</w:t>
            </w:r>
          </w:p>
          <w:p w14:paraId="178F9E64">
            <w:pPr>
              <w:bidi w:val="0"/>
              <w:ind w:firstLine="964"/>
              <w:rPr>
                <w:rFonts w:hint="eastAsia" w:ascii="Times New Roman" w:hAnsi="Times New Roman" w:eastAsia="宋体"/>
                <w:lang w:val="en-US" w:eastAsia="zh-CN"/>
              </w:rPr>
            </w:pPr>
            <w:r>
              <w:rPr>
                <w:rFonts w:hint="eastAsia" w:ascii="Times New Roman" w:hAnsi="Times New Roman" w:eastAsia="宋体"/>
                <w:lang w:val="en-US" w:eastAsia="zh-CN"/>
              </w:rPr>
              <w:t>验收范围：本次验收范围为《本溪市华宇木业有限公司木制品及泡沫制品包装生产线建设项目环境影响报告表》及《关于本溪市华宇木业有限公司木制品及泡沫制品包装生产线建设项目环境影响报告表的批复》中内容。</w:t>
            </w:r>
          </w:p>
          <w:p w14:paraId="450FE8ED">
            <w:pPr>
              <w:pStyle w:val="15"/>
              <w:keepNext w:val="0"/>
              <w:keepLines w:val="0"/>
              <w:pageBreakBefore w:val="0"/>
              <w:widowControl w:val="0"/>
              <w:kinsoku/>
              <w:wordWrap/>
              <w:overflowPunct/>
              <w:topLinePunct w:val="0"/>
              <w:autoSpaceDE/>
              <w:autoSpaceDN/>
              <w:bidi w:val="0"/>
              <w:adjustRightInd w:val="0"/>
              <w:snapToGrid/>
              <w:spacing w:after="0" w:line="360" w:lineRule="auto"/>
              <w:ind w:left="0" w:leftChars="0" w:firstLine="0" w:firstLineChars="0"/>
              <w:textAlignment w:val="auto"/>
              <w:rPr>
                <w:rFonts w:hint="eastAsia" w:ascii="Times New Roman" w:hAnsi="Times New Roman" w:eastAsiaTheme="minorEastAsia" w:cstheme="minorBidi"/>
                <w:b/>
                <w:color w:val="auto"/>
                <w:kern w:val="2"/>
                <w:sz w:val="24"/>
                <w:szCs w:val="24"/>
                <w:highlight w:val="none"/>
                <w:vertAlign w:val="baseline"/>
                <w:lang w:val="en-US" w:eastAsia="zh-CN" w:bidi="ar-SA"/>
              </w:rPr>
            </w:pPr>
            <w:r>
              <w:rPr>
                <w:rFonts w:hint="eastAsia" w:ascii="Times New Roman" w:hAnsi="Times New Roman" w:eastAsiaTheme="minorEastAsia" w:cstheme="minorBidi"/>
                <w:b/>
                <w:color w:val="auto"/>
                <w:kern w:val="2"/>
                <w:sz w:val="24"/>
                <w:szCs w:val="24"/>
                <w:highlight w:val="none"/>
                <w:vertAlign w:val="baseline"/>
                <w:lang w:val="en-US" w:eastAsia="zh-CN" w:bidi="ar-SA"/>
              </w:rPr>
              <w:t>2 工程建设情况</w:t>
            </w:r>
          </w:p>
          <w:p w14:paraId="0D15027E">
            <w:pPr>
              <w:pStyle w:val="15"/>
              <w:keepNext w:val="0"/>
              <w:keepLines w:val="0"/>
              <w:pageBreakBefore w:val="0"/>
              <w:widowControl w:val="0"/>
              <w:kinsoku/>
              <w:wordWrap/>
              <w:overflowPunct/>
              <w:topLinePunct w:val="0"/>
              <w:autoSpaceDE/>
              <w:autoSpaceDN/>
              <w:bidi w:val="0"/>
              <w:adjustRightInd w:val="0"/>
              <w:snapToGrid/>
              <w:spacing w:after="0" w:line="360" w:lineRule="auto"/>
              <w:ind w:left="0" w:leftChars="0" w:firstLine="0" w:firstLineChars="0"/>
              <w:textAlignment w:val="auto"/>
              <w:rPr>
                <w:rFonts w:hint="eastAsia" w:ascii="Times New Roman" w:hAnsi="Times New Roman" w:eastAsia="宋体"/>
                <w:b/>
                <w:bCs/>
                <w:color w:val="auto"/>
                <w:sz w:val="24"/>
                <w:highlight w:val="none"/>
                <w:vertAlign w:val="baseline"/>
                <w:lang w:val="en-US" w:eastAsia="zh-CN"/>
              </w:rPr>
            </w:pPr>
            <w:r>
              <w:rPr>
                <w:rFonts w:hint="eastAsia" w:ascii="Times New Roman" w:hAnsi="Times New Roman" w:eastAsia="宋体"/>
                <w:b/>
                <w:bCs/>
                <w:color w:val="auto"/>
                <w:sz w:val="24"/>
                <w:highlight w:val="none"/>
                <w:vertAlign w:val="baseline"/>
                <w:lang w:val="en-US" w:eastAsia="zh-CN"/>
              </w:rPr>
              <w:t>2.1地理位置及平面布置</w:t>
            </w:r>
          </w:p>
          <w:p w14:paraId="735DFE95">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2.1.1地理位置</w:t>
            </w:r>
          </w:p>
          <w:p w14:paraId="3C2CBC29">
            <w:pPr>
              <w:bidi w:val="0"/>
              <w:rPr>
                <w:rFonts w:hint="eastAsia"/>
                <w:highlight w:val="none"/>
                <w:lang w:val="en-US" w:eastAsia="zh-CN"/>
              </w:rPr>
            </w:pPr>
            <w:r>
              <w:rPr>
                <w:rFonts w:hint="default"/>
                <w:lang w:val="en-US" w:eastAsia="zh-CN"/>
              </w:rPr>
              <w:t>本项目位于</w:t>
            </w:r>
            <w:r>
              <w:rPr>
                <w:rFonts w:hint="eastAsia"/>
                <w:lang w:val="en-US" w:eastAsia="zh-CN"/>
              </w:rPr>
              <w:t>本溪市明山区高台子办事处</w:t>
            </w:r>
            <w:r>
              <w:rPr>
                <w:rFonts w:hint="default"/>
                <w:lang w:val="en-US" w:eastAsia="zh-CN"/>
              </w:rPr>
              <w:t>。</w:t>
            </w:r>
            <w:r>
              <w:rPr>
                <w:rFonts w:hint="eastAsia"/>
                <w:lang w:val="en-US" w:eastAsia="zh-CN"/>
              </w:rPr>
              <w:t>中心坐标为</w:t>
            </w:r>
            <w:r>
              <w:rPr>
                <w:rFonts w:hint="default"/>
                <w:lang w:val="en-US" w:eastAsia="zh-CN"/>
              </w:rPr>
              <w:t>东经123度49分9.129秒，北纬 41度20分51.792秒</w:t>
            </w:r>
            <w:r>
              <w:rPr>
                <w:rFonts w:hint="eastAsia"/>
                <w:lang w:val="en-US" w:eastAsia="zh-CN"/>
              </w:rPr>
              <w:t>。和环评位置一致。</w:t>
            </w:r>
            <w:r>
              <w:rPr>
                <w:rFonts w:hint="default"/>
                <w:lang w:val="en-US" w:eastAsia="zh-CN"/>
              </w:rPr>
              <w:t>项目所在区域内无自然保护区、文物古迹等人文</w:t>
            </w:r>
            <w:r>
              <w:rPr>
                <w:rFonts w:hint="default"/>
                <w:highlight w:val="none"/>
                <w:lang w:val="en-US" w:eastAsia="zh-CN"/>
              </w:rPr>
              <w:t>景点，无医院等单位</w:t>
            </w:r>
            <w:r>
              <w:rPr>
                <w:rFonts w:hint="eastAsia"/>
                <w:highlight w:val="none"/>
                <w:lang w:val="en-US" w:eastAsia="zh-CN"/>
              </w:rPr>
              <w:t>。建设项目环境保护目标见下表。</w:t>
            </w:r>
          </w:p>
          <w:p w14:paraId="023AF3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highlight w:val="none"/>
              </w:rPr>
            </w:pPr>
            <w:r>
              <w:rPr>
                <w:rFonts w:hint="eastAsia" w:ascii="黑体" w:hAnsi="黑体" w:eastAsia="黑体" w:cs="黑体"/>
                <w:b w:val="0"/>
                <w:bCs w:val="0"/>
                <w:color w:val="auto"/>
                <w:sz w:val="21"/>
                <w:szCs w:val="21"/>
                <w:highlight w:val="none"/>
              </w:rPr>
              <w:t>表</w:t>
            </w:r>
            <w:r>
              <w:rPr>
                <w:rFonts w:hint="eastAsia" w:ascii="黑体" w:hAnsi="黑体" w:eastAsia="黑体" w:cs="黑体"/>
                <w:b w:val="0"/>
                <w:bCs w:val="0"/>
                <w:color w:val="auto"/>
                <w:sz w:val="21"/>
                <w:szCs w:val="21"/>
                <w:highlight w:val="none"/>
                <w:lang w:val="en-US" w:eastAsia="zh-CN"/>
              </w:rPr>
              <w:t xml:space="preserve">2-1 </w:t>
            </w:r>
            <w:r>
              <w:rPr>
                <w:rFonts w:hint="eastAsia" w:ascii="黑体" w:hAnsi="黑体" w:eastAsia="黑体" w:cs="黑体"/>
                <w:b w:val="0"/>
                <w:bCs w:val="0"/>
                <w:color w:val="auto"/>
                <w:sz w:val="21"/>
                <w:szCs w:val="21"/>
                <w:highlight w:val="none"/>
              </w:rPr>
              <w:t>环境保护目标</w:t>
            </w:r>
          </w:p>
          <w:tbl>
            <w:tblPr>
              <w:tblStyle w:val="25"/>
              <w:tblW w:w="787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9"/>
              <w:gridCol w:w="1039"/>
              <w:gridCol w:w="1132"/>
              <w:gridCol w:w="1304"/>
              <w:gridCol w:w="1070"/>
              <w:gridCol w:w="2461"/>
            </w:tblGrid>
            <w:tr w14:paraId="42D851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tcBorders>
                    <w:tl2br w:val="nil"/>
                    <w:tr2bl w:val="nil"/>
                  </w:tcBorders>
                  <w:noWrap w:val="0"/>
                  <w:vAlign w:val="center"/>
                </w:tcPr>
                <w:p w14:paraId="72F5BABD">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环境要素</w:t>
                  </w:r>
                </w:p>
              </w:tc>
              <w:tc>
                <w:tcPr>
                  <w:tcW w:w="1039" w:type="dxa"/>
                  <w:tcBorders>
                    <w:tl2br w:val="nil"/>
                    <w:tr2bl w:val="nil"/>
                  </w:tcBorders>
                  <w:noWrap w:val="0"/>
                  <w:vAlign w:val="center"/>
                </w:tcPr>
                <w:p w14:paraId="2DDC8F4E">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保护目标</w:t>
                  </w:r>
                </w:p>
              </w:tc>
              <w:tc>
                <w:tcPr>
                  <w:tcW w:w="1132" w:type="dxa"/>
                  <w:tcBorders>
                    <w:tl2br w:val="nil"/>
                    <w:tr2bl w:val="nil"/>
                  </w:tcBorders>
                  <w:noWrap w:val="0"/>
                  <w:vAlign w:val="center"/>
                </w:tcPr>
                <w:p w14:paraId="24867613">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相对位置</w:t>
                  </w:r>
                </w:p>
              </w:tc>
              <w:tc>
                <w:tcPr>
                  <w:tcW w:w="1304" w:type="dxa"/>
                  <w:tcBorders>
                    <w:tl2br w:val="nil"/>
                    <w:tr2bl w:val="nil"/>
                  </w:tcBorders>
                  <w:noWrap w:val="0"/>
                  <w:vAlign w:val="center"/>
                </w:tcPr>
                <w:p w14:paraId="53826CF3">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相对距离m</w:t>
                  </w:r>
                </w:p>
              </w:tc>
              <w:tc>
                <w:tcPr>
                  <w:tcW w:w="1070" w:type="dxa"/>
                  <w:tcBorders>
                    <w:tl2br w:val="nil"/>
                    <w:tr2bl w:val="nil"/>
                  </w:tcBorders>
                  <w:noWrap w:val="0"/>
                  <w:vAlign w:val="center"/>
                </w:tcPr>
                <w:p w14:paraId="40955ABD">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保护内容及规模</w:t>
                  </w:r>
                </w:p>
              </w:tc>
              <w:tc>
                <w:tcPr>
                  <w:tcW w:w="2461" w:type="dxa"/>
                  <w:tcBorders>
                    <w:tl2br w:val="nil"/>
                    <w:tr2bl w:val="nil"/>
                  </w:tcBorders>
                  <w:noWrap w:val="0"/>
                  <w:vAlign w:val="center"/>
                </w:tcPr>
                <w:p w14:paraId="37231576">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保护要求</w:t>
                  </w:r>
                </w:p>
              </w:tc>
            </w:tr>
            <w:tr w14:paraId="5E1085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tcBorders>
                    <w:tl2br w:val="nil"/>
                    <w:tr2bl w:val="nil"/>
                  </w:tcBorders>
                  <w:noWrap w:val="0"/>
                  <w:vAlign w:val="center"/>
                </w:tcPr>
                <w:p w14:paraId="14795823">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环境空气</w:t>
                  </w:r>
                </w:p>
              </w:tc>
              <w:tc>
                <w:tcPr>
                  <w:tcW w:w="1039" w:type="dxa"/>
                  <w:tcBorders>
                    <w:tl2br w:val="nil"/>
                    <w:tr2bl w:val="nil"/>
                  </w:tcBorders>
                  <w:noWrap w:val="0"/>
                  <w:vAlign w:val="center"/>
                </w:tcPr>
                <w:p w14:paraId="45A0AA83">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惠群养老院</w:t>
                  </w:r>
                </w:p>
              </w:tc>
              <w:tc>
                <w:tcPr>
                  <w:tcW w:w="1132" w:type="dxa"/>
                  <w:tcBorders>
                    <w:tl2br w:val="nil"/>
                    <w:tr2bl w:val="nil"/>
                  </w:tcBorders>
                  <w:noWrap w:val="0"/>
                  <w:vAlign w:val="center"/>
                </w:tcPr>
                <w:p w14:paraId="255D09F3">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南</w:t>
                  </w:r>
                </w:p>
              </w:tc>
              <w:tc>
                <w:tcPr>
                  <w:tcW w:w="1304" w:type="dxa"/>
                  <w:tcBorders>
                    <w:tl2br w:val="nil"/>
                    <w:tr2bl w:val="nil"/>
                  </w:tcBorders>
                  <w:noWrap w:val="0"/>
                  <w:vAlign w:val="center"/>
                </w:tcPr>
                <w:p w14:paraId="396C31F0">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490</w:t>
                  </w:r>
                </w:p>
              </w:tc>
              <w:tc>
                <w:tcPr>
                  <w:tcW w:w="1070" w:type="dxa"/>
                  <w:tcBorders>
                    <w:tl2br w:val="nil"/>
                    <w:tr2bl w:val="nil"/>
                  </w:tcBorders>
                  <w:noWrap w:val="0"/>
                  <w:vAlign w:val="center"/>
                </w:tcPr>
                <w:p w14:paraId="779D7CB2">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120人</w:t>
                  </w:r>
                </w:p>
              </w:tc>
              <w:tc>
                <w:tcPr>
                  <w:tcW w:w="2461" w:type="dxa"/>
                  <w:tcBorders>
                    <w:tl2br w:val="nil"/>
                    <w:tr2bl w:val="nil"/>
                  </w:tcBorders>
                  <w:noWrap w:val="0"/>
                  <w:vAlign w:val="center"/>
                </w:tcPr>
                <w:p w14:paraId="083082C0">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《环境空气质量标准》（GB3095-2012 ）二级标准</w:t>
                  </w:r>
                </w:p>
              </w:tc>
            </w:tr>
            <w:tr w14:paraId="3C4399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869" w:type="dxa"/>
                  <w:tcBorders>
                    <w:tl2br w:val="nil"/>
                    <w:tr2bl w:val="nil"/>
                  </w:tcBorders>
                  <w:noWrap w:val="0"/>
                  <w:vAlign w:val="center"/>
                </w:tcPr>
                <w:p w14:paraId="156357A4">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声环境</w:t>
                  </w:r>
                </w:p>
              </w:tc>
              <w:tc>
                <w:tcPr>
                  <w:tcW w:w="4545" w:type="dxa"/>
                  <w:gridSpan w:val="4"/>
                  <w:tcBorders>
                    <w:tl2br w:val="nil"/>
                    <w:tr2bl w:val="nil"/>
                  </w:tcBorders>
                  <w:noWrap w:val="0"/>
                  <w:vAlign w:val="center"/>
                </w:tcPr>
                <w:p w14:paraId="03D9F414">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项目厂界四邻50米范围内为金海建材厂、明达木器厂等工业企业，项目厂界50m范围无声环境保护目标。</w:t>
                  </w:r>
                </w:p>
              </w:tc>
              <w:tc>
                <w:tcPr>
                  <w:tcW w:w="2461" w:type="dxa"/>
                  <w:tcBorders>
                    <w:tl2br w:val="nil"/>
                    <w:tr2bl w:val="nil"/>
                  </w:tcBorders>
                  <w:noWrap w:val="0"/>
                  <w:vAlign w:val="center"/>
                </w:tcPr>
                <w:p w14:paraId="01A5C602">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《声环境质量标准》（GB3096－2008）1类区标准</w:t>
                  </w:r>
                </w:p>
              </w:tc>
            </w:tr>
            <w:tr w14:paraId="0D23A4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869" w:type="dxa"/>
                  <w:tcBorders>
                    <w:tl2br w:val="nil"/>
                    <w:tr2bl w:val="nil"/>
                  </w:tcBorders>
                  <w:noWrap w:val="0"/>
                  <w:vAlign w:val="center"/>
                </w:tcPr>
                <w:p w14:paraId="24D63BA9">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地表水</w:t>
                  </w:r>
                </w:p>
              </w:tc>
              <w:tc>
                <w:tcPr>
                  <w:tcW w:w="4545" w:type="dxa"/>
                  <w:gridSpan w:val="4"/>
                  <w:tcBorders>
                    <w:tl2br w:val="nil"/>
                    <w:tr2bl w:val="nil"/>
                  </w:tcBorders>
                  <w:noWrap w:val="0"/>
                  <w:vAlign w:val="center"/>
                </w:tcPr>
                <w:p w14:paraId="51A947B8">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项目东南侧900米太子河（太子河梁家河沟-大峪水源段）</w:t>
                  </w:r>
                </w:p>
              </w:tc>
              <w:tc>
                <w:tcPr>
                  <w:tcW w:w="2461" w:type="dxa"/>
                  <w:tcBorders>
                    <w:tl2br w:val="nil"/>
                    <w:tr2bl w:val="nil"/>
                  </w:tcBorders>
                  <w:noWrap w:val="0"/>
                  <w:vAlign w:val="center"/>
                </w:tcPr>
                <w:p w14:paraId="58506903">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根据《本溪市地面水环境宏观控制功能区划表》，太子河（太子河梁家河沟-大峪水源段）执行《地表水环境质量标准》（GB3838-2002）地表水Ⅱ类标准</w:t>
                  </w:r>
                </w:p>
              </w:tc>
            </w:tr>
            <w:tr w14:paraId="7A3C45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tcBorders>
                    <w:tl2br w:val="nil"/>
                    <w:tr2bl w:val="nil"/>
                  </w:tcBorders>
                  <w:noWrap w:val="0"/>
                  <w:vAlign w:val="center"/>
                </w:tcPr>
                <w:p w14:paraId="4348F858">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地下水</w:t>
                  </w:r>
                </w:p>
              </w:tc>
              <w:tc>
                <w:tcPr>
                  <w:tcW w:w="4545" w:type="dxa"/>
                  <w:gridSpan w:val="4"/>
                  <w:tcBorders>
                    <w:tl2br w:val="nil"/>
                    <w:tr2bl w:val="nil"/>
                  </w:tcBorders>
                  <w:noWrap w:val="0"/>
                  <w:vAlign w:val="center"/>
                </w:tcPr>
                <w:p w14:paraId="1B116D7C">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本项目厂界外500米范围内无地下水分散式饮用水水源、集中式饮用水水源和热水、矿泉水、温泉等特殊地下水资源分布。</w:t>
                  </w:r>
                </w:p>
              </w:tc>
              <w:tc>
                <w:tcPr>
                  <w:tcW w:w="2461" w:type="dxa"/>
                  <w:tcBorders>
                    <w:tl2br w:val="nil"/>
                    <w:tr2bl w:val="nil"/>
                  </w:tcBorders>
                  <w:noWrap w:val="0"/>
                  <w:vAlign w:val="center"/>
                </w:tcPr>
                <w:p w14:paraId="7EE4C7BD">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《地下水质量标准》</w:t>
                  </w:r>
                </w:p>
                <w:p w14:paraId="7D35F318">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（GB/T14848-2017）III类标准</w:t>
                  </w:r>
                </w:p>
              </w:tc>
            </w:tr>
            <w:tr w14:paraId="1805E5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9" w:type="dxa"/>
                  <w:tcBorders>
                    <w:tl2br w:val="nil"/>
                    <w:tr2bl w:val="nil"/>
                  </w:tcBorders>
                  <w:noWrap w:val="0"/>
                  <w:vAlign w:val="center"/>
                </w:tcPr>
                <w:p w14:paraId="44E3C937">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生态环境</w:t>
                  </w:r>
                </w:p>
              </w:tc>
              <w:tc>
                <w:tcPr>
                  <w:tcW w:w="7006" w:type="dxa"/>
                  <w:gridSpan w:val="5"/>
                  <w:tcBorders>
                    <w:tl2br w:val="nil"/>
                    <w:tr2bl w:val="nil"/>
                  </w:tcBorders>
                  <w:noWrap w:val="0"/>
                  <w:vAlign w:val="center"/>
                </w:tcPr>
                <w:p w14:paraId="39666838">
                  <w:pPr>
                    <w:keepNext w:val="0"/>
                    <w:keepLines w:val="0"/>
                    <w:pageBreakBefore w:val="0"/>
                    <w:widowControl w:val="0"/>
                    <w:numPr>
                      <w:ilvl w:val="0"/>
                      <w:numId w:val="0"/>
                    </w:numPr>
                    <w:kinsoku w:val="0"/>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项目500m范围无国家公园、自然保护区、自然公园等自然保护地、世界自然遗产、生态保护红线等区域、重要生境以及其他需要保护的物种、种群、生物群落及生态空间等生态环境保护目标分布。</w:t>
                  </w:r>
                </w:p>
              </w:tc>
            </w:tr>
          </w:tbl>
          <w:p w14:paraId="654A4C1F">
            <w:pPr>
              <w:pStyle w:val="15"/>
              <w:keepNext w:val="0"/>
              <w:keepLines w:val="0"/>
              <w:pageBreakBefore w:val="0"/>
              <w:widowControl w:val="0"/>
              <w:kinsoku/>
              <w:wordWrap/>
              <w:overflowPunct/>
              <w:topLinePunct w:val="0"/>
              <w:autoSpaceDE/>
              <w:autoSpaceDN/>
              <w:bidi w:val="0"/>
              <w:adjustRightInd w:val="0"/>
              <w:snapToGrid/>
              <w:spacing w:after="0" w:line="360" w:lineRule="auto"/>
              <w:ind w:left="0" w:leftChars="0" w:firstLine="0" w:firstLineChars="0"/>
              <w:textAlignment w:val="auto"/>
              <w:rPr>
                <w:rFonts w:hint="eastAsia" w:ascii="Times New Roman" w:hAnsi="Times New Roman" w:eastAsia="宋体" w:cs="Times New Roman"/>
                <w:color w:val="auto"/>
                <w:kern w:val="2"/>
                <w:sz w:val="24"/>
                <w:szCs w:val="24"/>
                <w:highlight w:val="yellow"/>
                <w:lang w:val="en-US" w:eastAsia="zh-CN" w:bidi="ar-SA"/>
              </w:rPr>
            </w:pPr>
          </w:p>
          <w:p w14:paraId="7909B90B">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2.1.2平面布置情况</w:t>
            </w:r>
          </w:p>
          <w:p w14:paraId="2476AD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本项目为租赁的场地，占地面积为16191m</w:t>
            </w:r>
            <w:r>
              <w:rPr>
                <w:rFonts w:hint="eastAsia" w:ascii="Times New Roman" w:hAnsi="Times New Roman" w:eastAsia="宋体" w:cs="Times New Roman"/>
                <w:color w:val="auto"/>
                <w:kern w:val="2"/>
                <w:sz w:val="24"/>
                <w:szCs w:val="24"/>
                <w:highlight w:val="none"/>
                <w:vertAlign w:val="superscript"/>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w:t>
            </w:r>
            <w:r>
              <w:rPr>
                <w:rFonts w:hint="eastAsia"/>
                <w:color w:val="auto"/>
                <w:sz w:val="24"/>
                <w:szCs w:val="24"/>
                <w:highlight w:val="none"/>
                <w:lang w:val="en-US" w:eastAsia="zh-CN"/>
              </w:rPr>
              <w:t>项目设置封闭生产车间进行生产作业，设有泡沫制品包装生产车间、木制品生产车间、干燥室等密闭车间，总体布置紧凑合理，同时项目周边距离居民较远</w:t>
            </w:r>
            <w:r>
              <w:rPr>
                <w:rFonts w:hint="eastAsia" w:ascii="Times New Roman" w:hAnsi="Times New Roman" w:eastAsia="宋体" w:cs="Times New Roman"/>
                <w:color w:val="auto"/>
                <w:kern w:val="2"/>
                <w:sz w:val="24"/>
                <w:szCs w:val="24"/>
                <w:highlight w:val="none"/>
                <w:lang w:val="en-US" w:eastAsia="zh-CN" w:bidi="ar-SA"/>
              </w:rPr>
              <w:t>。</w:t>
            </w:r>
          </w:p>
          <w:p w14:paraId="66B2EA84">
            <w:pPr>
              <w:pStyle w:val="13"/>
              <w:keepNext w:val="0"/>
              <w:keepLines w:val="0"/>
              <w:pageBreakBefore w:val="0"/>
              <w:widowControl/>
              <w:kinsoku/>
              <w:wordWrap/>
              <w:overflowPunct/>
              <w:topLinePunct w:val="0"/>
              <w:autoSpaceDE/>
              <w:autoSpaceDN/>
              <w:bidi w:val="0"/>
              <w:adjustRightInd w:val="0"/>
              <w:snapToGrid w:val="0"/>
              <w:spacing w:before="0" w:beforeAutospacing="0" w:after="0" w:afterAutospacing="0"/>
              <w:ind w:firstLine="480" w:firstLineChars="200"/>
              <w:textAlignment w:val="auto"/>
              <w:rPr>
                <w:rFonts w:hint="eastAsia" w:ascii="Times New Roman" w:hAnsi="Times New Roman" w:eastAsia="宋体" w:cs="Times New Roman"/>
                <w:kern w:val="0"/>
                <w:sz w:val="24"/>
                <w:szCs w:val="24"/>
                <w:highlight w:val="none"/>
                <w:lang w:val="en-US" w:eastAsia="zh-CN" w:bidi="ar-SA"/>
              </w:rPr>
            </w:pPr>
            <w:r>
              <w:rPr>
                <w:rFonts w:hint="eastAsia" w:ascii="Times New Roman" w:hAnsi="Times New Roman" w:cs="Times New Roman"/>
                <w:sz w:val="24"/>
                <w:szCs w:val="24"/>
                <w:highlight w:val="none"/>
                <w:lang w:eastAsia="zh-CN"/>
              </w:rPr>
              <w:t>本项目</w:t>
            </w:r>
            <w:r>
              <w:rPr>
                <w:rFonts w:hint="eastAsia" w:ascii="Times New Roman" w:hAnsi="Times New Roman" w:cs="Times New Roman"/>
                <w:sz w:val="24"/>
                <w:szCs w:val="24"/>
                <w:highlight w:val="none"/>
              </w:rPr>
              <w:t>平面布置图见附图</w:t>
            </w:r>
            <w:r>
              <w:rPr>
                <w:rFonts w:hint="eastAsia" w:ascii="Times New Roman" w:hAnsi="Times New Roman" w:cs="Times New Roman"/>
                <w:sz w:val="24"/>
                <w:szCs w:val="24"/>
                <w:highlight w:val="none"/>
                <w:lang w:val="en-US" w:eastAsia="zh-CN"/>
              </w:rPr>
              <w:t>6</w:t>
            </w:r>
            <w:r>
              <w:rPr>
                <w:rFonts w:hint="eastAsia" w:ascii="Times New Roman" w:hAnsi="Times New Roman" w:cs="Times New Roman"/>
                <w:sz w:val="24"/>
                <w:szCs w:val="24"/>
                <w:highlight w:val="none"/>
                <w:lang w:eastAsia="zh-CN"/>
              </w:rPr>
              <w:t>。</w:t>
            </w:r>
          </w:p>
          <w:p w14:paraId="3C9164B0">
            <w:pPr>
              <w:pStyle w:val="15"/>
              <w:keepNext w:val="0"/>
              <w:keepLines w:val="0"/>
              <w:pageBreakBefore w:val="0"/>
              <w:widowControl w:val="0"/>
              <w:kinsoku/>
              <w:wordWrap/>
              <w:overflowPunct/>
              <w:topLinePunct w:val="0"/>
              <w:autoSpaceDE/>
              <w:autoSpaceDN/>
              <w:bidi w:val="0"/>
              <w:adjustRightInd w:val="0"/>
              <w:snapToGrid/>
              <w:spacing w:after="0" w:line="360" w:lineRule="auto"/>
              <w:ind w:left="0" w:leftChars="0" w:firstLine="0" w:firstLineChars="0"/>
              <w:textAlignment w:val="auto"/>
              <w:rPr>
                <w:rFonts w:hint="eastAsia" w:ascii="Times New Roman" w:hAnsi="Times New Roman" w:eastAsia="宋体" w:cs="Times New Roman"/>
                <w:b/>
                <w:bCs/>
                <w:color w:val="auto"/>
                <w:sz w:val="24"/>
                <w:highlight w:val="none"/>
                <w:vertAlign w:val="baseline"/>
                <w:lang w:val="en-US" w:eastAsia="zh-CN"/>
              </w:rPr>
            </w:pPr>
            <w:r>
              <w:rPr>
                <w:rFonts w:hint="eastAsia" w:ascii="Times New Roman" w:hAnsi="Times New Roman" w:eastAsia="宋体" w:cs="Times New Roman"/>
                <w:b/>
                <w:bCs/>
                <w:color w:val="auto"/>
                <w:sz w:val="24"/>
                <w:highlight w:val="none"/>
                <w:vertAlign w:val="baseline"/>
                <w:lang w:val="en-US" w:eastAsia="zh-CN"/>
              </w:rPr>
              <w:t>2.2建设内容</w:t>
            </w:r>
          </w:p>
          <w:p w14:paraId="7E94D96A">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2.2.1工程内容及建设内容</w:t>
            </w:r>
          </w:p>
          <w:p w14:paraId="30E303B4">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本溪市华宇木业有限公司木制品及泡沫制品包装生产线建设项目位于本溪市明山区高台子办事处，</w:t>
            </w:r>
            <w:r>
              <w:rPr>
                <w:rFonts w:hint="eastAsia" w:ascii="Times New Roman" w:hAnsi="Times New Roman" w:cs="Times New Roman"/>
                <w:color w:val="auto"/>
                <w:kern w:val="2"/>
                <w:sz w:val="24"/>
                <w:szCs w:val="24"/>
                <w:highlight w:val="none"/>
                <w:lang w:val="en-US" w:eastAsia="zh-CN" w:bidi="ar-SA"/>
              </w:rPr>
              <w:t>企业</w:t>
            </w:r>
            <w:r>
              <w:rPr>
                <w:rFonts w:hint="eastAsia" w:ascii="Times New Roman" w:hAnsi="Times New Roman" w:eastAsia="宋体" w:cs="Times New Roman"/>
                <w:color w:val="auto"/>
                <w:kern w:val="2"/>
                <w:sz w:val="24"/>
                <w:szCs w:val="24"/>
                <w:highlight w:val="none"/>
                <w:lang w:val="en-US" w:eastAsia="zh-CN" w:bidi="ar-SA"/>
              </w:rPr>
              <w:t>厂区占地面积16191m</w:t>
            </w:r>
            <w:r>
              <w:rPr>
                <w:rFonts w:hint="eastAsia" w:ascii="Times New Roman" w:hAnsi="Times New Roman" w:eastAsia="宋体" w:cs="Times New Roman"/>
                <w:color w:val="auto"/>
                <w:kern w:val="2"/>
                <w:sz w:val="24"/>
                <w:szCs w:val="24"/>
                <w:highlight w:val="none"/>
                <w:vertAlign w:val="superscript"/>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，新建木制品生产线一条，设计生产能力1000m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/a；EPS泡沫制品包装生产线一条，设计生产能力500t/a，并配备相应生产设施及污染治理设施。项目环评与实际建设内容对比一览表见下表所示。</w:t>
            </w:r>
          </w:p>
          <w:p w14:paraId="5839E2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黑体" w:eastAsia="黑体" w:cs="黑体"/>
                <w:b w:val="0"/>
                <w:bCs w:val="0"/>
                <w:color w:val="auto"/>
                <w:sz w:val="21"/>
                <w:szCs w:val="21"/>
                <w:highlight w:val="none"/>
              </w:rPr>
            </w:pPr>
            <w:r>
              <w:rPr>
                <w:rFonts w:hint="eastAsia" w:ascii="黑体" w:hAnsi="黑体" w:eastAsia="黑体" w:cs="黑体"/>
                <w:b w:val="0"/>
                <w:bCs w:val="0"/>
                <w:color w:val="auto"/>
                <w:sz w:val="21"/>
                <w:szCs w:val="21"/>
                <w:highlight w:val="none"/>
              </w:rPr>
              <w:t>表2-</w:t>
            </w:r>
            <w:r>
              <w:rPr>
                <w:rFonts w:hint="eastAsia" w:ascii="黑体" w:hAnsi="黑体" w:eastAsia="黑体" w:cs="黑体"/>
                <w:b w:val="0"/>
                <w:bCs w:val="0"/>
                <w:color w:val="auto"/>
                <w:sz w:val="21"/>
                <w:szCs w:val="21"/>
                <w:highlight w:val="none"/>
                <w:lang w:val="en-US" w:eastAsia="zh-CN"/>
              </w:rPr>
              <w:t>2</w:t>
            </w:r>
            <w:r>
              <w:rPr>
                <w:rFonts w:hint="eastAsia" w:ascii="黑体" w:hAnsi="黑体" w:eastAsia="黑体" w:cs="黑体"/>
                <w:b w:val="0"/>
                <w:bCs w:val="0"/>
                <w:color w:val="auto"/>
                <w:sz w:val="21"/>
                <w:szCs w:val="21"/>
                <w:highlight w:val="none"/>
              </w:rPr>
              <w:t>项目组成一览表</w:t>
            </w:r>
          </w:p>
          <w:tbl>
            <w:tblPr>
              <w:tblStyle w:val="25"/>
              <w:tblW w:w="8100"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7"/>
              <w:gridCol w:w="780"/>
              <w:gridCol w:w="2355"/>
              <w:gridCol w:w="810"/>
              <w:gridCol w:w="2155"/>
              <w:gridCol w:w="1233"/>
            </w:tblGrid>
            <w:tr w14:paraId="63E4FD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restart"/>
                  <w:vAlign w:val="center"/>
                </w:tcPr>
                <w:p w14:paraId="7E2C162C">
                  <w:pPr>
                    <w:pStyle w:val="47"/>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工程组成</w:t>
                  </w:r>
                </w:p>
              </w:tc>
              <w:tc>
                <w:tcPr>
                  <w:tcW w:w="6100" w:type="dxa"/>
                  <w:gridSpan w:val="4"/>
                  <w:vAlign w:val="center"/>
                </w:tcPr>
                <w:p w14:paraId="4EBD5270">
                  <w:pPr>
                    <w:pStyle w:val="47"/>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工程内容</w:t>
                  </w:r>
                </w:p>
              </w:tc>
              <w:tc>
                <w:tcPr>
                  <w:tcW w:w="1233" w:type="dxa"/>
                  <w:vMerge w:val="restart"/>
                  <w:vAlign w:val="center"/>
                </w:tcPr>
                <w:p w14:paraId="5E687947">
                  <w:pPr>
                    <w:pStyle w:val="47"/>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与环评及批复的一致性</w:t>
                  </w:r>
                </w:p>
              </w:tc>
            </w:tr>
            <w:tr w14:paraId="1EC91B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4D1B0CF2">
                  <w:pPr>
                    <w:pStyle w:val="47"/>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3135" w:type="dxa"/>
                  <w:gridSpan w:val="2"/>
                  <w:vAlign w:val="center"/>
                </w:tcPr>
                <w:p w14:paraId="70A1C662">
                  <w:pPr>
                    <w:pStyle w:val="47"/>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环评中建设内容</w:t>
                  </w:r>
                </w:p>
              </w:tc>
              <w:tc>
                <w:tcPr>
                  <w:tcW w:w="2965" w:type="dxa"/>
                  <w:gridSpan w:val="2"/>
                  <w:vAlign w:val="center"/>
                </w:tcPr>
                <w:p w14:paraId="5F94B98C">
                  <w:pPr>
                    <w:pStyle w:val="47"/>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实际建设内容</w:t>
                  </w:r>
                </w:p>
              </w:tc>
              <w:tc>
                <w:tcPr>
                  <w:tcW w:w="1233" w:type="dxa"/>
                  <w:vMerge w:val="continue"/>
                  <w:vAlign w:val="center"/>
                </w:tcPr>
                <w:p w14:paraId="4D098115">
                  <w:pPr>
                    <w:pStyle w:val="47"/>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r>
            <w:tr w14:paraId="553D9F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restart"/>
                  <w:vAlign w:val="center"/>
                </w:tcPr>
                <w:p w14:paraId="484855A3">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主体工程</w:t>
                  </w:r>
                </w:p>
              </w:tc>
              <w:tc>
                <w:tcPr>
                  <w:tcW w:w="780" w:type="dxa"/>
                  <w:vAlign w:val="center"/>
                </w:tcPr>
                <w:p w14:paraId="692D7EDD">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泡沫制品包装生产车间</w:t>
                  </w:r>
                </w:p>
              </w:tc>
              <w:tc>
                <w:tcPr>
                  <w:tcW w:w="2355" w:type="dxa"/>
                  <w:vAlign w:val="center"/>
                </w:tcPr>
                <w:p w14:paraId="74D62D56">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left"/>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pacing w:val="-10"/>
                      <w:kern w:val="2"/>
                      <w:sz w:val="21"/>
                      <w:szCs w:val="21"/>
                      <w:highlight w:val="none"/>
                      <w:lang w:val="en-US" w:eastAsia="zh-CN" w:bidi="ar-SA"/>
                    </w:rPr>
                    <w:t>位于厂区西侧，建筑面积1200m</w:t>
                  </w:r>
                  <w:r>
                    <w:rPr>
                      <w:rFonts w:hint="default" w:ascii="Times New Roman" w:hAnsi="Times New Roman" w:eastAsia="宋体" w:cs="Times New Roman"/>
                      <w:color w:val="auto"/>
                      <w:spacing w:val="-10"/>
                      <w:kern w:val="2"/>
                      <w:sz w:val="21"/>
                      <w:szCs w:val="21"/>
                      <w:highlight w:val="none"/>
                      <w:vertAlign w:val="superscript"/>
                      <w:lang w:val="en-US" w:eastAsia="zh-CN" w:bidi="ar-SA"/>
                    </w:rPr>
                    <w:t>2</w:t>
                  </w:r>
                  <w:r>
                    <w:rPr>
                      <w:rFonts w:hint="default" w:ascii="Times New Roman" w:hAnsi="Times New Roman" w:eastAsia="宋体" w:cs="Times New Roman"/>
                      <w:color w:val="auto"/>
                      <w:spacing w:val="-10"/>
                      <w:kern w:val="2"/>
                      <w:sz w:val="21"/>
                      <w:szCs w:val="21"/>
                      <w:highlight w:val="none"/>
                      <w:vertAlign w:val="baseline"/>
                      <w:lang w:val="en-US" w:eastAsia="zh-CN" w:bidi="ar-SA"/>
                    </w:rPr>
                    <w:t>，设置</w:t>
                  </w:r>
                  <w:r>
                    <w:rPr>
                      <w:rFonts w:hint="default" w:ascii="Times New Roman" w:hAnsi="Times New Roman" w:eastAsia="宋体" w:cs="Times New Roman"/>
                      <w:color w:val="auto"/>
                      <w:sz w:val="21"/>
                      <w:szCs w:val="21"/>
                      <w:highlight w:val="none"/>
                      <w:lang w:val="en-US" w:eastAsia="zh-CN"/>
                    </w:rPr>
                    <w:t>EPS泡沫制品包装</w:t>
                  </w:r>
                  <w:r>
                    <w:rPr>
                      <w:rFonts w:hint="default" w:ascii="Times New Roman" w:hAnsi="Times New Roman" w:eastAsia="宋体" w:cs="Times New Roman"/>
                      <w:color w:val="auto"/>
                      <w:spacing w:val="-10"/>
                      <w:kern w:val="2"/>
                      <w:sz w:val="21"/>
                      <w:szCs w:val="21"/>
                      <w:highlight w:val="none"/>
                      <w:vertAlign w:val="baseline"/>
                      <w:lang w:val="en-US" w:eastAsia="zh-CN" w:bidi="ar-SA"/>
                    </w:rPr>
                    <w:t>生产线一条，年产EPS泡沫制品包装500t/a，设置预发机、成型机等生产装置。</w:t>
                  </w:r>
                </w:p>
              </w:tc>
              <w:tc>
                <w:tcPr>
                  <w:tcW w:w="810" w:type="dxa"/>
                  <w:vAlign w:val="center"/>
                </w:tcPr>
                <w:p w14:paraId="37F3EB14">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泡沫制品包装生产车间</w:t>
                  </w:r>
                </w:p>
              </w:tc>
              <w:tc>
                <w:tcPr>
                  <w:tcW w:w="2155" w:type="dxa"/>
                  <w:vAlign w:val="center"/>
                </w:tcPr>
                <w:p w14:paraId="4F749067">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left"/>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pacing w:val="-10"/>
                      <w:kern w:val="2"/>
                      <w:sz w:val="21"/>
                      <w:szCs w:val="21"/>
                      <w:highlight w:val="none"/>
                      <w:lang w:val="en-US" w:eastAsia="zh-CN" w:bidi="ar-SA"/>
                    </w:rPr>
                    <w:t>位于厂区</w:t>
                  </w:r>
                  <w:r>
                    <w:rPr>
                      <w:rFonts w:hint="eastAsia" w:ascii="Times New Roman" w:hAnsi="Times New Roman" w:eastAsia="宋体" w:cs="Times New Roman"/>
                      <w:color w:val="auto"/>
                      <w:spacing w:val="-10"/>
                      <w:kern w:val="2"/>
                      <w:sz w:val="21"/>
                      <w:szCs w:val="21"/>
                      <w:highlight w:val="none"/>
                      <w:lang w:val="en-US" w:eastAsia="zh-CN" w:bidi="ar-SA"/>
                    </w:rPr>
                    <w:t>东</w:t>
                  </w:r>
                  <w:r>
                    <w:rPr>
                      <w:rFonts w:hint="default" w:ascii="Times New Roman" w:hAnsi="Times New Roman" w:eastAsia="宋体" w:cs="Times New Roman"/>
                      <w:color w:val="auto"/>
                      <w:spacing w:val="-10"/>
                      <w:kern w:val="2"/>
                      <w:sz w:val="21"/>
                      <w:szCs w:val="21"/>
                      <w:highlight w:val="none"/>
                      <w:lang w:val="en-US" w:eastAsia="zh-CN" w:bidi="ar-SA"/>
                    </w:rPr>
                    <w:t>侧，</w:t>
                  </w:r>
                  <w:r>
                    <w:rPr>
                      <w:rFonts w:hint="eastAsia" w:ascii="Times New Roman" w:hAnsi="Times New Roman" w:eastAsia="宋体" w:cs="Times New Roman"/>
                      <w:color w:val="auto"/>
                      <w:spacing w:val="-10"/>
                      <w:kern w:val="2"/>
                      <w:sz w:val="21"/>
                      <w:szCs w:val="21"/>
                      <w:highlight w:val="none"/>
                      <w:lang w:val="en-US" w:eastAsia="zh-CN" w:bidi="ar-SA"/>
                    </w:rPr>
                    <w:t>占地</w:t>
                  </w:r>
                  <w:r>
                    <w:rPr>
                      <w:rFonts w:hint="default" w:ascii="Times New Roman" w:hAnsi="Times New Roman" w:eastAsia="宋体" w:cs="Times New Roman"/>
                      <w:color w:val="auto"/>
                      <w:spacing w:val="-10"/>
                      <w:kern w:val="2"/>
                      <w:sz w:val="21"/>
                      <w:szCs w:val="21"/>
                      <w:highlight w:val="none"/>
                      <w:lang w:val="en-US" w:eastAsia="zh-CN" w:bidi="ar-SA"/>
                    </w:rPr>
                    <w:t>面积</w:t>
                  </w:r>
                  <w:r>
                    <w:rPr>
                      <w:rFonts w:hint="eastAsia" w:ascii="Times New Roman" w:hAnsi="Times New Roman" w:eastAsia="宋体" w:cs="Times New Roman"/>
                      <w:color w:val="auto"/>
                      <w:spacing w:val="-10"/>
                      <w:kern w:val="2"/>
                      <w:sz w:val="21"/>
                      <w:szCs w:val="21"/>
                      <w:highlight w:val="none"/>
                      <w:lang w:val="en-US" w:eastAsia="zh-CN" w:bidi="ar-SA"/>
                    </w:rPr>
                    <w:t>6</w:t>
                  </w:r>
                  <w:r>
                    <w:rPr>
                      <w:rFonts w:hint="default" w:ascii="Times New Roman" w:hAnsi="Times New Roman" w:eastAsia="宋体" w:cs="Times New Roman"/>
                      <w:color w:val="auto"/>
                      <w:spacing w:val="-10"/>
                      <w:kern w:val="2"/>
                      <w:sz w:val="21"/>
                      <w:szCs w:val="21"/>
                      <w:highlight w:val="none"/>
                      <w:lang w:val="en-US" w:eastAsia="zh-CN" w:bidi="ar-SA"/>
                    </w:rPr>
                    <w:t>00m</w:t>
                  </w:r>
                  <w:r>
                    <w:rPr>
                      <w:rFonts w:hint="default" w:ascii="Times New Roman" w:hAnsi="Times New Roman" w:eastAsia="宋体" w:cs="Times New Roman"/>
                      <w:color w:val="auto"/>
                      <w:spacing w:val="-10"/>
                      <w:kern w:val="2"/>
                      <w:sz w:val="21"/>
                      <w:szCs w:val="21"/>
                      <w:highlight w:val="none"/>
                      <w:vertAlign w:val="superscript"/>
                      <w:lang w:val="en-US" w:eastAsia="zh-CN" w:bidi="ar-SA"/>
                    </w:rPr>
                    <w:t>2</w:t>
                  </w:r>
                  <w:r>
                    <w:rPr>
                      <w:rFonts w:hint="eastAsia" w:ascii="Times New Roman" w:hAnsi="Times New Roman" w:eastAsia="宋体" w:cs="Times New Roman"/>
                      <w:color w:val="auto"/>
                      <w:spacing w:val="-10"/>
                      <w:kern w:val="2"/>
                      <w:sz w:val="21"/>
                      <w:szCs w:val="21"/>
                      <w:highlight w:val="none"/>
                      <w:vertAlign w:val="baseline"/>
                      <w:lang w:val="en-US" w:eastAsia="zh-CN" w:bidi="ar-SA"/>
                    </w:rPr>
                    <w:t>（50m*12m）</w:t>
                  </w:r>
                  <w:r>
                    <w:rPr>
                      <w:rFonts w:hint="default" w:ascii="Times New Roman" w:hAnsi="Times New Roman" w:eastAsia="宋体" w:cs="Times New Roman"/>
                      <w:color w:val="auto"/>
                      <w:spacing w:val="-10"/>
                      <w:kern w:val="2"/>
                      <w:sz w:val="21"/>
                      <w:szCs w:val="21"/>
                      <w:highlight w:val="none"/>
                      <w:vertAlign w:val="baseline"/>
                      <w:lang w:val="en-US" w:eastAsia="zh-CN" w:bidi="ar-SA"/>
                    </w:rPr>
                    <w:t>，设置</w:t>
                  </w:r>
                  <w:r>
                    <w:rPr>
                      <w:rFonts w:hint="default" w:ascii="Times New Roman" w:hAnsi="Times New Roman" w:eastAsia="宋体" w:cs="Times New Roman"/>
                      <w:color w:val="auto"/>
                      <w:sz w:val="21"/>
                      <w:szCs w:val="21"/>
                      <w:highlight w:val="none"/>
                      <w:lang w:val="en-US" w:eastAsia="zh-CN"/>
                    </w:rPr>
                    <w:t>EPS泡沫制品包装</w:t>
                  </w:r>
                  <w:r>
                    <w:rPr>
                      <w:rFonts w:hint="default" w:ascii="Times New Roman" w:hAnsi="Times New Roman" w:eastAsia="宋体" w:cs="Times New Roman"/>
                      <w:color w:val="auto"/>
                      <w:spacing w:val="-10"/>
                      <w:kern w:val="2"/>
                      <w:sz w:val="21"/>
                      <w:szCs w:val="21"/>
                      <w:highlight w:val="none"/>
                      <w:vertAlign w:val="baseline"/>
                      <w:lang w:val="en-US" w:eastAsia="zh-CN" w:bidi="ar-SA"/>
                    </w:rPr>
                    <w:t>生产线一条，年产EPS泡沫制品包装500t/a，设置预发机、成型机等生产装置。</w:t>
                  </w:r>
                </w:p>
              </w:tc>
              <w:tc>
                <w:tcPr>
                  <w:tcW w:w="1233" w:type="dxa"/>
                  <w:vAlign w:val="center"/>
                </w:tcPr>
                <w:p w14:paraId="74D28762">
                  <w:pPr>
                    <w:pStyle w:val="47"/>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不一致</w:t>
                  </w:r>
                </w:p>
              </w:tc>
            </w:tr>
            <w:tr w14:paraId="50542D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21F198CF">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b w:val="0"/>
                      <w:bCs w:val="0"/>
                      <w:color w:val="auto"/>
                      <w:sz w:val="21"/>
                      <w:szCs w:val="21"/>
                      <w:highlight w:val="none"/>
                      <w:lang w:val="en-US" w:eastAsia="zh-CN"/>
                    </w:rPr>
                  </w:pPr>
                </w:p>
              </w:tc>
              <w:tc>
                <w:tcPr>
                  <w:tcW w:w="780" w:type="dxa"/>
                  <w:vAlign w:val="center"/>
                </w:tcPr>
                <w:p w14:paraId="78F2978E">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木制品</w:t>
                  </w:r>
                </w:p>
                <w:p w14:paraId="26EDF7F6">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生产车间</w:t>
                  </w:r>
                </w:p>
              </w:tc>
              <w:tc>
                <w:tcPr>
                  <w:tcW w:w="2355" w:type="dxa"/>
                  <w:vAlign w:val="center"/>
                </w:tcPr>
                <w:p w14:paraId="7CDFCBC8">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left"/>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pacing w:val="-10"/>
                      <w:kern w:val="2"/>
                      <w:sz w:val="21"/>
                      <w:szCs w:val="21"/>
                      <w:highlight w:val="none"/>
                      <w:lang w:val="en-US" w:eastAsia="zh-CN" w:bidi="ar-SA"/>
                    </w:rPr>
                    <w:t>位于厂区西侧，建筑面积500m</w:t>
                  </w:r>
                  <w:r>
                    <w:rPr>
                      <w:rFonts w:hint="default" w:ascii="Times New Roman" w:hAnsi="Times New Roman" w:eastAsia="宋体" w:cs="Times New Roman"/>
                      <w:color w:val="auto"/>
                      <w:spacing w:val="-10"/>
                      <w:kern w:val="2"/>
                      <w:sz w:val="21"/>
                      <w:szCs w:val="21"/>
                      <w:highlight w:val="none"/>
                      <w:vertAlign w:val="superscript"/>
                      <w:lang w:val="en-US" w:eastAsia="zh-CN" w:bidi="ar-SA"/>
                    </w:rPr>
                    <w:t>2</w:t>
                  </w:r>
                  <w:r>
                    <w:rPr>
                      <w:rFonts w:hint="default" w:ascii="Times New Roman" w:hAnsi="Times New Roman" w:eastAsia="宋体" w:cs="Times New Roman"/>
                      <w:color w:val="auto"/>
                      <w:spacing w:val="-10"/>
                      <w:kern w:val="2"/>
                      <w:sz w:val="21"/>
                      <w:szCs w:val="21"/>
                      <w:highlight w:val="none"/>
                      <w:vertAlign w:val="baseline"/>
                      <w:lang w:val="en-US" w:eastAsia="zh-CN" w:bidi="ar-SA"/>
                    </w:rPr>
                    <w:t>，设置一条木制品生产线，生产能力1000m</w:t>
                  </w:r>
                  <w:r>
                    <w:rPr>
                      <w:rFonts w:hint="eastAsia" w:ascii="Times New Roman" w:hAnsi="Times New Roman" w:eastAsia="宋体" w:cs="Times New Roman"/>
                      <w:color w:val="auto"/>
                      <w:spacing w:val="-10"/>
                      <w:kern w:val="2"/>
                      <w:sz w:val="21"/>
                      <w:szCs w:val="21"/>
                      <w:highlight w:val="none"/>
                      <w:vertAlign w:val="superscript"/>
                      <w:lang w:val="en-US" w:eastAsia="zh-CN" w:bidi="ar-SA"/>
                    </w:rPr>
                    <w:t>3</w:t>
                  </w:r>
                  <w:r>
                    <w:rPr>
                      <w:rFonts w:hint="default" w:ascii="Times New Roman" w:hAnsi="Times New Roman" w:eastAsia="宋体" w:cs="Times New Roman"/>
                      <w:color w:val="auto"/>
                      <w:spacing w:val="-10"/>
                      <w:kern w:val="2"/>
                      <w:sz w:val="21"/>
                      <w:szCs w:val="21"/>
                      <w:highlight w:val="none"/>
                      <w:vertAlign w:val="baseline"/>
                      <w:lang w:val="en-US" w:eastAsia="zh-CN" w:bidi="ar-SA"/>
                    </w:rPr>
                    <w:t>/a，设置带锯、截锯等生产装置。</w:t>
                  </w:r>
                </w:p>
              </w:tc>
              <w:tc>
                <w:tcPr>
                  <w:tcW w:w="810" w:type="dxa"/>
                  <w:vAlign w:val="center"/>
                </w:tcPr>
                <w:p w14:paraId="7BCB1712">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木制品</w:t>
                  </w:r>
                </w:p>
                <w:p w14:paraId="6FB4AD28">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生产车间</w:t>
                  </w:r>
                </w:p>
              </w:tc>
              <w:tc>
                <w:tcPr>
                  <w:tcW w:w="2155" w:type="dxa"/>
                  <w:vAlign w:val="center"/>
                </w:tcPr>
                <w:p w14:paraId="30933DDB">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left"/>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pacing w:val="-10"/>
                      <w:kern w:val="2"/>
                      <w:sz w:val="21"/>
                      <w:szCs w:val="21"/>
                      <w:highlight w:val="none"/>
                      <w:lang w:val="en-US" w:eastAsia="zh-CN" w:bidi="ar-SA"/>
                    </w:rPr>
                    <w:t>位于厂区</w:t>
                  </w:r>
                  <w:r>
                    <w:rPr>
                      <w:rFonts w:hint="eastAsia" w:ascii="Times New Roman" w:hAnsi="Times New Roman" w:eastAsia="宋体" w:cs="Times New Roman"/>
                      <w:color w:val="auto"/>
                      <w:spacing w:val="-10"/>
                      <w:kern w:val="2"/>
                      <w:sz w:val="21"/>
                      <w:szCs w:val="21"/>
                      <w:highlight w:val="none"/>
                      <w:lang w:val="en-US" w:eastAsia="zh-CN" w:bidi="ar-SA"/>
                    </w:rPr>
                    <w:t>北</w:t>
                  </w:r>
                  <w:r>
                    <w:rPr>
                      <w:rFonts w:hint="default" w:ascii="Times New Roman" w:hAnsi="Times New Roman" w:eastAsia="宋体" w:cs="Times New Roman"/>
                      <w:color w:val="auto"/>
                      <w:spacing w:val="-10"/>
                      <w:kern w:val="2"/>
                      <w:sz w:val="21"/>
                      <w:szCs w:val="21"/>
                      <w:highlight w:val="none"/>
                      <w:lang w:val="en-US" w:eastAsia="zh-CN" w:bidi="ar-SA"/>
                    </w:rPr>
                    <w:t>侧，</w:t>
                  </w:r>
                  <w:r>
                    <w:rPr>
                      <w:rFonts w:hint="eastAsia" w:ascii="Times New Roman" w:hAnsi="Times New Roman" w:eastAsia="宋体" w:cs="Times New Roman"/>
                      <w:color w:val="auto"/>
                      <w:spacing w:val="-10"/>
                      <w:kern w:val="2"/>
                      <w:sz w:val="21"/>
                      <w:szCs w:val="21"/>
                      <w:highlight w:val="none"/>
                      <w:lang w:val="en-US" w:eastAsia="zh-CN" w:bidi="ar-SA"/>
                    </w:rPr>
                    <w:t>占地</w:t>
                  </w:r>
                  <w:r>
                    <w:rPr>
                      <w:rFonts w:hint="default" w:ascii="Times New Roman" w:hAnsi="Times New Roman" w:eastAsia="宋体" w:cs="Times New Roman"/>
                      <w:color w:val="auto"/>
                      <w:spacing w:val="-10"/>
                      <w:kern w:val="2"/>
                      <w:sz w:val="21"/>
                      <w:szCs w:val="21"/>
                      <w:highlight w:val="none"/>
                      <w:lang w:val="en-US" w:eastAsia="zh-CN" w:bidi="ar-SA"/>
                    </w:rPr>
                    <w:t>面积</w:t>
                  </w:r>
                  <w:r>
                    <w:rPr>
                      <w:rFonts w:hint="eastAsia" w:ascii="Times New Roman" w:hAnsi="Times New Roman" w:eastAsia="宋体" w:cs="Times New Roman"/>
                      <w:color w:val="auto"/>
                      <w:spacing w:val="-10"/>
                      <w:kern w:val="2"/>
                      <w:sz w:val="21"/>
                      <w:szCs w:val="21"/>
                      <w:highlight w:val="none"/>
                      <w:lang w:val="en-US" w:eastAsia="zh-CN" w:bidi="ar-SA"/>
                    </w:rPr>
                    <w:t>225</w:t>
                  </w:r>
                  <w:r>
                    <w:rPr>
                      <w:rFonts w:hint="default" w:ascii="Times New Roman" w:hAnsi="Times New Roman" w:eastAsia="宋体" w:cs="Times New Roman"/>
                      <w:color w:val="auto"/>
                      <w:spacing w:val="-10"/>
                      <w:kern w:val="2"/>
                      <w:sz w:val="21"/>
                      <w:szCs w:val="21"/>
                      <w:highlight w:val="none"/>
                      <w:lang w:val="en-US" w:eastAsia="zh-CN" w:bidi="ar-SA"/>
                    </w:rPr>
                    <w:t>m</w:t>
                  </w:r>
                  <w:r>
                    <w:rPr>
                      <w:rFonts w:hint="default" w:ascii="Times New Roman" w:hAnsi="Times New Roman" w:eastAsia="宋体" w:cs="Times New Roman"/>
                      <w:color w:val="auto"/>
                      <w:spacing w:val="-10"/>
                      <w:kern w:val="2"/>
                      <w:sz w:val="21"/>
                      <w:szCs w:val="21"/>
                      <w:highlight w:val="none"/>
                      <w:vertAlign w:val="superscript"/>
                      <w:lang w:val="en-US" w:eastAsia="zh-CN" w:bidi="ar-SA"/>
                    </w:rPr>
                    <w:t>2</w:t>
                  </w:r>
                  <w:r>
                    <w:rPr>
                      <w:rFonts w:hint="eastAsia" w:ascii="Times New Roman" w:hAnsi="Times New Roman" w:eastAsia="宋体" w:cs="Times New Roman"/>
                      <w:color w:val="auto"/>
                      <w:spacing w:val="-10"/>
                      <w:kern w:val="2"/>
                      <w:sz w:val="21"/>
                      <w:szCs w:val="21"/>
                      <w:highlight w:val="none"/>
                      <w:vertAlign w:val="baseline"/>
                      <w:lang w:val="en-US" w:eastAsia="zh-CN" w:bidi="ar-SA"/>
                    </w:rPr>
                    <w:t>（15m*15m）</w:t>
                  </w:r>
                  <w:r>
                    <w:rPr>
                      <w:rFonts w:hint="default" w:ascii="Times New Roman" w:hAnsi="Times New Roman" w:eastAsia="宋体" w:cs="Times New Roman"/>
                      <w:color w:val="auto"/>
                      <w:spacing w:val="-10"/>
                      <w:kern w:val="2"/>
                      <w:sz w:val="21"/>
                      <w:szCs w:val="21"/>
                      <w:highlight w:val="none"/>
                      <w:vertAlign w:val="baseline"/>
                      <w:lang w:val="en-US" w:eastAsia="zh-CN" w:bidi="ar-SA"/>
                    </w:rPr>
                    <w:t>，设置一条木制品生产线，生产能力1000m</w:t>
                  </w:r>
                  <w:r>
                    <w:rPr>
                      <w:rFonts w:hint="eastAsia" w:ascii="Times New Roman" w:hAnsi="Times New Roman" w:eastAsia="宋体" w:cs="Times New Roman"/>
                      <w:color w:val="auto"/>
                      <w:spacing w:val="-10"/>
                      <w:kern w:val="2"/>
                      <w:sz w:val="21"/>
                      <w:szCs w:val="21"/>
                      <w:highlight w:val="none"/>
                      <w:vertAlign w:val="superscript"/>
                      <w:lang w:val="en-US" w:eastAsia="zh-CN" w:bidi="ar-SA"/>
                    </w:rPr>
                    <w:t>3</w:t>
                  </w:r>
                  <w:r>
                    <w:rPr>
                      <w:rFonts w:hint="default" w:ascii="Times New Roman" w:hAnsi="Times New Roman" w:eastAsia="宋体" w:cs="Times New Roman"/>
                      <w:color w:val="auto"/>
                      <w:spacing w:val="-10"/>
                      <w:kern w:val="2"/>
                      <w:sz w:val="21"/>
                      <w:szCs w:val="21"/>
                      <w:highlight w:val="none"/>
                      <w:vertAlign w:val="baseline"/>
                      <w:lang w:val="en-US" w:eastAsia="zh-CN" w:bidi="ar-SA"/>
                    </w:rPr>
                    <w:t>/a</w:t>
                  </w:r>
                  <w:r>
                    <w:rPr>
                      <w:rFonts w:hint="eastAsia" w:ascii="Times New Roman" w:hAnsi="Times New Roman" w:eastAsia="宋体" w:cs="Times New Roman"/>
                      <w:color w:val="auto"/>
                      <w:spacing w:val="-10"/>
                      <w:kern w:val="2"/>
                      <w:sz w:val="21"/>
                      <w:szCs w:val="21"/>
                      <w:highlight w:val="none"/>
                      <w:vertAlign w:val="baseline"/>
                      <w:lang w:val="en-US" w:eastAsia="zh-CN" w:bidi="ar-SA"/>
                    </w:rPr>
                    <w:t>内含木制品成品区</w:t>
                  </w:r>
                  <w:r>
                    <w:rPr>
                      <w:rFonts w:hint="default" w:ascii="Times New Roman" w:hAnsi="Times New Roman" w:eastAsia="宋体" w:cs="Times New Roman"/>
                      <w:color w:val="auto"/>
                      <w:spacing w:val="-10"/>
                      <w:kern w:val="2"/>
                      <w:sz w:val="21"/>
                      <w:szCs w:val="21"/>
                      <w:highlight w:val="none"/>
                      <w:vertAlign w:val="baseline"/>
                      <w:lang w:val="en-US" w:eastAsia="zh-CN" w:bidi="ar-SA"/>
                    </w:rPr>
                    <w:t>。</w:t>
                  </w:r>
                </w:p>
              </w:tc>
              <w:tc>
                <w:tcPr>
                  <w:tcW w:w="1233" w:type="dxa"/>
                  <w:vAlign w:val="center"/>
                </w:tcPr>
                <w:p w14:paraId="3256FA4A">
                  <w:pPr>
                    <w:keepNext w:val="0"/>
                    <w:keepLines w:val="0"/>
                    <w:pageBreakBefore w:val="0"/>
                    <w:kinsoku/>
                    <w:wordWrap/>
                    <w:overflowPunct/>
                    <w:topLinePunct w:val="0"/>
                    <w:autoSpaceDE/>
                    <w:autoSpaceDN/>
                    <w:bidi w:val="0"/>
                    <w:adjustRightInd w:val="0"/>
                    <w:snapToGrid w:val="0"/>
                    <w:spacing w:before="0" w:beforeAutospacing="0" w:afterAutospacing="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不一致</w:t>
                  </w:r>
                </w:p>
              </w:tc>
            </w:tr>
            <w:tr w14:paraId="453F21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41926225">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b w:val="0"/>
                      <w:bCs w:val="0"/>
                      <w:color w:val="auto"/>
                      <w:sz w:val="21"/>
                      <w:szCs w:val="21"/>
                      <w:highlight w:val="none"/>
                      <w:lang w:val="en-US" w:eastAsia="zh-CN"/>
                    </w:rPr>
                  </w:pPr>
                </w:p>
              </w:tc>
              <w:tc>
                <w:tcPr>
                  <w:tcW w:w="780" w:type="dxa"/>
                  <w:vAlign w:val="center"/>
                </w:tcPr>
                <w:p w14:paraId="346A056B">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干燥室</w:t>
                  </w:r>
                </w:p>
              </w:tc>
              <w:tc>
                <w:tcPr>
                  <w:tcW w:w="2355" w:type="dxa"/>
                  <w:vAlign w:val="center"/>
                </w:tcPr>
                <w:p w14:paraId="7376D775">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both"/>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pacing w:val="-10"/>
                      <w:kern w:val="2"/>
                      <w:sz w:val="21"/>
                      <w:szCs w:val="21"/>
                      <w:highlight w:val="none"/>
                      <w:lang w:val="en-US" w:eastAsia="zh-CN" w:bidi="ar-SA"/>
                    </w:rPr>
                    <w:t>位于厂区北侧，建筑面积150m</w:t>
                  </w:r>
                  <w:r>
                    <w:rPr>
                      <w:rFonts w:hint="default" w:ascii="Times New Roman" w:hAnsi="Times New Roman" w:eastAsia="宋体" w:cs="Times New Roman"/>
                      <w:color w:val="auto"/>
                      <w:spacing w:val="-10"/>
                      <w:kern w:val="2"/>
                      <w:sz w:val="21"/>
                      <w:szCs w:val="21"/>
                      <w:highlight w:val="none"/>
                      <w:vertAlign w:val="superscript"/>
                      <w:lang w:val="en-US" w:eastAsia="zh-CN" w:bidi="ar-SA"/>
                    </w:rPr>
                    <w:t>2</w:t>
                  </w:r>
                  <w:r>
                    <w:rPr>
                      <w:rFonts w:hint="default" w:ascii="Times New Roman" w:hAnsi="Times New Roman" w:eastAsia="宋体" w:cs="Times New Roman"/>
                      <w:color w:val="auto"/>
                      <w:spacing w:val="-10"/>
                      <w:kern w:val="2"/>
                      <w:sz w:val="21"/>
                      <w:szCs w:val="21"/>
                      <w:highlight w:val="none"/>
                      <w:vertAlign w:val="baseline"/>
                      <w:lang w:val="en-US" w:eastAsia="zh-CN" w:bidi="ar-SA"/>
                    </w:rPr>
                    <w:t>，为封闭设置，用于泡沫制品包装干燥。</w:t>
                  </w:r>
                </w:p>
              </w:tc>
              <w:tc>
                <w:tcPr>
                  <w:tcW w:w="810" w:type="dxa"/>
                  <w:vAlign w:val="center"/>
                </w:tcPr>
                <w:p w14:paraId="3C2DDDF3">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干燥室</w:t>
                  </w:r>
                </w:p>
              </w:tc>
              <w:tc>
                <w:tcPr>
                  <w:tcW w:w="2155" w:type="dxa"/>
                  <w:vAlign w:val="center"/>
                </w:tcPr>
                <w:p w14:paraId="58211FF2">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both"/>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pacing w:val="-10"/>
                      <w:kern w:val="2"/>
                      <w:sz w:val="21"/>
                      <w:szCs w:val="21"/>
                      <w:highlight w:val="none"/>
                      <w:lang w:val="en-US" w:eastAsia="zh-CN" w:bidi="ar-SA"/>
                    </w:rPr>
                    <w:t>位于厂区北侧，</w:t>
                  </w:r>
                  <w:r>
                    <w:rPr>
                      <w:rFonts w:hint="eastAsia" w:ascii="Times New Roman" w:hAnsi="Times New Roman" w:eastAsia="宋体" w:cs="Times New Roman"/>
                      <w:color w:val="auto"/>
                      <w:spacing w:val="-10"/>
                      <w:kern w:val="2"/>
                      <w:sz w:val="21"/>
                      <w:szCs w:val="21"/>
                      <w:highlight w:val="none"/>
                      <w:lang w:val="en-US" w:eastAsia="zh-CN" w:bidi="ar-SA"/>
                    </w:rPr>
                    <w:t>共设有6个</w:t>
                  </w:r>
                  <w:r>
                    <w:rPr>
                      <w:rFonts w:hint="eastAsia" w:ascii="Times New Roman" w:hAnsi="Times New Roman" w:eastAsia="宋体" w:cs="Times New Roman"/>
                      <w:color w:val="auto"/>
                      <w:spacing w:val="-10"/>
                      <w:kern w:val="2"/>
                      <w:sz w:val="21"/>
                      <w:szCs w:val="21"/>
                      <w:highlight w:val="none"/>
                      <w:vertAlign w:val="baseline"/>
                      <w:lang w:val="en-US" w:eastAsia="zh-CN" w:bidi="ar-SA"/>
                    </w:rPr>
                    <w:t>密闭干燥室，每个占地为75</w:t>
                  </w:r>
                  <w:r>
                    <w:rPr>
                      <w:rFonts w:hint="default" w:ascii="Times New Roman" w:hAnsi="Times New Roman" w:eastAsia="宋体" w:cs="Times New Roman"/>
                      <w:color w:val="auto"/>
                      <w:spacing w:val="-10"/>
                      <w:kern w:val="2"/>
                      <w:sz w:val="21"/>
                      <w:szCs w:val="21"/>
                      <w:highlight w:val="none"/>
                      <w:lang w:val="en-US" w:eastAsia="zh-CN" w:bidi="ar-SA"/>
                    </w:rPr>
                    <w:t>m</w:t>
                  </w:r>
                  <w:r>
                    <w:rPr>
                      <w:rFonts w:hint="default" w:ascii="Times New Roman" w:hAnsi="Times New Roman" w:eastAsia="宋体" w:cs="Times New Roman"/>
                      <w:color w:val="auto"/>
                      <w:spacing w:val="-10"/>
                      <w:kern w:val="2"/>
                      <w:sz w:val="21"/>
                      <w:szCs w:val="21"/>
                      <w:highlight w:val="none"/>
                      <w:vertAlign w:val="superscript"/>
                      <w:lang w:val="en-US" w:eastAsia="zh-CN" w:bidi="ar-SA"/>
                    </w:rPr>
                    <w:t>2</w:t>
                  </w:r>
                  <w:r>
                    <w:rPr>
                      <w:rFonts w:hint="default" w:ascii="Times New Roman" w:hAnsi="Times New Roman" w:eastAsia="宋体" w:cs="Times New Roman"/>
                      <w:color w:val="auto"/>
                      <w:spacing w:val="-10"/>
                      <w:kern w:val="2"/>
                      <w:sz w:val="21"/>
                      <w:szCs w:val="21"/>
                      <w:highlight w:val="none"/>
                      <w:vertAlign w:val="baseline"/>
                      <w:lang w:val="en-US" w:eastAsia="zh-CN" w:bidi="ar-SA"/>
                    </w:rPr>
                    <w:t>，</w:t>
                  </w:r>
                  <w:r>
                    <w:rPr>
                      <w:rFonts w:hint="eastAsia" w:ascii="Times New Roman" w:hAnsi="Times New Roman" w:eastAsia="宋体" w:cs="Times New Roman"/>
                      <w:color w:val="auto"/>
                      <w:spacing w:val="-10"/>
                      <w:kern w:val="2"/>
                      <w:sz w:val="21"/>
                      <w:szCs w:val="21"/>
                      <w:highlight w:val="none"/>
                      <w:vertAlign w:val="baseline"/>
                      <w:lang w:val="en-US" w:eastAsia="zh-CN" w:bidi="ar-SA"/>
                    </w:rPr>
                    <w:t>整体占地面积为450</w:t>
                  </w:r>
                  <w:r>
                    <w:rPr>
                      <w:rFonts w:hint="default" w:ascii="Times New Roman" w:hAnsi="Times New Roman" w:eastAsia="宋体" w:cs="Times New Roman"/>
                      <w:color w:val="auto"/>
                      <w:spacing w:val="-10"/>
                      <w:kern w:val="2"/>
                      <w:sz w:val="21"/>
                      <w:szCs w:val="21"/>
                      <w:highlight w:val="none"/>
                      <w:lang w:val="en-US" w:eastAsia="zh-CN" w:bidi="ar-SA"/>
                    </w:rPr>
                    <w:t>m</w:t>
                  </w:r>
                  <w:r>
                    <w:rPr>
                      <w:rFonts w:hint="default" w:ascii="Times New Roman" w:hAnsi="Times New Roman" w:eastAsia="宋体" w:cs="Times New Roman"/>
                      <w:color w:val="auto"/>
                      <w:spacing w:val="-10"/>
                      <w:kern w:val="2"/>
                      <w:sz w:val="21"/>
                      <w:szCs w:val="21"/>
                      <w:highlight w:val="none"/>
                      <w:vertAlign w:val="superscript"/>
                      <w:lang w:val="en-US" w:eastAsia="zh-CN" w:bidi="ar-SA"/>
                    </w:rPr>
                    <w:t>2</w:t>
                  </w:r>
                  <w:r>
                    <w:rPr>
                      <w:rFonts w:hint="default" w:ascii="Times New Roman" w:hAnsi="Times New Roman" w:eastAsia="宋体" w:cs="Times New Roman"/>
                      <w:color w:val="auto"/>
                      <w:spacing w:val="-10"/>
                      <w:kern w:val="2"/>
                      <w:sz w:val="21"/>
                      <w:szCs w:val="21"/>
                      <w:highlight w:val="none"/>
                      <w:vertAlign w:val="baseline"/>
                      <w:lang w:val="en-US" w:eastAsia="zh-CN" w:bidi="ar-SA"/>
                    </w:rPr>
                    <w:t>，用于泡沫制品包装干燥。</w:t>
                  </w:r>
                </w:p>
              </w:tc>
              <w:tc>
                <w:tcPr>
                  <w:tcW w:w="1233" w:type="dxa"/>
                  <w:vAlign w:val="center"/>
                </w:tcPr>
                <w:p w14:paraId="7EF6B1B5">
                  <w:pPr>
                    <w:keepNext w:val="0"/>
                    <w:keepLines w:val="0"/>
                    <w:pageBreakBefore w:val="0"/>
                    <w:kinsoku/>
                    <w:wordWrap/>
                    <w:overflowPunct/>
                    <w:topLinePunct w:val="0"/>
                    <w:autoSpaceDE/>
                    <w:autoSpaceDN/>
                    <w:bidi w:val="0"/>
                    <w:adjustRightInd w:val="0"/>
                    <w:snapToGrid w:val="0"/>
                    <w:spacing w:before="0" w:beforeAutospacing="0" w:afterAutospacing="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不一致</w:t>
                  </w:r>
                </w:p>
              </w:tc>
            </w:tr>
            <w:tr w14:paraId="2808EC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restart"/>
                  <w:vAlign w:val="center"/>
                </w:tcPr>
                <w:p w14:paraId="3B80C5F8">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储运工程</w:t>
                  </w:r>
                </w:p>
              </w:tc>
              <w:tc>
                <w:tcPr>
                  <w:tcW w:w="780" w:type="dxa"/>
                  <w:vAlign w:val="center"/>
                </w:tcPr>
                <w:p w14:paraId="1C922863">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聚苯乙烯原料仓库</w:t>
                  </w:r>
                </w:p>
              </w:tc>
              <w:tc>
                <w:tcPr>
                  <w:tcW w:w="2355" w:type="dxa"/>
                  <w:vAlign w:val="center"/>
                </w:tcPr>
                <w:p w14:paraId="4F13751F">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设置封闭聚苯乙烯原料库房一座，位于厂区北侧，占地面积为200m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，进场原料采用封闭袋装。</w:t>
                  </w:r>
                </w:p>
              </w:tc>
              <w:tc>
                <w:tcPr>
                  <w:tcW w:w="810" w:type="dxa"/>
                  <w:vAlign w:val="center"/>
                </w:tcPr>
                <w:p w14:paraId="03E021E9">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聚苯乙烯原料仓库</w:t>
                  </w:r>
                </w:p>
              </w:tc>
              <w:tc>
                <w:tcPr>
                  <w:tcW w:w="2155" w:type="dxa"/>
                  <w:vAlign w:val="center"/>
                </w:tcPr>
                <w:p w14:paraId="198FD2F2">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both"/>
                    <w:textAlignment w:val="auto"/>
                    <w:outlineLvl w:val="9"/>
                    <w:rPr>
                      <w:rFonts w:hint="default" w:ascii="Times New Roman" w:hAnsi="Times New Roman" w:eastAsia="宋体" w:cs="Times New Roman"/>
                      <w:color w:val="auto"/>
                      <w:spacing w:val="-10"/>
                      <w:kern w:val="2"/>
                      <w:sz w:val="21"/>
                      <w:szCs w:val="21"/>
                      <w:highlight w:val="none"/>
                      <w:lang w:val="en-US" w:eastAsia="zh-CN" w:bidi="ar-SA"/>
                    </w:rPr>
                  </w:pPr>
                  <w:r>
                    <w:rPr>
                      <w:rFonts w:hint="default" w:ascii="Times New Roman" w:hAnsi="Times New Roman" w:eastAsia="宋体" w:cs="Times New Roman"/>
                      <w:color w:val="auto"/>
                      <w:spacing w:val="-10"/>
                      <w:kern w:val="2"/>
                      <w:sz w:val="21"/>
                      <w:szCs w:val="21"/>
                      <w:highlight w:val="none"/>
                      <w:lang w:val="en-US" w:eastAsia="zh-CN" w:bidi="ar-SA"/>
                    </w:rPr>
                    <w:t>设置封闭聚苯乙烯原料库房一座，位于厂区北侧，占地面积为200m2</w:t>
                  </w:r>
                  <w:r>
                    <w:rPr>
                      <w:rFonts w:hint="eastAsia" w:ascii="Times New Roman" w:hAnsi="Times New Roman" w:eastAsia="宋体" w:cs="Times New Roman"/>
                      <w:color w:val="auto"/>
                      <w:spacing w:val="-10"/>
                      <w:kern w:val="2"/>
                      <w:sz w:val="21"/>
                      <w:szCs w:val="21"/>
                      <w:highlight w:val="none"/>
                      <w:lang w:val="en-US" w:eastAsia="zh-CN" w:bidi="ar-SA"/>
                    </w:rPr>
                    <w:t>（12.5m*16m）</w:t>
                  </w:r>
                  <w:r>
                    <w:rPr>
                      <w:rFonts w:hint="default" w:ascii="Times New Roman" w:hAnsi="Times New Roman" w:eastAsia="宋体" w:cs="Times New Roman"/>
                      <w:color w:val="auto"/>
                      <w:spacing w:val="-10"/>
                      <w:kern w:val="2"/>
                      <w:sz w:val="21"/>
                      <w:szCs w:val="21"/>
                      <w:highlight w:val="none"/>
                      <w:lang w:val="en-US" w:eastAsia="zh-CN" w:bidi="ar-SA"/>
                    </w:rPr>
                    <w:t>，进场原料采用封闭袋装。</w:t>
                  </w:r>
                </w:p>
              </w:tc>
              <w:tc>
                <w:tcPr>
                  <w:tcW w:w="1233" w:type="dxa"/>
                  <w:vAlign w:val="center"/>
                </w:tcPr>
                <w:p w14:paraId="2438C182">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10"/>
                      <w:kern w:val="2"/>
                      <w:sz w:val="21"/>
                      <w:szCs w:val="21"/>
                      <w:highlight w:val="none"/>
                      <w:lang w:val="en-US" w:eastAsia="zh-CN" w:bidi="ar-SA"/>
                    </w:rPr>
                  </w:pPr>
                  <w:r>
                    <w:rPr>
                      <w:rFonts w:hint="eastAsia" w:ascii="Times New Roman" w:hAnsi="Times New Roman" w:eastAsia="宋体" w:cs="Times New Roman"/>
                      <w:color w:val="auto"/>
                      <w:spacing w:val="-10"/>
                      <w:kern w:val="2"/>
                      <w:sz w:val="21"/>
                      <w:szCs w:val="21"/>
                      <w:highlight w:val="none"/>
                      <w:lang w:val="en-US" w:eastAsia="zh-CN" w:bidi="ar-SA"/>
                    </w:rPr>
                    <w:t>一致</w:t>
                  </w:r>
                </w:p>
              </w:tc>
            </w:tr>
            <w:tr w14:paraId="3D7BAC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176C958E">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p>
              </w:tc>
              <w:tc>
                <w:tcPr>
                  <w:tcW w:w="780" w:type="dxa"/>
                  <w:vAlign w:val="center"/>
                </w:tcPr>
                <w:p w14:paraId="40F5CF37">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eastAsia="zh-CN"/>
                    </w:rPr>
                    <w:t>泡沫</w:t>
                  </w:r>
                  <w:r>
                    <w:rPr>
                      <w:rFonts w:hint="default" w:ascii="Times New Roman" w:hAnsi="Times New Roman" w:eastAsia="宋体" w:cs="Times New Roman"/>
                      <w:color w:val="auto"/>
                      <w:sz w:val="21"/>
                      <w:szCs w:val="21"/>
                      <w:highlight w:val="none"/>
                      <w:lang w:val="en-US" w:eastAsia="zh-CN"/>
                    </w:rPr>
                    <w:t>制品包装</w:t>
                  </w:r>
                  <w:r>
                    <w:rPr>
                      <w:rFonts w:hint="default" w:ascii="Times New Roman" w:hAnsi="Times New Roman" w:eastAsia="宋体" w:cs="Times New Roman"/>
                      <w:color w:val="auto"/>
                      <w:sz w:val="21"/>
                      <w:szCs w:val="21"/>
                      <w:highlight w:val="none"/>
                      <w:lang w:eastAsia="zh-CN"/>
                    </w:rPr>
                    <w:t>成品仓库</w:t>
                  </w:r>
                </w:p>
              </w:tc>
              <w:tc>
                <w:tcPr>
                  <w:tcW w:w="2355" w:type="dxa"/>
                  <w:vAlign w:val="center"/>
                </w:tcPr>
                <w:p w14:paraId="18E16FAF">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设置封闭泡沫成品仓库一座，位于厂区北侧，占地面积为200m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rPr>
                    <w:t>。</w:t>
                  </w:r>
                </w:p>
              </w:tc>
              <w:tc>
                <w:tcPr>
                  <w:tcW w:w="810" w:type="dxa"/>
                  <w:vAlign w:val="center"/>
                </w:tcPr>
                <w:p w14:paraId="604C51F0">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eastAsia="zh-CN"/>
                    </w:rPr>
                    <w:t>泡沫</w:t>
                  </w:r>
                  <w:r>
                    <w:rPr>
                      <w:rFonts w:hint="default" w:ascii="Times New Roman" w:hAnsi="Times New Roman" w:eastAsia="宋体" w:cs="Times New Roman"/>
                      <w:color w:val="auto"/>
                      <w:sz w:val="21"/>
                      <w:szCs w:val="21"/>
                      <w:highlight w:val="none"/>
                      <w:lang w:val="en-US" w:eastAsia="zh-CN"/>
                    </w:rPr>
                    <w:t>制品包装</w:t>
                  </w:r>
                  <w:r>
                    <w:rPr>
                      <w:rFonts w:hint="default" w:ascii="Times New Roman" w:hAnsi="Times New Roman" w:eastAsia="宋体" w:cs="Times New Roman"/>
                      <w:color w:val="auto"/>
                      <w:sz w:val="21"/>
                      <w:szCs w:val="21"/>
                      <w:highlight w:val="none"/>
                      <w:lang w:eastAsia="zh-CN"/>
                    </w:rPr>
                    <w:t>成品仓库</w:t>
                  </w:r>
                </w:p>
              </w:tc>
              <w:tc>
                <w:tcPr>
                  <w:tcW w:w="2155" w:type="dxa"/>
                  <w:vAlign w:val="center"/>
                </w:tcPr>
                <w:p w14:paraId="65FD12CE">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设置封闭泡沫成品仓库一座，位于厂区北侧，占地面积为占地面积为</w:t>
                  </w:r>
                  <w:r>
                    <w:rPr>
                      <w:rFonts w:hint="eastAsia" w:ascii="Times New Roman" w:hAnsi="Times New Roman" w:eastAsia="宋体" w:cs="Times New Roman"/>
                      <w:color w:val="auto"/>
                      <w:sz w:val="21"/>
                      <w:szCs w:val="21"/>
                      <w:highlight w:val="none"/>
                      <w:lang w:val="en-US" w:eastAsia="zh-CN"/>
                    </w:rPr>
                    <w:t>1800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pacing w:val="-10"/>
                      <w:kern w:val="2"/>
                      <w:sz w:val="21"/>
                      <w:szCs w:val="21"/>
                      <w:highlight w:val="none"/>
                      <w:vertAlign w:val="superscript"/>
                      <w:lang w:val="en-US" w:eastAsia="zh-CN" w:bidi="ar-SA"/>
                    </w:rPr>
                    <w:t>2</w:t>
                  </w:r>
                  <w:r>
                    <w:rPr>
                      <w:rFonts w:hint="eastAsia" w:ascii="Times New Roman" w:hAnsi="Times New Roman" w:eastAsia="宋体" w:cs="Times New Roman"/>
                      <w:color w:val="auto"/>
                      <w:spacing w:val="-10"/>
                      <w:kern w:val="2"/>
                      <w:sz w:val="21"/>
                      <w:szCs w:val="21"/>
                      <w:highlight w:val="none"/>
                      <w:vertAlign w:val="baseline"/>
                      <w:lang w:val="en-US" w:eastAsia="zh-CN" w:bidi="ar-SA"/>
                    </w:rPr>
                    <w:t>（60m*30m）</w:t>
                  </w:r>
                  <w:r>
                    <w:rPr>
                      <w:rFonts w:hint="default" w:ascii="Times New Roman" w:hAnsi="Times New Roman" w:eastAsia="宋体" w:cs="Times New Roman"/>
                      <w:color w:val="auto"/>
                      <w:sz w:val="21"/>
                      <w:szCs w:val="21"/>
                      <w:highlight w:val="none"/>
                    </w:rPr>
                    <w:t>。</w:t>
                  </w:r>
                </w:p>
              </w:tc>
              <w:tc>
                <w:tcPr>
                  <w:tcW w:w="1233" w:type="dxa"/>
                  <w:vAlign w:val="center"/>
                </w:tcPr>
                <w:p w14:paraId="0B1D9F63">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不一致</w:t>
                  </w:r>
                </w:p>
              </w:tc>
            </w:tr>
            <w:tr w14:paraId="039174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685E7B17">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p>
              </w:tc>
              <w:tc>
                <w:tcPr>
                  <w:tcW w:w="780" w:type="dxa"/>
                  <w:vAlign w:val="center"/>
                </w:tcPr>
                <w:p w14:paraId="61B1E004">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eastAsia="zh-CN"/>
                    </w:rPr>
                    <w:t>木</w:t>
                  </w:r>
                  <w:r>
                    <w:rPr>
                      <w:rFonts w:hint="default" w:ascii="Times New Roman" w:hAnsi="Times New Roman" w:eastAsia="宋体" w:cs="Times New Roman"/>
                      <w:color w:val="auto"/>
                      <w:sz w:val="21"/>
                      <w:szCs w:val="21"/>
                      <w:highlight w:val="none"/>
                      <w:lang w:val="en-US" w:eastAsia="zh-CN"/>
                    </w:rPr>
                    <w:t>制品</w:t>
                  </w:r>
                  <w:r>
                    <w:rPr>
                      <w:rFonts w:hint="default" w:ascii="Times New Roman" w:hAnsi="Times New Roman" w:eastAsia="宋体" w:cs="Times New Roman"/>
                      <w:color w:val="auto"/>
                      <w:sz w:val="21"/>
                      <w:szCs w:val="21"/>
                      <w:highlight w:val="none"/>
                      <w:lang w:eastAsia="zh-CN"/>
                    </w:rPr>
                    <w:t>成品仓库</w:t>
                  </w:r>
                </w:p>
              </w:tc>
              <w:tc>
                <w:tcPr>
                  <w:tcW w:w="2355" w:type="dxa"/>
                  <w:vAlign w:val="center"/>
                </w:tcPr>
                <w:p w14:paraId="246D20EB">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设置封闭木材成品仓库一座，位于厂区南侧，占地面积为200m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rPr>
                    <w:t>。</w:t>
                  </w:r>
                </w:p>
              </w:tc>
              <w:tc>
                <w:tcPr>
                  <w:tcW w:w="810" w:type="dxa"/>
                  <w:vAlign w:val="center"/>
                </w:tcPr>
                <w:p w14:paraId="65025F98">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eastAsia="zh-CN"/>
                    </w:rPr>
                    <w:t>木</w:t>
                  </w:r>
                  <w:r>
                    <w:rPr>
                      <w:rFonts w:hint="default" w:ascii="Times New Roman" w:hAnsi="Times New Roman" w:eastAsia="宋体" w:cs="Times New Roman"/>
                      <w:color w:val="auto"/>
                      <w:sz w:val="21"/>
                      <w:szCs w:val="21"/>
                      <w:highlight w:val="none"/>
                      <w:lang w:val="en-US" w:eastAsia="zh-CN"/>
                    </w:rPr>
                    <w:t>制品</w:t>
                  </w:r>
                  <w:r>
                    <w:rPr>
                      <w:rFonts w:hint="default" w:ascii="Times New Roman" w:hAnsi="Times New Roman" w:eastAsia="宋体" w:cs="Times New Roman"/>
                      <w:color w:val="auto"/>
                      <w:sz w:val="21"/>
                      <w:szCs w:val="21"/>
                      <w:highlight w:val="none"/>
                      <w:lang w:eastAsia="zh-CN"/>
                    </w:rPr>
                    <w:t>成品仓库</w:t>
                  </w:r>
                </w:p>
              </w:tc>
              <w:tc>
                <w:tcPr>
                  <w:tcW w:w="2155" w:type="dxa"/>
                  <w:vAlign w:val="center"/>
                </w:tcPr>
                <w:p w14:paraId="3819FA9A">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b w:val="0"/>
                      <w:bCs w:val="0"/>
                      <w:color w:val="auto"/>
                      <w:sz w:val="21"/>
                      <w:szCs w:val="21"/>
                      <w:highlight w:val="yellow"/>
                      <w:lang w:val="en-US" w:eastAsia="zh-CN"/>
                    </w:rPr>
                  </w:pPr>
                  <w:r>
                    <w:rPr>
                      <w:rFonts w:hint="eastAsia" w:ascii="Times New Roman" w:hAnsi="Times New Roman" w:eastAsia="宋体" w:cs="Times New Roman"/>
                      <w:color w:val="auto"/>
                      <w:sz w:val="21"/>
                      <w:szCs w:val="21"/>
                      <w:highlight w:val="none"/>
                      <w:lang w:val="en-US" w:eastAsia="zh-CN"/>
                    </w:rPr>
                    <w:t>本项目未设置木制品成品仓库，由于木制品生产线工艺简化，木制品生产车间设备较少，同时为了节约空间，在木制品生产车间内设有</w:t>
                  </w:r>
                  <w:r>
                    <w:rPr>
                      <w:rFonts w:hint="eastAsia" w:ascii="Times New Roman" w:hAnsi="Times New Roman" w:eastAsia="宋体" w:cs="Times New Roman"/>
                      <w:color w:val="auto"/>
                      <w:spacing w:val="-10"/>
                      <w:kern w:val="2"/>
                      <w:sz w:val="21"/>
                      <w:szCs w:val="21"/>
                      <w:highlight w:val="none"/>
                      <w:vertAlign w:val="baseline"/>
                      <w:lang w:val="en-US" w:eastAsia="zh-CN" w:bidi="ar-SA"/>
                    </w:rPr>
                    <w:t>木制品成品区</w:t>
                  </w:r>
                </w:p>
              </w:tc>
              <w:tc>
                <w:tcPr>
                  <w:tcW w:w="1233" w:type="dxa"/>
                  <w:vAlign w:val="center"/>
                </w:tcPr>
                <w:p w14:paraId="3CD5AF1A">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不一致</w:t>
                  </w:r>
                </w:p>
              </w:tc>
            </w:tr>
            <w:tr w14:paraId="2986BD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0E12816F">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p>
              </w:tc>
              <w:tc>
                <w:tcPr>
                  <w:tcW w:w="780" w:type="dxa"/>
                  <w:vAlign w:val="center"/>
                </w:tcPr>
                <w:p w14:paraId="57EDF312">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eastAsia="zh-CN"/>
                    </w:rPr>
                    <w:t>木屑仓库</w:t>
                  </w:r>
                </w:p>
              </w:tc>
              <w:tc>
                <w:tcPr>
                  <w:tcW w:w="2355" w:type="dxa"/>
                  <w:vAlign w:val="center"/>
                </w:tcPr>
                <w:p w14:paraId="3AD8F0D2">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设置封闭木屑仓库一座，位于厂区南侧，占地面积为200m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，收集的木屑采用封闭袋装</w:t>
                  </w:r>
                  <w:r>
                    <w:rPr>
                      <w:rFonts w:hint="default" w:ascii="Times New Roman" w:hAnsi="Times New Roman" w:eastAsia="宋体" w:cs="Times New Roman"/>
                      <w:color w:val="auto"/>
                      <w:sz w:val="21"/>
                      <w:szCs w:val="21"/>
                      <w:highlight w:val="none"/>
                    </w:rPr>
                    <w:t>。</w:t>
                  </w:r>
                </w:p>
              </w:tc>
              <w:tc>
                <w:tcPr>
                  <w:tcW w:w="810" w:type="dxa"/>
                  <w:vAlign w:val="center"/>
                </w:tcPr>
                <w:p w14:paraId="5A5657AF">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eastAsia="zh-CN"/>
                    </w:rPr>
                    <w:t>木屑仓库</w:t>
                  </w:r>
                </w:p>
              </w:tc>
              <w:tc>
                <w:tcPr>
                  <w:tcW w:w="2155" w:type="dxa"/>
                  <w:vAlign w:val="center"/>
                </w:tcPr>
                <w:p w14:paraId="125D64C2">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yellow"/>
                      <w:lang w:val="en-US" w:eastAsia="zh-CN"/>
                    </w:rPr>
                  </w:pPr>
                  <w:r>
                    <w:rPr>
                      <w:rFonts w:hint="eastAsia" w:ascii="Times New Roman" w:hAnsi="Times New Roman" w:eastAsia="宋体" w:cs="Times New Roman"/>
                      <w:color w:val="auto"/>
                      <w:sz w:val="21"/>
                      <w:szCs w:val="21"/>
                      <w:highlight w:val="none"/>
                      <w:lang w:val="en-US" w:eastAsia="zh-CN"/>
                    </w:rPr>
                    <w:t>企业木制品生产线原料直接根据市场需求购买半成品，工艺流程不涉及带锯切割和截锯截尺工序，只通过钉枪固定后形成木制品成品外售，该工序不会产生木边角料，仅产生少量的</w:t>
                  </w:r>
                  <w:r>
                    <w:rPr>
                      <w:rFonts w:hint="default" w:ascii="Times New Roman" w:hAnsi="Times New Roman" w:eastAsia="宋体" w:cs="Times New Roman"/>
                      <w:color w:val="auto"/>
                      <w:sz w:val="21"/>
                      <w:szCs w:val="21"/>
                      <w:highlight w:val="none"/>
                      <w:lang w:val="en-US" w:eastAsia="zh-CN"/>
                    </w:rPr>
                    <w:t>木屑</w:t>
                  </w:r>
                  <w:r>
                    <w:rPr>
                      <w:rFonts w:hint="eastAsia" w:ascii="Times New Roman" w:hAnsi="Times New Roman" w:eastAsia="宋体" w:cs="Times New Roman"/>
                      <w:color w:val="auto"/>
                      <w:sz w:val="21"/>
                      <w:szCs w:val="21"/>
                      <w:highlight w:val="none"/>
                      <w:lang w:val="en-US" w:eastAsia="zh-CN"/>
                    </w:rPr>
                    <w:t>，收集后混入生活垃圾，一起</w:t>
                  </w:r>
                  <w:r>
                    <w:rPr>
                      <w:rFonts w:hint="default" w:ascii="Times New Roman" w:hAnsi="Times New Roman" w:eastAsia="宋体" w:cs="Times New Roman"/>
                      <w:color w:val="auto"/>
                      <w:sz w:val="21"/>
                      <w:szCs w:val="21"/>
                      <w:highlight w:val="none"/>
                      <w:lang w:val="en-US" w:eastAsia="zh-CN"/>
                    </w:rPr>
                    <w:t>由环卫部门清运处理</w:t>
                  </w:r>
                  <w:r>
                    <w:rPr>
                      <w:rFonts w:hint="eastAsia" w:ascii="Times New Roman" w:hAnsi="Times New Roman" w:eastAsia="宋体" w:cs="Times New Roman"/>
                      <w:color w:val="auto"/>
                      <w:sz w:val="21"/>
                      <w:szCs w:val="21"/>
                      <w:highlight w:val="none"/>
                      <w:lang w:val="en-US" w:eastAsia="zh-CN"/>
                    </w:rPr>
                    <w:t>。本项目不设</w:t>
                  </w:r>
                  <w:r>
                    <w:rPr>
                      <w:rFonts w:hint="default" w:ascii="Times New Roman" w:hAnsi="Times New Roman" w:eastAsia="宋体" w:cs="Times New Roman"/>
                      <w:color w:val="auto"/>
                      <w:sz w:val="21"/>
                      <w:szCs w:val="21"/>
                      <w:highlight w:val="none"/>
                      <w:lang w:val="en-US" w:eastAsia="zh-CN"/>
                    </w:rPr>
                    <w:t>木屑仓库</w:t>
                  </w:r>
                </w:p>
              </w:tc>
              <w:tc>
                <w:tcPr>
                  <w:tcW w:w="1233" w:type="dxa"/>
                  <w:vAlign w:val="center"/>
                </w:tcPr>
                <w:p w14:paraId="43ED28C9">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不一致</w:t>
                  </w:r>
                </w:p>
              </w:tc>
            </w:tr>
            <w:tr w14:paraId="4525A3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10B15509">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p>
              </w:tc>
              <w:tc>
                <w:tcPr>
                  <w:tcW w:w="780" w:type="dxa"/>
                  <w:vAlign w:val="center"/>
                </w:tcPr>
                <w:p w14:paraId="75770014">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eastAsia="zh-CN"/>
                    </w:rPr>
                    <w:t>原料木材仓库</w:t>
                  </w:r>
                </w:p>
              </w:tc>
              <w:tc>
                <w:tcPr>
                  <w:tcW w:w="2355" w:type="dxa"/>
                  <w:vAlign w:val="center"/>
                </w:tcPr>
                <w:p w14:paraId="04025BF2">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设置封闭原料木材仓库一座，位于厂区南侧，占地面积为200m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p>
              </w:tc>
              <w:tc>
                <w:tcPr>
                  <w:tcW w:w="810" w:type="dxa"/>
                  <w:vAlign w:val="center"/>
                </w:tcPr>
                <w:p w14:paraId="3C7D66AC">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eastAsia="zh-CN"/>
                    </w:rPr>
                    <w:t>原料木材仓库</w:t>
                  </w:r>
                </w:p>
              </w:tc>
              <w:tc>
                <w:tcPr>
                  <w:tcW w:w="2155" w:type="dxa"/>
                  <w:vAlign w:val="center"/>
                </w:tcPr>
                <w:p w14:paraId="6E432742">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yellow"/>
                      <w:lang w:val="en-US" w:eastAsia="zh-CN"/>
                    </w:rPr>
                  </w:pPr>
                  <w:r>
                    <w:rPr>
                      <w:rFonts w:hint="eastAsia" w:ascii="Times New Roman" w:hAnsi="Times New Roman" w:eastAsia="宋体" w:cs="Times New Roman"/>
                      <w:color w:val="auto"/>
                      <w:sz w:val="21"/>
                      <w:szCs w:val="21"/>
                      <w:highlight w:val="none"/>
                      <w:lang w:val="en-US" w:eastAsia="zh-CN"/>
                    </w:rPr>
                    <w:t>本项目原料木材半成品现用先拉，不设原料木材仓库</w:t>
                  </w:r>
                </w:p>
              </w:tc>
              <w:tc>
                <w:tcPr>
                  <w:tcW w:w="1233" w:type="dxa"/>
                  <w:vAlign w:val="center"/>
                </w:tcPr>
                <w:p w14:paraId="0FDBA670">
                  <w:pPr>
                    <w:keepNext w:val="0"/>
                    <w:keepLines w:val="0"/>
                    <w:pageBreakBefore w:val="0"/>
                    <w:kinsoku/>
                    <w:wordWrap/>
                    <w:overflowPunct/>
                    <w:topLinePunct w:val="0"/>
                    <w:autoSpaceDE/>
                    <w:autoSpaceDN/>
                    <w:bidi w:val="0"/>
                    <w:adjustRightInd w:val="0"/>
                    <w:snapToGrid w:val="0"/>
                    <w:spacing w:before="0" w:beforeAutospacing="0" w:afterAutospacing="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不</w:t>
                  </w:r>
                  <w:r>
                    <w:rPr>
                      <w:rFonts w:hint="eastAsia" w:ascii="Times New Roman" w:hAnsi="Times New Roman" w:eastAsia="宋体" w:cs="Times New Roman"/>
                      <w:b w:val="0"/>
                      <w:bCs w:val="0"/>
                      <w:color w:val="auto"/>
                      <w:sz w:val="21"/>
                      <w:szCs w:val="21"/>
                      <w:highlight w:val="none"/>
                      <w:lang w:val="en-US" w:eastAsia="zh-CN"/>
                    </w:rPr>
                    <w:t>一致</w:t>
                  </w:r>
                </w:p>
              </w:tc>
            </w:tr>
            <w:tr w14:paraId="4FE8B8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46D246E9">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p>
              </w:tc>
              <w:tc>
                <w:tcPr>
                  <w:tcW w:w="780" w:type="dxa"/>
                  <w:vAlign w:val="center"/>
                </w:tcPr>
                <w:p w14:paraId="50310758">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eastAsia="zh-CN"/>
                    </w:rPr>
                    <w:t>办公室</w:t>
                  </w:r>
                </w:p>
              </w:tc>
              <w:tc>
                <w:tcPr>
                  <w:tcW w:w="2355" w:type="dxa"/>
                  <w:vAlign w:val="center"/>
                </w:tcPr>
                <w:p w14:paraId="26A95E1C">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eastAsia"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厂区设置一层办公室一座，位于厂区东侧，占地面积100m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w:t>
                  </w:r>
                </w:p>
              </w:tc>
              <w:tc>
                <w:tcPr>
                  <w:tcW w:w="810" w:type="dxa"/>
                  <w:vAlign w:val="center"/>
                </w:tcPr>
                <w:p w14:paraId="25E943A2">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eastAsia="zh-CN"/>
                    </w:rPr>
                    <w:t>办公室</w:t>
                  </w:r>
                </w:p>
              </w:tc>
              <w:tc>
                <w:tcPr>
                  <w:tcW w:w="2155" w:type="dxa"/>
                  <w:vAlign w:val="center"/>
                </w:tcPr>
                <w:p w14:paraId="7FA159E8">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eastAsia"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厂区设置一层办公室一座，位于厂区东侧，占地面积100m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w:t>
                  </w:r>
                </w:p>
              </w:tc>
              <w:tc>
                <w:tcPr>
                  <w:tcW w:w="1233" w:type="dxa"/>
                  <w:vAlign w:val="center"/>
                </w:tcPr>
                <w:p w14:paraId="1E467267">
                  <w:pPr>
                    <w:keepNext w:val="0"/>
                    <w:keepLines w:val="0"/>
                    <w:pageBreakBefore w:val="0"/>
                    <w:kinsoku/>
                    <w:wordWrap/>
                    <w:overflowPunct/>
                    <w:topLinePunct w:val="0"/>
                    <w:autoSpaceDE/>
                    <w:autoSpaceDN/>
                    <w:bidi w:val="0"/>
                    <w:adjustRightInd w:val="0"/>
                    <w:snapToGrid w:val="0"/>
                    <w:spacing w:before="0" w:beforeAutospacing="0" w:afterAutospacing="0"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一致</w:t>
                  </w:r>
                </w:p>
              </w:tc>
            </w:tr>
            <w:tr w14:paraId="4F92E1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27B0B228">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p>
              </w:tc>
              <w:tc>
                <w:tcPr>
                  <w:tcW w:w="780" w:type="dxa"/>
                  <w:vAlign w:val="center"/>
                </w:tcPr>
                <w:p w14:paraId="61A0D280">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原料运输</w:t>
                  </w:r>
                </w:p>
              </w:tc>
              <w:tc>
                <w:tcPr>
                  <w:tcW w:w="2355" w:type="dxa"/>
                  <w:vAlign w:val="center"/>
                </w:tcPr>
                <w:p w14:paraId="7C9B9C49">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本项目木材原料根据市场环境及生产需求在项目当地木材市场购买；</w:t>
                  </w:r>
                </w:p>
                <w:p w14:paraId="3D8FCCE9">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EPS聚苯乙烯颗粒由大连嘉盛新材料有限公司供给；</w:t>
                  </w:r>
                </w:p>
                <w:p w14:paraId="7033C423">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原料运输均由原料供应单位负责。</w:t>
                  </w:r>
                </w:p>
              </w:tc>
              <w:tc>
                <w:tcPr>
                  <w:tcW w:w="810" w:type="dxa"/>
                  <w:vAlign w:val="center"/>
                </w:tcPr>
                <w:p w14:paraId="366EBA95">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原料运输</w:t>
                  </w:r>
                </w:p>
              </w:tc>
              <w:tc>
                <w:tcPr>
                  <w:tcW w:w="2155" w:type="dxa"/>
                  <w:vAlign w:val="center"/>
                </w:tcPr>
                <w:p w14:paraId="13F267FD">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本项目木材原料根据市场环境及生产需求在项目当地木材市场购买；</w:t>
                  </w:r>
                </w:p>
                <w:p w14:paraId="01DDABB9">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EPS聚苯乙烯颗粒由大连嘉盛新材料有限公司供给；</w:t>
                  </w:r>
                </w:p>
                <w:p w14:paraId="6380A649">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原料运输均由原料供应单位负责。</w:t>
                  </w:r>
                </w:p>
              </w:tc>
              <w:tc>
                <w:tcPr>
                  <w:tcW w:w="1233" w:type="dxa"/>
                  <w:vAlign w:val="center"/>
                </w:tcPr>
                <w:p w14:paraId="5F40B31A">
                  <w:pPr>
                    <w:pStyle w:val="47"/>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一致</w:t>
                  </w:r>
                </w:p>
              </w:tc>
            </w:tr>
            <w:tr w14:paraId="6F913A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73B94138">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p>
              </w:tc>
              <w:tc>
                <w:tcPr>
                  <w:tcW w:w="780" w:type="dxa"/>
                  <w:vAlign w:val="center"/>
                </w:tcPr>
                <w:p w14:paraId="24E8857A">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产品运输</w:t>
                  </w:r>
                </w:p>
              </w:tc>
              <w:tc>
                <w:tcPr>
                  <w:tcW w:w="2355" w:type="dxa"/>
                  <w:vAlign w:val="center"/>
                </w:tcPr>
                <w:p w14:paraId="6D12A230">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eastAsia"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本项目产品由买方运输车负责运输。</w:t>
                  </w:r>
                </w:p>
              </w:tc>
              <w:tc>
                <w:tcPr>
                  <w:tcW w:w="810" w:type="dxa"/>
                  <w:vAlign w:val="center"/>
                </w:tcPr>
                <w:p w14:paraId="11B5EB6A">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产品运输</w:t>
                  </w:r>
                </w:p>
              </w:tc>
              <w:tc>
                <w:tcPr>
                  <w:tcW w:w="2155" w:type="dxa"/>
                  <w:vAlign w:val="center"/>
                </w:tcPr>
                <w:p w14:paraId="67B2A21F">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eastAsia"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本项目产品由买方运输车负责运输。</w:t>
                  </w:r>
                </w:p>
              </w:tc>
              <w:tc>
                <w:tcPr>
                  <w:tcW w:w="1233" w:type="dxa"/>
                  <w:vAlign w:val="center"/>
                </w:tcPr>
                <w:p w14:paraId="017AA8D3">
                  <w:pPr>
                    <w:pStyle w:val="47"/>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一致</w:t>
                  </w:r>
                </w:p>
              </w:tc>
            </w:tr>
            <w:tr w14:paraId="63C7C8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restart"/>
                  <w:vAlign w:val="center"/>
                </w:tcPr>
                <w:p w14:paraId="43D11BF7">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公用工程</w:t>
                  </w:r>
                </w:p>
              </w:tc>
              <w:tc>
                <w:tcPr>
                  <w:tcW w:w="780" w:type="dxa"/>
                  <w:vAlign w:val="center"/>
                </w:tcPr>
                <w:p w14:paraId="6131F4A9">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给水</w:t>
                  </w:r>
                </w:p>
              </w:tc>
              <w:tc>
                <w:tcPr>
                  <w:tcW w:w="2355" w:type="dxa"/>
                  <w:vAlign w:val="center"/>
                </w:tcPr>
                <w:p w14:paraId="399FF1AD">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用水为市政供水管网供给</w:t>
                  </w:r>
                </w:p>
              </w:tc>
              <w:tc>
                <w:tcPr>
                  <w:tcW w:w="810" w:type="dxa"/>
                  <w:vAlign w:val="center"/>
                </w:tcPr>
                <w:p w14:paraId="24432520">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给水</w:t>
                  </w:r>
                </w:p>
              </w:tc>
              <w:tc>
                <w:tcPr>
                  <w:tcW w:w="2155" w:type="dxa"/>
                  <w:vAlign w:val="center"/>
                </w:tcPr>
                <w:p w14:paraId="0204CD29">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用水为市政供水管网供给</w:t>
                  </w:r>
                </w:p>
              </w:tc>
              <w:tc>
                <w:tcPr>
                  <w:tcW w:w="1233" w:type="dxa"/>
                  <w:vAlign w:val="center"/>
                </w:tcPr>
                <w:p w14:paraId="0BCD3CA5">
                  <w:pPr>
                    <w:pStyle w:val="47"/>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一致</w:t>
                  </w:r>
                </w:p>
              </w:tc>
            </w:tr>
            <w:tr w14:paraId="54202C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46112725">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sz w:val="21"/>
                      <w:szCs w:val="21"/>
                      <w:highlight w:val="yellow"/>
                      <w:lang w:val="en-US" w:eastAsia="zh-CN"/>
                    </w:rPr>
                  </w:pPr>
                </w:p>
              </w:tc>
              <w:tc>
                <w:tcPr>
                  <w:tcW w:w="780" w:type="dxa"/>
                  <w:vAlign w:val="center"/>
                </w:tcPr>
                <w:p w14:paraId="11D01AC6">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eastAsia"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排水</w:t>
                  </w:r>
                </w:p>
              </w:tc>
              <w:tc>
                <w:tcPr>
                  <w:tcW w:w="2355" w:type="dxa"/>
                  <w:vAlign w:val="center"/>
                </w:tcPr>
                <w:p w14:paraId="4C7125EF">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①本项目北侧设置化粪池一座（容积为20m</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），员工生活废水经</w:t>
                  </w:r>
                  <w:r>
                    <w:rPr>
                      <w:rFonts w:hint="eastAsia" w:ascii="Times New Roman" w:hAnsi="Times New Roman" w:eastAsia="宋体" w:cs="Times New Roman"/>
                      <w:color w:val="auto"/>
                      <w:kern w:val="2"/>
                      <w:sz w:val="21"/>
                      <w:szCs w:val="21"/>
                      <w:highlight w:val="none"/>
                      <w:lang w:val="en-US" w:eastAsia="zh-CN" w:bidi="ar-SA"/>
                    </w:rPr>
                    <w:t>化粪池</w:t>
                  </w:r>
                  <w:r>
                    <w:rPr>
                      <w:rFonts w:hint="default" w:ascii="Times New Roman" w:hAnsi="Times New Roman" w:eastAsia="宋体" w:cs="Times New Roman"/>
                      <w:color w:val="auto"/>
                      <w:kern w:val="2"/>
                      <w:sz w:val="21"/>
                      <w:szCs w:val="21"/>
                      <w:highlight w:val="none"/>
                      <w:lang w:val="en-US" w:eastAsia="zh-CN" w:bidi="ar-SA"/>
                    </w:rPr>
                    <w:t>处理后排入市政污水管网，最终进入城镇污水处理厂；</w:t>
                  </w:r>
                </w:p>
                <w:p w14:paraId="2517BD34">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②成型机间接冷却水经冷却水循环系统循环使用，不外排；</w:t>
                  </w:r>
                </w:p>
                <w:p w14:paraId="78F23564">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kern w:val="2"/>
                      <w:sz w:val="21"/>
                      <w:szCs w:val="21"/>
                      <w:highlight w:val="none"/>
                      <w:lang w:val="en-US" w:eastAsia="zh-CN" w:bidi="ar-SA"/>
                    </w:rPr>
                    <w:t>③高温蒸汽冷凝水经冷凝水收集池收集后作为冷却补充水，不外排。</w:t>
                  </w:r>
                </w:p>
              </w:tc>
              <w:tc>
                <w:tcPr>
                  <w:tcW w:w="810" w:type="dxa"/>
                  <w:vAlign w:val="center"/>
                </w:tcPr>
                <w:p w14:paraId="7D67E981">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排水</w:t>
                  </w:r>
                </w:p>
              </w:tc>
              <w:tc>
                <w:tcPr>
                  <w:tcW w:w="2155" w:type="dxa"/>
                  <w:vAlign w:val="center"/>
                </w:tcPr>
                <w:p w14:paraId="2D34DA40">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生活污水排入防渗旱厕，定期清掏不外排；脱模工序的间接冷却水（单独存在管道中，不与生产工序接触），循环使用，不外排。</w:t>
                  </w:r>
                  <w:r>
                    <w:rPr>
                      <w:rFonts w:hint="default" w:ascii="Times New Roman" w:hAnsi="Times New Roman" w:eastAsia="宋体" w:cs="Times New Roman"/>
                      <w:color w:val="auto"/>
                      <w:sz w:val="21"/>
                      <w:szCs w:val="21"/>
                      <w:highlight w:val="none"/>
                      <w:lang w:val="en-US" w:eastAsia="zh-CN"/>
                    </w:rPr>
                    <w:t>高温蒸汽冷凝水</w:t>
                  </w:r>
                  <w:r>
                    <w:rPr>
                      <w:rFonts w:hint="eastAsia" w:ascii="Times New Roman" w:hAnsi="Times New Roman" w:eastAsia="宋体" w:cs="Times New Roman"/>
                      <w:color w:val="auto"/>
                      <w:sz w:val="21"/>
                      <w:szCs w:val="21"/>
                      <w:highlight w:val="none"/>
                      <w:lang w:val="en-US" w:eastAsia="zh-CN"/>
                    </w:rPr>
                    <w:t>排入</w:t>
                  </w:r>
                  <w:r>
                    <w:rPr>
                      <w:rFonts w:hint="default" w:ascii="Times New Roman" w:hAnsi="Times New Roman" w:eastAsia="宋体" w:cs="Times New Roman"/>
                      <w:color w:val="auto"/>
                      <w:sz w:val="21"/>
                      <w:szCs w:val="21"/>
                      <w:highlight w:val="none"/>
                      <w:lang w:val="en-US" w:eastAsia="zh-CN"/>
                    </w:rPr>
                    <w:t>收集池（</w:t>
                  </w:r>
                  <w:r>
                    <w:rPr>
                      <w:rFonts w:hint="eastAsia" w:ascii="Times New Roman" w:hAnsi="Times New Roman" w:eastAsia="宋体" w:cs="Times New Roman"/>
                      <w:color w:val="auto"/>
                      <w:sz w:val="21"/>
                      <w:szCs w:val="21"/>
                      <w:highlight w:val="none"/>
                      <w:lang w:val="en-US" w:eastAsia="zh-CN"/>
                    </w:rPr>
                    <w:t>4个收集池，每个</w:t>
                  </w:r>
                  <w:r>
                    <w:rPr>
                      <w:rFonts w:hint="default" w:ascii="Times New Roman" w:hAnsi="Times New Roman" w:eastAsia="宋体" w:cs="Times New Roman"/>
                      <w:color w:val="auto"/>
                      <w:sz w:val="21"/>
                      <w:szCs w:val="21"/>
                      <w:highlight w:val="none"/>
                      <w:lang w:val="en-US" w:eastAsia="zh-CN"/>
                    </w:rPr>
                    <w:t>容积为</w:t>
                  </w: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0m3），收集后送入冷却水循环系统，作为冷却补充水使用，不外排</w:t>
                  </w:r>
                </w:p>
                <w:p w14:paraId="4ECD94DA">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yellow"/>
                      <w:lang w:val="en-US" w:eastAsia="zh-CN"/>
                    </w:rPr>
                  </w:pPr>
                </w:p>
              </w:tc>
              <w:tc>
                <w:tcPr>
                  <w:tcW w:w="1233" w:type="dxa"/>
                  <w:vAlign w:val="center"/>
                </w:tcPr>
                <w:p w14:paraId="241F0ECB">
                  <w:pPr>
                    <w:pStyle w:val="47"/>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不一致</w:t>
                  </w:r>
                </w:p>
              </w:tc>
            </w:tr>
            <w:tr w14:paraId="7B156F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75EE4A28">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p>
              </w:tc>
              <w:tc>
                <w:tcPr>
                  <w:tcW w:w="780" w:type="dxa"/>
                  <w:vAlign w:val="center"/>
                </w:tcPr>
                <w:p w14:paraId="678A5C72">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供电</w:t>
                  </w:r>
                </w:p>
              </w:tc>
              <w:tc>
                <w:tcPr>
                  <w:tcW w:w="2355" w:type="dxa"/>
                  <w:vAlign w:val="center"/>
                </w:tcPr>
                <w:p w14:paraId="12BAB155">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由市政供电管网</w:t>
                  </w:r>
                </w:p>
              </w:tc>
              <w:tc>
                <w:tcPr>
                  <w:tcW w:w="810" w:type="dxa"/>
                  <w:vAlign w:val="center"/>
                </w:tcPr>
                <w:p w14:paraId="06564A30">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供电</w:t>
                  </w:r>
                </w:p>
              </w:tc>
              <w:tc>
                <w:tcPr>
                  <w:tcW w:w="2155" w:type="dxa"/>
                  <w:vAlign w:val="center"/>
                </w:tcPr>
                <w:p w14:paraId="403E0FE6">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由市政供电管网</w:t>
                  </w:r>
                </w:p>
              </w:tc>
              <w:tc>
                <w:tcPr>
                  <w:tcW w:w="1233" w:type="dxa"/>
                  <w:vAlign w:val="center"/>
                </w:tcPr>
                <w:p w14:paraId="598C19A8">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一致</w:t>
                  </w:r>
                </w:p>
              </w:tc>
            </w:tr>
            <w:tr w14:paraId="4ABCD2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6A38FA67">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p>
              </w:tc>
              <w:tc>
                <w:tcPr>
                  <w:tcW w:w="780" w:type="dxa"/>
                  <w:vAlign w:val="center"/>
                </w:tcPr>
                <w:p w14:paraId="2738B70A">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供暖及生产供气</w:t>
                  </w:r>
                </w:p>
              </w:tc>
              <w:tc>
                <w:tcPr>
                  <w:tcW w:w="2355" w:type="dxa"/>
                  <w:vAlign w:val="center"/>
                </w:tcPr>
                <w:p w14:paraId="0395CE33">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本溪热电分公司管道蒸汽供给</w:t>
                  </w:r>
                </w:p>
              </w:tc>
              <w:tc>
                <w:tcPr>
                  <w:tcW w:w="810" w:type="dxa"/>
                  <w:vAlign w:val="center"/>
                </w:tcPr>
                <w:p w14:paraId="01C26527">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供暖及生产供气</w:t>
                  </w:r>
                </w:p>
              </w:tc>
              <w:tc>
                <w:tcPr>
                  <w:tcW w:w="2155" w:type="dxa"/>
                  <w:vAlign w:val="center"/>
                </w:tcPr>
                <w:p w14:paraId="00E20D09">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本溪热电分公司管道蒸汽供给</w:t>
                  </w:r>
                </w:p>
              </w:tc>
              <w:tc>
                <w:tcPr>
                  <w:tcW w:w="1233" w:type="dxa"/>
                  <w:vAlign w:val="center"/>
                </w:tcPr>
                <w:p w14:paraId="651183FC">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一致</w:t>
                  </w:r>
                </w:p>
              </w:tc>
            </w:tr>
            <w:tr w14:paraId="362490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restart"/>
                  <w:vAlign w:val="center"/>
                </w:tcPr>
                <w:p w14:paraId="1CE706F5">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环保工程</w:t>
                  </w:r>
                </w:p>
              </w:tc>
              <w:tc>
                <w:tcPr>
                  <w:tcW w:w="780" w:type="dxa"/>
                  <w:vAlign w:val="center"/>
                </w:tcPr>
                <w:p w14:paraId="0B432D8F">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w:t>
                  </w:r>
                </w:p>
              </w:tc>
              <w:tc>
                <w:tcPr>
                  <w:tcW w:w="2355" w:type="dxa"/>
                  <w:vAlign w:val="center"/>
                </w:tcPr>
                <w:p w14:paraId="54FCFB26">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低噪设备，降噪处理，厂房隔声，建筑物隔声</w:t>
                  </w:r>
                </w:p>
              </w:tc>
              <w:tc>
                <w:tcPr>
                  <w:tcW w:w="810" w:type="dxa"/>
                  <w:vAlign w:val="center"/>
                </w:tcPr>
                <w:p w14:paraId="6B222A5D">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w:t>
                  </w:r>
                </w:p>
              </w:tc>
              <w:tc>
                <w:tcPr>
                  <w:tcW w:w="2155" w:type="dxa"/>
                  <w:vAlign w:val="center"/>
                </w:tcPr>
                <w:p w14:paraId="3C53F259">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本项目选用</w:t>
                  </w:r>
                  <w:r>
                    <w:rPr>
                      <w:rFonts w:hint="default" w:ascii="Times New Roman" w:hAnsi="Times New Roman" w:eastAsia="宋体" w:cs="Times New Roman"/>
                      <w:color w:val="auto"/>
                      <w:sz w:val="21"/>
                      <w:szCs w:val="21"/>
                      <w:highlight w:val="none"/>
                      <w:lang w:val="en-US" w:eastAsia="zh-CN"/>
                    </w:rPr>
                    <w:t>低噪设备，</w:t>
                  </w:r>
                  <w:r>
                    <w:rPr>
                      <w:rFonts w:hint="eastAsia" w:ascii="Times New Roman" w:hAnsi="Times New Roman" w:eastAsia="宋体" w:cs="Times New Roman"/>
                      <w:color w:val="auto"/>
                      <w:sz w:val="21"/>
                      <w:szCs w:val="21"/>
                      <w:highlight w:val="none"/>
                      <w:lang w:val="en-US" w:eastAsia="zh-CN"/>
                    </w:rPr>
                    <w:t>通过</w:t>
                  </w:r>
                  <w:r>
                    <w:rPr>
                      <w:rFonts w:hint="default" w:ascii="Times New Roman" w:hAnsi="Times New Roman" w:eastAsia="宋体" w:cs="Times New Roman"/>
                      <w:color w:val="auto"/>
                      <w:sz w:val="21"/>
                      <w:szCs w:val="21"/>
                      <w:highlight w:val="none"/>
                      <w:lang w:val="en-US" w:eastAsia="zh-CN"/>
                    </w:rPr>
                    <w:t>厂房隔声，建筑物隔声</w:t>
                  </w:r>
                  <w:r>
                    <w:rPr>
                      <w:rFonts w:hint="eastAsia" w:ascii="Times New Roman" w:hAnsi="Times New Roman" w:eastAsia="宋体" w:cs="Times New Roman"/>
                      <w:color w:val="auto"/>
                      <w:sz w:val="21"/>
                      <w:szCs w:val="21"/>
                      <w:highlight w:val="none"/>
                      <w:lang w:val="en-US" w:eastAsia="zh-CN"/>
                    </w:rPr>
                    <w:t>等措施，有效降低噪声</w:t>
                  </w:r>
                </w:p>
              </w:tc>
              <w:tc>
                <w:tcPr>
                  <w:tcW w:w="1233" w:type="dxa"/>
                  <w:vAlign w:val="center"/>
                </w:tcPr>
                <w:p w14:paraId="67957DB2">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一致</w:t>
                  </w:r>
                </w:p>
              </w:tc>
            </w:tr>
            <w:tr w14:paraId="0A2FE8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4CCBDFBD">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p>
              </w:tc>
              <w:tc>
                <w:tcPr>
                  <w:tcW w:w="780" w:type="dxa"/>
                  <w:vAlign w:val="center"/>
                </w:tcPr>
                <w:p w14:paraId="7B657A2F">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废水</w:t>
                  </w:r>
                </w:p>
              </w:tc>
              <w:tc>
                <w:tcPr>
                  <w:tcW w:w="2355" w:type="dxa"/>
                  <w:vAlign w:val="center"/>
                </w:tcPr>
                <w:p w14:paraId="3776C44C">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①生活污水经化粪池（容积为20m3）处理后由污水管网排入本溪市高台子镇污水处理厂；</w:t>
                  </w:r>
                </w:p>
                <w:p w14:paraId="228BBDA0">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②成型机间接冷却水经冷却水循环系统循环使用，不外排；</w:t>
                  </w:r>
                </w:p>
                <w:p w14:paraId="107C2253">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③冷凝水排入厂区冷凝水收集池（容积为10m3），收集后送入冷却水循环系统，作为冷却补充水使用，不外排。</w:t>
                  </w:r>
                </w:p>
              </w:tc>
              <w:tc>
                <w:tcPr>
                  <w:tcW w:w="810" w:type="dxa"/>
                  <w:vAlign w:val="center"/>
                </w:tcPr>
                <w:p w14:paraId="54B672AA">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废水</w:t>
                  </w:r>
                </w:p>
              </w:tc>
              <w:tc>
                <w:tcPr>
                  <w:tcW w:w="2155" w:type="dxa"/>
                  <w:vAlign w:val="center"/>
                </w:tcPr>
                <w:p w14:paraId="5EFD8982">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生活污水排入防渗旱厕，定期清掏不外排；脱模工序的间接冷却水（单独存在管道中，不与生产工序接触），循环使用，不外排。</w:t>
                  </w:r>
                  <w:r>
                    <w:rPr>
                      <w:rFonts w:hint="default" w:ascii="Times New Roman" w:hAnsi="Times New Roman" w:eastAsia="宋体" w:cs="Times New Roman"/>
                      <w:color w:val="auto"/>
                      <w:sz w:val="21"/>
                      <w:szCs w:val="21"/>
                      <w:highlight w:val="none"/>
                      <w:lang w:val="en-US" w:eastAsia="zh-CN"/>
                    </w:rPr>
                    <w:t>高温蒸汽冷凝水</w:t>
                  </w:r>
                  <w:r>
                    <w:rPr>
                      <w:rFonts w:hint="eastAsia" w:ascii="Times New Roman" w:hAnsi="Times New Roman" w:eastAsia="宋体" w:cs="Times New Roman"/>
                      <w:color w:val="auto"/>
                      <w:sz w:val="21"/>
                      <w:szCs w:val="21"/>
                      <w:highlight w:val="none"/>
                      <w:lang w:val="en-US" w:eastAsia="zh-CN"/>
                    </w:rPr>
                    <w:t>排入</w:t>
                  </w:r>
                  <w:r>
                    <w:rPr>
                      <w:rFonts w:hint="default" w:ascii="Times New Roman" w:hAnsi="Times New Roman" w:eastAsia="宋体" w:cs="Times New Roman"/>
                      <w:color w:val="auto"/>
                      <w:sz w:val="21"/>
                      <w:szCs w:val="21"/>
                      <w:highlight w:val="none"/>
                      <w:lang w:val="en-US" w:eastAsia="zh-CN"/>
                    </w:rPr>
                    <w:t>收集池（</w:t>
                  </w:r>
                  <w:r>
                    <w:rPr>
                      <w:rFonts w:hint="eastAsia" w:ascii="Times New Roman" w:hAnsi="Times New Roman" w:eastAsia="宋体" w:cs="Times New Roman"/>
                      <w:color w:val="auto"/>
                      <w:sz w:val="21"/>
                      <w:szCs w:val="21"/>
                      <w:highlight w:val="none"/>
                      <w:lang w:val="en-US" w:eastAsia="zh-CN"/>
                    </w:rPr>
                    <w:t>4个收集池，每个</w:t>
                  </w:r>
                  <w:r>
                    <w:rPr>
                      <w:rFonts w:hint="default" w:ascii="Times New Roman" w:hAnsi="Times New Roman" w:eastAsia="宋体" w:cs="Times New Roman"/>
                      <w:color w:val="auto"/>
                      <w:sz w:val="21"/>
                      <w:szCs w:val="21"/>
                      <w:highlight w:val="none"/>
                      <w:lang w:val="en-US" w:eastAsia="zh-CN"/>
                    </w:rPr>
                    <w:t>容积为</w:t>
                  </w: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0m3），收集后送入冷却水循环系统，作为冷却补充水使用，不外排</w:t>
                  </w:r>
                </w:p>
              </w:tc>
              <w:tc>
                <w:tcPr>
                  <w:tcW w:w="1233" w:type="dxa"/>
                  <w:vAlign w:val="center"/>
                </w:tcPr>
                <w:p w14:paraId="00F52E70">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不一致</w:t>
                  </w:r>
                </w:p>
              </w:tc>
            </w:tr>
            <w:tr w14:paraId="2B03FE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1832FDE9">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p>
              </w:tc>
              <w:tc>
                <w:tcPr>
                  <w:tcW w:w="780" w:type="dxa"/>
                  <w:vAlign w:val="center"/>
                </w:tcPr>
                <w:p w14:paraId="15CFE892">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w:t>
                  </w:r>
                </w:p>
              </w:tc>
              <w:tc>
                <w:tcPr>
                  <w:tcW w:w="2355" w:type="dxa"/>
                  <w:vAlign w:val="center"/>
                </w:tcPr>
                <w:p w14:paraId="30FE1E11">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泡沫制品包装生产车间为封闭设置，预发、成型设备均密闭，且外部设置局部密闭式集气罩；熟化仓为密闭设置；干燥室为封闭正压设置，各产污工序产生的非甲烷总烃经废气收集装置收集后采用三级固定床箱式活性炭吸附装置处理后通过1根15米高排气筒（DA001）排放；颗粒物经袋式除尘器处理后通过15米高排气筒（DA001）排放。</w:t>
                  </w:r>
                </w:p>
                <w:p w14:paraId="280864F1">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②木制品生产车间为封闭设置，带锯、截锯、钉枪设备均设置局部密闭罩，产生的颗粒物经袋式除尘器处理后通过15米高排气筒（DA002）排放。</w:t>
                  </w:r>
                </w:p>
              </w:tc>
              <w:tc>
                <w:tcPr>
                  <w:tcW w:w="810" w:type="dxa"/>
                  <w:vAlign w:val="center"/>
                </w:tcPr>
                <w:p w14:paraId="68723E22">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w:t>
                  </w:r>
                </w:p>
              </w:tc>
              <w:tc>
                <w:tcPr>
                  <w:tcW w:w="2155" w:type="dxa"/>
                  <w:vAlign w:val="center"/>
                </w:tcPr>
                <w:p w14:paraId="372E8909">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泡沫制品</w:t>
                  </w:r>
                  <w:r>
                    <w:rPr>
                      <w:rFonts w:hint="default" w:ascii="Times New Roman" w:hAnsi="Times New Roman" w:eastAsia="宋体" w:cs="Times New Roman"/>
                      <w:color w:val="auto"/>
                      <w:sz w:val="21"/>
                      <w:szCs w:val="21"/>
                      <w:highlight w:val="none"/>
                      <w:lang w:val="en-US" w:eastAsia="zh-CN"/>
                    </w:rPr>
                    <w:t>包装生产车间为封闭设置，预发</w:t>
                  </w:r>
                  <w:r>
                    <w:rPr>
                      <w:rFonts w:hint="eastAsia" w:ascii="Times New Roman" w:hAnsi="Times New Roman" w:eastAsia="宋体" w:cs="Times New Roman"/>
                      <w:color w:val="auto"/>
                      <w:sz w:val="21"/>
                      <w:szCs w:val="21"/>
                      <w:highlight w:val="none"/>
                      <w:lang w:val="en-US" w:eastAsia="zh-CN"/>
                    </w:rPr>
                    <w:t>设备密闭且设密闭式集气罩，</w:t>
                  </w:r>
                  <w:r>
                    <w:rPr>
                      <w:rFonts w:hint="default" w:ascii="Times New Roman" w:hAnsi="Times New Roman" w:eastAsia="宋体" w:cs="Times New Roman"/>
                      <w:color w:val="auto"/>
                      <w:sz w:val="21"/>
                      <w:szCs w:val="21"/>
                      <w:highlight w:val="none"/>
                      <w:lang w:val="en-US" w:eastAsia="zh-CN"/>
                    </w:rPr>
                    <w:t>成型设备</w:t>
                  </w:r>
                  <w:r>
                    <w:rPr>
                      <w:rFonts w:hint="eastAsia" w:ascii="Times New Roman" w:hAnsi="Times New Roman" w:eastAsia="宋体" w:cs="Times New Roman"/>
                      <w:color w:val="auto"/>
                      <w:sz w:val="21"/>
                      <w:szCs w:val="21"/>
                      <w:highlight w:val="none"/>
                      <w:lang w:val="en-US" w:eastAsia="zh-CN"/>
                    </w:rPr>
                    <w:t>为</w:t>
                  </w:r>
                  <w:r>
                    <w:rPr>
                      <w:rFonts w:hint="default" w:ascii="Times New Roman" w:hAnsi="Times New Roman" w:eastAsia="宋体" w:cs="Times New Roman"/>
                      <w:color w:val="auto"/>
                      <w:sz w:val="21"/>
                      <w:szCs w:val="21"/>
                      <w:highlight w:val="none"/>
                      <w:lang w:val="en-US" w:eastAsia="zh-CN"/>
                    </w:rPr>
                    <w:t>密闭，熟化仓为密闭设置；干燥室为封闭</w:t>
                  </w:r>
                  <w:r>
                    <w:rPr>
                      <w:rFonts w:hint="eastAsia" w:ascii="Times New Roman" w:hAnsi="Times New Roman" w:eastAsia="宋体" w:cs="Times New Roman"/>
                      <w:color w:val="auto"/>
                      <w:sz w:val="21"/>
                      <w:szCs w:val="21"/>
                      <w:highlight w:val="none"/>
                      <w:lang w:val="en-US" w:eastAsia="zh-CN"/>
                    </w:rPr>
                    <w:t>负压车间，各生产车间均为封闭负压车间，且内均设有集气管道收集各污染工序产生的废气，生产废气经收集后通过</w:t>
                  </w:r>
                  <w:r>
                    <w:rPr>
                      <w:rFonts w:hint="default" w:ascii="Times New Roman" w:hAnsi="Times New Roman" w:eastAsia="宋体" w:cs="Times New Roman"/>
                      <w:color w:val="auto"/>
                      <w:sz w:val="21"/>
                      <w:szCs w:val="21"/>
                      <w:highlight w:val="none"/>
                      <w:lang w:val="en-US" w:eastAsia="zh-CN"/>
                    </w:rPr>
                    <w:t>活性炭吸附装置</w:t>
                  </w:r>
                  <w:r>
                    <w:rPr>
                      <w:rFonts w:hint="eastAsia" w:ascii="Times New Roman" w:hAnsi="Times New Roman" w:eastAsia="宋体" w:cs="Times New Roman"/>
                      <w:color w:val="auto"/>
                      <w:sz w:val="21"/>
                      <w:szCs w:val="21"/>
                      <w:highlight w:val="none"/>
                      <w:lang w:val="en-US" w:eastAsia="zh-CN"/>
                    </w:rPr>
                    <w:t>及布袋除尘器</w:t>
                  </w:r>
                  <w:r>
                    <w:rPr>
                      <w:rFonts w:hint="default" w:ascii="Times New Roman" w:hAnsi="Times New Roman" w:eastAsia="宋体" w:cs="Times New Roman"/>
                      <w:color w:val="auto"/>
                      <w:sz w:val="21"/>
                      <w:szCs w:val="21"/>
                      <w:highlight w:val="none"/>
                      <w:lang w:val="en-US" w:eastAsia="zh-CN"/>
                    </w:rPr>
                    <w:t>处理后通过1根15米高排气筒（DA001）排放</w:t>
                  </w:r>
                  <w:r>
                    <w:rPr>
                      <w:rFonts w:hint="eastAsia" w:ascii="Times New Roman" w:hAnsi="Times New Roman" w:eastAsia="宋体" w:cs="Times New Roman"/>
                      <w:color w:val="auto"/>
                      <w:sz w:val="21"/>
                      <w:szCs w:val="21"/>
                      <w:highlight w:val="none"/>
                      <w:lang w:val="en-US" w:eastAsia="zh-CN"/>
                    </w:rPr>
                    <w:t>；</w:t>
                  </w:r>
                </w:p>
                <w:p w14:paraId="095E840B">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木制品生产线原料直接根据市场需求购买半成品，工艺流程不涉及带锯切割和截锯截尺工序，只通过钉枪固定后形成木制品成品外售，由于该工序颗粒物产生量较少，同时生产工序位于封闭厂房内，本项目木制品生产线工序未设置袋式除尘器，产生的</w:t>
                  </w:r>
                  <w:r>
                    <w:rPr>
                      <w:rFonts w:hint="default" w:ascii="Times New Roman" w:hAnsi="Times New Roman" w:eastAsia="宋体" w:cs="Times New Roman"/>
                      <w:color w:val="auto"/>
                      <w:sz w:val="21"/>
                      <w:szCs w:val="21"/>
                      <w:highlight w:val="none"/>
                      <w:lang w:val="en-US" w:eastAsia="zh-CN"/>
                    </w:rPr>
                    <w:t>颗粒物</w:t>
                  </w:r>
                  <w:r>
                    <w:rPr>
                      <w:rFonts w:hint="eastAsia" w:ascii="Times New Roman" w:hAnsi="Times New Roman" w:eastAsia="宋体" w:cs="Times New Roman"/>
                      <w:color w:val="auto"/>
                      <w:sz w:val="21"/>
                      <w:szCs w:val="21"/>
                      <w:highlight w:val="none"/>
                      <w:lang w:val="en-US" w:eastAsia="zh-CN"/>
                    </w:rPr>
                    <w:t>为无组织</w:t>
                  </w:r>
                  <w:r>
                    <w:rPr>
                      <w:rFonts w:hint="default" w:ascii="Times New Roman" w:hAnsi="Times New Roman" w:eastAsia="宋体" w:cs="Times New Roman"/>
                      <w:color w:val="auto"/>
                      <w:sz w:val="21"/>
                      <w:szCs w:val="21"/>
                      <w:highlight w:val="none"/>
                      <w:lang w:val="en-US" w:eastAsia="zh-CN"/>
                    </w:rPr>
                    <w:t>排放</w:t>
                  </w:r>
                </w:p>
              </w:tc>
              <w:tc>
                <w:tcPr>
                  <w:tcW w:w="1233" w:type="dxa"/>
                  <w:vAlign w:val="center"/>
                </w:tcPr>
                <w:p w14:paraId="0D47D1B8">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不一致</w:t>
                  </w:r>
                </w:p>
              </w:tc>
            </w:tr>
            <w:tr w14:paraId="054F40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51352406">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p>
              </w:tc>
              <w:tc>
                <w:tcPr>
                  <w:tcW w:w="780" w:type="dxa"/>
                  <w:vMerge w:val="restart"/>
                  <w:vAlign w:val="center"/>
                </w:tcPr>
                <w:p w14:paraId="00139E9D">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固废</w:t>
                  </w:r>
                </w:p>
              </w:tc>
              <w:tc>
                <w:tcPr>
                  <w:tcW w:w="2355" w:type="dxa"/>
                  <w:vAlign w:val="center"/>
                </w:tcPr>
                <w:p w14:paraId="34683347">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职工生活垃圾由环卫部门清运处理</w:t>
                  </w:r>
                </w:p>
              </w:tc>
              <w:tc>
                <w:tcPr>
                  <w:tcW w:w="810" w:type="dxa"/>
                  <w:vMerge w:val="restart"/>
                  <w:vAlign w:val="center"/>
                </w:tcPr>
                <w:p w14:paraId="394D5D18">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固废</w:t>
                  </w:r>
                </w:p>
              </w:tc>
              <w:tc>
                <w:tcPr>
                  <w:tcW w:w="2155" w:type="dxa"/>
                  <w:vAlign w:val="center"/>
                </w:tcPr>
                <w:p w14:paraId="093219F7">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职工生活垃圾由环卫部门清运处理</w:t>
                  </w:r>
                </w:p>
              </w:tc>
              <w:tc>
                <w:tcPr>
                  <w:tcW w:w="1233" w:type="dxa"/>
                  <w:vAlign w:val="center"/>
                </w:tcPr>
                <w:p w14:paraId="2AA0749E">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一致</w:t>
                  </w:r>
                </w:p>
              </w:tc>
            </w:tr>
            <w:tr w14:paraId="5BEC25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25A8A73C">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p>
              </w:tc>
              <w:tc>
                <w:tcPr>
                  <w:tcW w:w="780" w:type="dxa"/>
                  <w:vMerge w:val="continue"/>
                  <w:vAlign w:val="center"/>
                </w:tcPr>
                <w:p w14:paraId="0F3709E3">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2355" w:type="dxa"/>
                  <w:vAlign w:val="center"/>
                </w:tcPr>
                <w:p w14:paraId="37F18318">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泡沫边角料经包装袋收集后，暂存于聚苯乙烯原料库，</w:t>
                  </w:r>
                  <w:r>
                    <w:rPr>
                      <w:rFonts w:hint="eastAsia" w:ascii="Times New Roman" w:hAnsi="Times New Roman" w:eastAsia="宋体" w:cs="Times New Roman"/>
                      <w:color w:val="auto"/>
                      <w:sz w:val="21"/>
                      <w:szCs w:val="21"/>
                      <w:highlight w:val="none"/>
                      <w:lang w:val="en-US" w:eastAsia="zh-CN"/>
                    </w:rPr>
                    <w:t>由</w:t>
                  </w:r>
                  <w:r>
                    <w:rPr>
                      <w:rFonts w:hint="default" w:ascii="Times New Roman" w:hAnsi="Times New Roman" w:eastAsia="宋体" w:cs="Times New Roman"/>
                      <w:color w:val="auto"/>
                      <w:sz w:val="21"/>
                      <w:szCs w:val="21"/>
                      <w:highlight w:val="none"/>
                      <w:lang w:val="en-US" w:eastAsia="zh-CN"/>
                    </w:rPr>
                    <w:t>环卫部门处理。</w:t>
                  </w:r>
                </w:p>
              </w:tc>
              <w:tc>
                <w:tcPr>
                  <w:tcW w:w="810" w:type="dxa"/>
                  <w:vMerge w:val="continue"/>
                  <w:vAlign w:val="center"/>
                </w:tcPr>
                <w:p w14:paraId="5BD25660">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eastAsia" w:ascii="Times New Roman" w:hAnsi="Times New Roman" w:eastAsia="宋体" w:cs="Times New Roman"/>
                      <w:color w:val="auto"/>
                      <w:sz w:val="21"/>
                      <w:szCs w:val="21"/>
                      <w:highlight w:val="none"/>
                      <w:lang w:val="en-US" w:eastAsia="zh-CN"/>
                    </w:rPr>
                  </w:pPr>
                </w:p>
              </w:tc>
              <w:tc>
                <w:tcPr>
                  <w:tcW w:w="2155" w:type="dxa"/>
                  <w:vAlign w:val="center"/>
                </w:tcPr>
                <w:p w14:paraId="4E2881FB">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泡沫边角料经包装袋收集后，</w:t>
                  </w:r>
                  <w:r>
                    <w:rPr>
                      <w:rFonts w:hint="eastAsia" w:ascii="Times New Roman" w:hAnsi="Times New Roman" w:eastAsia="宋体" w:cs="Times New Roman"/>
                      <w:color w:val="auto"/>
                      <w:sz w:val="21"/>
                      <w:szCs w:val="21"/>
                      <w:highlight w:val="none"/>
                      <w:lang w:val="en-US" w:eastAsia="zh-CN"/>
                    </w:rPr>
                    <w:t>由</w:t>
                  </w:r>
                  <w:r>
                    <w:rPr>
                      <w:rFonts w:hint="default" w:ascii="Times New Roman" w:hAnsi="Times New Roman" w:eastAsia="宋体" w:cs="Times New Roman"/>
                      <w:color w:val="auto"/>
                      <w:sz w:val="21"/>
                      <w:szCs w:val="21"/>
                      <w:highlight w:val="none"/>
                      <w:lang w:val="en-US" w:eastAsia="zh-CN"/>
                    </w:rPr>
                    <w:t>环卫部门处理。</w:t>
                  </w:r>
                </w:p>
              </w:tc>
              <w:tc>
                <w:tcPr>
                  <w:tcW w:w="1233" w:type="dxa"/>
                  <w:vAlign w:val="center"/>
                </w:tcPr>
                <w:p w14:paraId="0262E942">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一致</w:t>
                  </w:r>
                </w:p>
              </w:tc>
            </w:tr>
            <w:tr w14:paraId="7203A7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58545CA2">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p>
              </w:tc>
              <w:tc>
                <w:tcPr>
                  <w:tcW w:w="780" w:type="dxa"/>
                  <w:vMerge w:val="continue"/>
                  <w:vAlign w:val="center"/>
                </w:tcPr>
                <w:p w14:paraId="78281A06">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2355" w:type="dxa"/>
                  <w:vAlign w:val="center"/>
                </w:tcPr>
                <w:p w14:paraId="56AFBD9E">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厂区南侧设置木屑仓库一座，占地面积200m2，木边角料、木屑经包装袋收集后，暂存于木屑仓库，</w:t>
                  </w:r>
                  <w:r>
                    <w:rPr>
                      <w:rFonts w:hint="eastAsia" w:ascii="Times New Roman" w:hAnsi="Times New Roman" w:eastAsia="宋体" w:cs="Times New Roman"/>
                      <w:color w:val="auto"/>
                      <w:sz w:val="21"/>
                      <w:szCs w:val="21"/>
                      <w:highlight w:val="none"/>
                      <w:lang w:val="en-US" w:eastAsia="zh-CN"/>
                    </w:rPr>
                    <w:t>由</w:t>
                  </w:r>
                  <w:r>
                    <w:rPr>
                      <w:rFonts w:hint="default" w:ascii="Times New Roman" w:hAnsi="Times New Roman" w:eastAsia="宋体" w:cs="Times New Roman"/>
                      <w:color w:val="auto"/>
                      <w:sz w:val="21"/>
                      <w:szCs w:val="21"/>
                      <w:highlight w:val="none"/>
                      <w:lang w:val="en-US" w:eastAsia="zh-CN"/>
                    </w:rPr>
                    <w:t>环卫部门处理。</w:t>
                  </w:r>
                </w:p>
              </w:tc>
              <w:tc>
                <w:tcPr>
                  <w:tcW w:w="810" w:type="dxa"/>
                  <w:vMerge w:val="continue"/>
                  <w:vAlign w:val="center"/>
                </w:tcPr>
                <w:p w14:paraId="396E347C">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eastAsia" w:ascii="Times New Roman" w:hAnsi="Times New Roman" w:eastAsia="宋体" w:cs="Times New Roman"/>
                      <w:color w:val="auto"/>
                      <w:sz w:val="21"/>
                      <w:szCs w:val="21"/>
                      <w:highlight w:val="none"/>
                      <w:lang w:val="en-US" w:eastAsia="zh-CN"/>
                    </w:rPr>
                  </w:pPr>
                </w:p>
              </w:tc>
              <w:tc>
                <w:tcPr>
                  <w:tcW w:w="2155" w:type="dxa"/>
                  <w:vAlign w:val="center"/>
                </w:tcPr>
                <w:p w14:paraId="4BA2937C">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企业木制品生产线原料直接根据市场需求购买半成品，工艺流程不涉及带锯切割和截锯截尺工序，只通过钉枪固定后形成木制品成品外售，该工序不会产生木边角料和</w:t>
                  </w:r>
                  <w:r>
                    <w:rPr>
                      <w:rFonts w:hint="default" w:ascii="Times New Roman" w:hAnsi="Times New Roman" w:eastAsia="宋体" w:cs="Times New Roman"/>
                      <w:color w:val="auto"/>
                      <w:sz w:val="21"/>
                      <w:szCs w:val="21"/>
                      <w:highlight w:val="none"/>
                      <w:lang w:val="en-US" w:eastAsia="zh-CN"/>
                    </w:rPr>
                    <w:t>木屑</w:t>
                  </w:r>
                  <w:r>
                    <w:rPr>
                      <w:rFonts w:hint="eastAsia" w:ascii="Times New Roman" w:hAnsi="Times New Roman" w:eastAsia="宋体" w:cs="Times New Roman"/>
                      <w:color w:val="auto"/>
                      <w:sz w:val="21"/>
                      <w:szCs w:val="21"/>
                      <w:highlight w:val="none"/>
                      <w:lang w:val="en-US" w:eastAsia="zh-CN"/>
                    </w:rPr>
                    <w:t>。本项目不设</w:t>
                  </w:r>
                  <w:r>
                    <w:rPr>
                      <w:rFonts w:hint="default" w:ascii="Times New Roman" w:hAnsi="Times New Roman" w:eastAsia="宋体" w:cs="Times New Roman"/>
                      <w:color w:val="auto"/>
                      <w:sz w:val="21"/>
                      <w:szCs w:val="21"/>
                      <w:highlight w:val="none"/>
                      <w:lang w:val="en-US" w:eastAsia="zh-CN"/>
                    </w:rPr>
                    <w:t>木屑仓库</w:t>
                  </w:r>
                </w:p>
              </w:tc>
              <w:tc>
                <w:tcPr>
                  <w:tcW w:w="1233" w:type="dxa"/>
                  <w:vAlign w:val="center"/>
                </w:tcPr>
                <w:p w14:paraId="28EB8495">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b w:val="0"/>
                      <w:bCs w:val="0"/>
                      <w:color w:val="auto"/>
                      <w:sz w:val="21"/>
                      <w:szCs w:val="21"/>
                      <w:highlight w:val="none"/>
                      <w:lang w:val="en-US" w:eastAsia="zh-CN"/>
                    </w:rPr>
                    <w:t>不一致</w:t>
                  </w:r>
                </w:p>
              </w:tc>
            </w:tr>
            <w:tr w14:paraId="3407E7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4A2705AB">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p>
              </w:tc>
              <w:tc>
                <w:tcPr>
                  <w:tcW w:w="780" w:type="dxa"/>
                  <w:vMerge w:val="continue"/>
                  <w:vAlign w:val="center"/>
                </w:tcPr>
                <w:p w14:paraId="2104BAFD">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2355" w:type="dxa"/>
                  <w:vAlign w:val="center"/>
                </w:tcPr>
                <w:p w14:paraId="21FA0598">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除尘灰经包装袋收集后，暂存于木屑仓库，</w:t>
                  </w:r>
                  <w:r>
                    <w:rPr>
                      <w:rFonts w:hint="eastAsia" w:ascii="Times New Roman" w:hAnsi="Times New Roman" w:eastAsia="宋体" w:cs="Times New Roman"/>
                      <w:color w:val="auto"/>
                      <w:sz w:val="21"/>
                      <w:szCs w:val="21"/>
                      <w:highlight w:val="none"/>
                      <w:lang w:val="en-US" w:eastAsia="zh-CN"/>
                    </w:rPr>
                    <w:t>由</w:t>
                  </w:r>
                  <w:r>
                    <w:rPr>
                      <w:rFonts w:hint="default" w:ascii="Times New Roman" w:hAnsi="Times New Roman" w:eastAsia="宋体" w:cs="Times New Roman"/>
                      <w:color w:val="auto"/>
                      <w:sz w:val="21"/>
                      <w:szCs w:val="21"/>
                      <w:highlight w:val="none"/>
                      <w:lang w:val="en-US" w:eastAsia="zh-CN"/>
                    </w:rPr>
                    <w:t>环卫部门处理。</w:t>
                  </w:r>
                </w:p>
              </w:tc>
              <w:tc>
                <w:tcPr>
                  <w:tcW w:w="810" w:type="dxa"/>
                  <w:vMerge w:val="continue"/>
                  <w:vAlign w:val="center"/>
                </w:tcPr>
                <w:p w14:paraId="3651838E">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eastAsia" w:ascii="Times New Roman" w:hAnsi="Times New Roman" w:eastAsia="宋体" w:cs="Times New Roman"/>
                      <w:color w:val="auto"/>
                      <w:sz w:val="21"/>
                      <w:szCs w:val="21"/>
                      <w:highlight w:val="none"/>
                      <w:lang w:val="en-US" w:eastAsia="zh-CN"/>
                    </w:rPr>
                  </w:pPr>
                </w:p>
              </w:tc>
              <w:tc>
                <w:tcPr>
                  <w:tcW w:w="2155" w:type="dxa"/>
                  <w:vAlign w:val="center"/>
                </w:tcPr>
                <w:p w14:paraId="6E9B7A76">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本项目木制品生产线不涉及布袋除尘器，该工序无布袋除尘器产生的除尘灰。项目除尘灰产生量较小，集中收集后由</w:t>
                  </w:r>
                  <w:r>
                    <w:rPr>
                      <w:rFonts w:hint="default" w:ascii="Times New Roman" w:hAnsi="Times New Roman" w:eastAsia="宋体" w:cs="Times New Roman"/>
                      <w:color w:val="auto"/>
                      <w:sz w:val="21"/>
                      <w:szCs w:val="21"/>
                      <w:highlight w:val="none"/>
                      <w:lang w:val="en-US" w:eastAsia="zh-CN"/>
                    </w:rPr>
                    <w:t>环卫部门处理</w:t>
                  </w:r>
                </w:p>
              </w:tc>
              <w:tc>
                <w:tcPr>
                  <w:tcW w:w="1233" w:type="dxa"/>
                  <w:vAlign w:val="center"/>
                </w:tcPr>
                <w:p w14:paraId="7802C64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b w:val="0"/>
                      <w:bCs w:val="0"/>
                      <w:color w:val="auto"/>
                      <w:sz w:val="21"/>
                      <w:szCs w:val="21"/>
                      <w:highlight w:val="none"/>
                      <w:lang w:val="en-US" w:eastAsia="zh-CN"/>
                    </w:rPr>
                    <w:t>不一致</w:t>
                  </w:r>
                </w:p>
              </w:tc>
            </w:tr>
            <w:tr w14:paraId="4BDCEF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6BA7AC14">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yellow"/>
                      <w:lang w:val="en-US" w:eastAsia="zh-CN"/>
                    </w:rPr>
                  </w:pPr>
                </w:p>
              </w:tc>
              <w:tc>
                <w:tcPr>
                  <w:tcW w:w="780" w:type="dxa"/>
                  <w:vMerge w:val="continue"/>
                  <w:vAlign w:val="center"/>
                </w:tcPr>
                <w:p w14:paraId="6FFCA93D">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2355" w:type="dxa"/>
                  <w:vAlign w:val="center"/>
                </w:tcPr>
                <w:p w14:paraId="63DFA57D">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厂区南侧设置危险废物贮存库一座，占地面积50m2，废机油、油桶、废活性炭等危险废物在贮存库内分区暂存后，定期委托有资质单位处理。</w:t>
                  </w:r>
                </w:p>
              </w:tc>
              <w:tc>
                <w:tcPr>
                  <w:tcW w:w="810" w:type="dxa"/>
                  <w:vMerge w:val="continue"/>
                  <w:vAlign w:val="center"/>
                </w:tcPr>
                <w:p w14:paraId="0C58FF44">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eastAsia" w:ascii="Times New Roman" w:hAnsi="Times New Roman" w:eastAsia="宋体" w:cs="Times New Roman"/>
                      <w:color w:val="auto"/>
                      <w:sz w:val="21"/>
                      <w:szCs w:val="21"/>
                      <w:highlight w:val="none"/>
                      <w:lang w:val="en-US" w:eastAsia="zh-CN"/>
                    </w:rPr>
                  </w:pPr>
                </w:p>
              </w:tc>
              <w:tc>
                <w:tcPr>
                  <w:tcW w:w="2155" w:type="dxa"/>
                  <w:vAlign w:val="center"/>
                </w:tcPr>
                <w:p w14:paraId="67CFE84D">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厂区西北侧设有危险废物暂存间一座，占地面积约为50m2。危废暂存间分区暂存</w:t>
                  </w:r>
                  <w:r>
                    <w:rPr>
                      <w:rFonts w:hint="default" w:ascii="Times New Roman" w:hAnsi="Times New Roman" w:eastAsia="宋体" w:cs="Times New Roman"/>
                      <w:color w:val="auto"/>
                      <w:sz w:val="21"/>
                      <w:szCs w:val="21"/>
                      <w:highlight w:val="none"/>
                      <w:lang w:val="en-US" w:eastAsia="zh-CN"/>
                    </w:rPr>
                    <w:t>废机油、油桶、废活性炭等危险废物，定期委托有资质单位处理。</w:t>
                  </w:r>
                </w:p>
              </w:tc>
              <w:tc>
                <w:tcPr>
                  <w:tcW w:w="1233" w:type="dxa"/>
                  <w:vAlign w:val="center"/>
                </w:tcPr>
                <w:p w14:paraId="5F73085D">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b w:val="0"/>
                      <w:bCs w:val="0"/>
                      <w:color w:val="auto"/>
                      <w:sz w:val="21"/>
                      <w:szCs w:val="21"/>
                      <w:highlight w:val="none"/>
                      <w:lang w:val="en-US" w:eastAsia="zh-CN"/>
                    </w:rPr>
                    <w:t>基本一致</w:t>
                  </w:r>
                </w:p>
              </w:tc>
            </w:tr>
          </w:tbl>
          <w:p w14:paraId="66566B24">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0"/>
              <w:textAlignment w:val="auto"/>
              <w:rPr>
                <w:rFonts w:hint="eastAsia" w:ascii="Times New Roman" w:hAnsi="Times New Roman" w:eastAsia="宋体" w:cs="Times New Roman"/>
                <w:color w:val="auto"/>
                <w:kern w:val="2"/>
                <w:sz w:val="24"/>
                <w:szCs w:val="24"/>
                <w:highlight w:val="none"/>
                <w:lang w:val="en-US" w:eastAsia="zh-CN" w:bidi="ar-SA"/>
              </w:rPr>
            </w:pPr>
          </w:p>
          <w:p w14:paraId="0EA0ABD3">
            <w:pPr>
              <w:bidi w:val="0"/>
              <w:rPr>
                <w:rFonts w:hint="eastAsia"/>
                <w:lang w:val="en-US" w:eastAsia="zh-CN"/>
              </w:rPr>
            </w:pPr>
            <w:r>
              <w:rPr>
                <w:rFonts w:hint="eastAsia"/>
                <w:lang w:val="en-US" w:eastAsia="zh-CN"/>
              </w:rPr>
              <w:t>2.2.2项目投资</w:t>
            </w:r>
          </w:p>
          <w:p w14:paraId="4175051C">
            <w:pPr>
              <w:bidi w:val="0"/>
              <w:rPr>
                <w:rFonts w:hint="eastAsia"/>
                <w:lang w:eastAsia="zh-CN"/>
              </w:rPr>
            </w:pPr>
            <w:r>
              <w:rPr>
                <w:rFonts w:hint="eastAsia"/>
                <w:lang w:eastAsia="zh-CN"/>
              </w:rPr>
              <w:t>环评期间，建设项目环评中计划总投资为</w:t>
            </w:r>
            <w:r>
              <w:rPr>
                <w:rFonts w:hint="eastAsia"/>
                <w:lang w:val="en-US" w:eastAsia="zh-CN"/>
              </w:rPr>
              <w:t>515</w:t>
            </w:r>
            <w:r>
              <w:rPr>
                <w:rFonts w:hint="eastAsia"/>
                <w:lang w:eastAsia="zh-CN"/>
              </w:rPr>
              <w:t>万元，其中环保投资</w:t>
            </w:r>
            <w:r>
              <w:rPr>
                <w:rFonts w:hint="eastAsia"/>
                <w:lang w:val="en-US" w:eastAsia="zh-CN"/>
              </w:rPr>
              <w:t>61</w:t>
            </w:r>
            <w:r>
              <w:rPr>
                <w:rFonts w:hint="eastAsia"/>
                <w:lang w:eastAsia="zh-CN"/>
              </w:rPr>
              <w:t>万元，环保投资占总投资比例为</w:t>
            </w:r>
            <w:r>
              <w:rPr>
                <w:rFonts w:hint="eastAsia"/>
                <w:lang w:val="en-US" w:eastAsia="zh-CN"/>
              </w:rPr>
              <w:t>11.84</w:t>
            </w:r>
            <w:r>
              <w:rPr>
                <w:rFonts w:hint="eastAsia"/>
                <w:lang w:eastAsia="zh-CN"/>
              </w:rPr>
              <w:t>%。</w:t>
            </w:r>
          </w:p>
          <w:p w14:paraId="0EC90EB6">
            <w:pPr>
              <w:bidi w:val="0"/>
              <w:rPr>
                <w:rFonts w:hint="eastAsia"/>
                <w:lang w:eastAsia="zh-CN"/>
              </w:rPr>
            </w:pPr>
            <w:r>
              <w:rPr>
                <w:rFonts w:hint="eastAsia"/>
                <w:lang w:eastAsia="zh-CN"/>
              </w:rPr>
              <w:t>建设项目实际总投资为</w:t>
            </w:r>
            <w:r>
              <w:rPr>
                <w:rFonts w:hint="eastAsia"/>
                <w:lang w:val="en-US" w:eastAsia="zh-CN"/>
              </w:rPr>
              <w:t>450</w:t>
            </w:r>
            <w:r>
              <w:rPr>
                <w:rFonts w:hint="eastAsia"/>
                <w:lang w:eastAsia="zh-CN"/>
              </w:rPr>
              <w:t>万元，其中环保投资</w:t>
            </w:r>
            <w:r>
              <w:rPr>
                <w:rFonts w:hint="eastAsia"/>
                <w:lang w:val="en-US" w:eastAsia="zh-CN"/>
              </w:rPr>
              <w:t>35</w:t>
            </w:r>
            <w:r>
              <w:rPr>
                <w:rFonts w:hint="eastAsia"/>
                <w:lang w:eastAsia="zh-CN"/>
              </w:rPr>
              <w:t>万元，环保投资占总投资比例为</w:t>
            </w:r>
            <w:r>
              <w:rPr>
                <w:rFonts w:hint="eastAsia"/>
                <w:lang w:val="en-US" w:eastAsia="zh-CN"/>
              </w:rPr>
              <w:t>7.78</w:t>
            </w:r>
            <w:r>
              <w:rPr>
                <w:rFonts w:hint="eastAsia"/>
                <w:lang w:eastAsia="zh-CN"/>
              </w:rPr>
              <w:t>%。</w:t>
            </w:r>
          </w:p>
          <w:p w14:paraId="29C9C30D">
            <w:pPr>
              <w:bidi w:val="0"/>
              <w:rPr>
                <w:rFonts w:hint="eastAsia"/>
                <w:lang w:val="en-US" w:eastAsia="zh-CN"/>
              </w:rPr>
            </w:pPr>
            <w:r>
              <w:rPr>
                <w:rFonts w:hint="eastAsia"/>
                <w:lang w:val="en-US" w:eastAsia="zh-CN"/>
              </w:rPr>
              <w:t>2.2.3主要设备</w:t>
            </w:r>
          </w:p>
          <w:p w14:paraId="0F1D991C">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480" w:firstLineChars="200"/>
              <w:textAlignment w:val="auto"/>
              <w:rPr>
                <w:rFonts w:hint="eastAsia"/>
                <w:sz w:val="24"/>
                <w:szCs w:val="24"/>
                <w:highlight w:val="none"/>
                <w:lang w:eastAsia="zh-CN"/>
              </w:rPr>
            </w:pPr>
            <w:r>
              <w:rPr>
                <w:rFonts w:hint="eastAsia"/>
                <w:sz w:val="24"/>
                <w:szCs w:val="24"/>
                <w:highlight w:val="none"/>
                <w:lang w:eastAsia="zh-CN"/>
              </w:rPr>
              <w:t>本项目主要设备情况见表</w:t>
            </w:r>
            <w:r>
              <w:rPr>
                <w:rFonts w:hint="eastAsia"/>
                <w:sz w:val="24"/>
                <w:szCs w:val="24"/>
                <w:highlight w:val="none"/>
                <w:lang w:val="en-US" w:eastAsia="zh-CN"/>
              </w:rPr>
              <w:t>2-3</w:t>
            </w:r>
            <w:r>
              <w:rPr>
                <w:rFonts w:hint="eastAsia"/>
                <w:sz w:val="24"/>
                <w:szCs w:val="24"/>
                <w:highlight w:val="none"/>
                <w:lang w:eastAsia="zh-CN"/>
              </w:rPr>
              <w:t>。</w:t>
            </w:r>
          </w:p>
          <w:p w14:paraId="3E6E57AD">
            <w:pPr>
              <w:pStyle w:val="3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黑体" w:cs="Times New Roman"/>
                <w:sz w:val="21"/>
                <w:szCs w:val="21"/>
                <w:highlight w:val="none"/>
              </w:rPr>
            </w:pPr>
            <w:r>
              <w:rPr>
                <w:rFonts w:hint="eastAsia" w:ascii="Times New Roman" w:hAnsi="Times New Roman" w:eastAsia="黑体" w:cs="Times New Roman"/>
                <w:sz w:val="21"/>
                <w:szCs w:val="21"/>
                <w:highlight w:val="none"/>
              </w:rPr>
              <w:t>表</w:t>
            </w:r>
            <w:r>
              <w:rPr>
                <w:rFonts w:hint="eastAsia" w:eastAsia="黑体" w:cs="Times New Roman"/>
                <w:sz w:val="21"/>
                <w:szCs w:val="21"/>
                <w:highlight w:val="none"/>
                <w:lang w:val="en-US" w:eastAsia="zh-CN"/>
              </w:rPr>
              <w:t>2-3</w:t>
            </w:r>
            <w:r>
              <w:rPr>
                <w:rFonts w:hint="eastAsia" w:ascii="Times New Roman" w:hAnsi="Times New Roman" w:eastAsia="黑体" w:cs="Times New Roman"/>
                <w:sz w:val="21"/>
                <w:szCs w:val="21"/>
                <w:highlight w:val="none"/>
              </w:rPr>
              <w:t>主要生产设备一览表</w:t>
            </w:r>
          </w:p>
          <w:tbl>
            <w:tblPr>
              <w:tblStyle w:val="24"/>
              <w:tblW w:w="8153"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1"/>
              <w:gridCol w:w="474"/>
              <w:gridCol w:w="1023"/>
              <w:gridCol w:w="1145"/>
              <w:gridCol w:w="628"/>
              <w:gridCol w:w="504"/>
              <w:gridCol w:w="900"/>
              <w:gridCol w:w="1023"/>
              <w:gridCol w:w="586"/>
              <w:gridCol w:w="1459"/>
            </w:tblGrid>
            <w:tr w14:paraId="2C6D03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blHeader/>
              </w:trPr>
              <w:tc>
                <w:tcPr>
                  <w:tcW w:w="3681" w:type="dxa"/>
                  <w:gridSpan w:val="5"/>
                  <w:tcBorders>
                    <w:tl2br w:val="nil"/>
                    <w:tr2bl w:val="nil"/>
                  </w:tcBorders>
                  <w:vAlign w:val="center"/>
                </w:tcPr>
                <w:p w14:paraId="17AF4D39">
                  <w:pPr>
                    <w:widowControl/>
                    <w:wordWrap/>
                    <w:overflowPunct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环评</w:t>
                  </w:r>
                </w:p>
              </w:tc>
              <w:tc>
                <w:tcPr>
                  <w:tcW w:w="4472" w:type="dxa"/>
                  <w:gridSpan w:val="5"/>
                  <w:tcBorders>
                    <w:tl2br w:val="nil"/>
                    <w:tr2bl w:val="nil"/>
                  </w:tcBorders>
                  <w:vAlign w:val="center"/>
                </w:tcPr>
                <w:p w14:paraId="5446D368">
                  <w:pPr>
                    <w:widowControl/>
                    <w:wordWrap/>
                    <w:overflowPunct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验收</w:t>
                  </w:r>
                </w:p>
              </w:tc>
            </w:tr>
            <w:tr w14:paraId="061DE9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blHeader/>
              </w:trPr>
              <w:tc>
                <w:tcPr>
                  <w:tcW w:w="411" w:type="dxa"/>
                  <w:tcBorders>
                    <w:tl2br w:val="nil"/>
                    <w:tr2bl w:val="nil"/>
                  </w:tcBorders>
                  <w:vAlign w:val="center"/>
                </w:tcPr>
                <w:p w14:paraId="7FBC296B">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序号</w:t>
                  </w:r>
                </w:p>
              </w:tc>
              <w:tc>
                <w:tcPr>
                  <w:tcW w:w="474" w:type="dxa"/>
                  <w:tcBorders>
                    <w:tl2br w:val="nil"/>
                    <w:tr2bl w:val="nil"/>
                  </w:tcBorders>
                  <w:vAlign w:val="center"/>
                </w:tcPr>
                <w:p w14:paraId="0C57AE54">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工艺过程</w:t>
                  </w:r>
                </w:p>
              </w:tc>
              <w:tc>
                <w:tcPr>
                  <w:tcW w:w="1023" w:type="dxa"/>
                  <w:tcBorders>
                    <w:tl2br w:val="nil"/>
                    <w:tr2bl w:val="nil"/>
                  </w:tcBorders>
                  <w:vAlign w:val="center"/>
                </w:tcPr>
                <w:p w14:paraId="7C7CAE28">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设备</w:t>
                  </w:r>
                </w:p>
                <w:p w14:paraId="47E7EF90">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名称</w:t>
                  </w:r>
                </w:p>
              </w:tc>
              <w:tc>
                <w:tcPr>
                  <w:tcW w:w="1145" w:type="dxa"/>
                  <w:tcBorders>
                    <w:tl2br w:val="nil"/>
                    <w:tr2bl w:val="nil"/>
                  </w:tcBorders>
                  <w:vAlign w:val="center"/>
                </w:tcPr>
                <w:p w14:paraId="1223B3BC">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lang w:eastAsia="zh-CN"/>
                    </w:rPr>
                  </w:pPr>
                  <w:r>
                    <w:rPr>
                      <w:rFonts w:hint="default" w:ascii="Times New Roman" w:hAnsi="Times New Roman" w:cs="Times New Roman"/>
                      <w:b w:val="0"/>
                      <w:bCs w:val="0"/>
                      <w:color w:val="auto"/>
                      <w:kern w:val="0"/>
                      <w:sz w:val="21"/>
                      <w:szCs w:val="21"/>
                      <w:highlight w:val="none"/>
                      <w:lang w:eastAsia="zh-CN"/>
                    </w:rPr>
                    <w:t>型号</w:t>
                  </w:r>
                </w:p>
              </w:tc>
              <w:tc>
                <w:tcPr>
                  <w:tcW w:w="628" w:type="dxa"/>
                  <w:tcBorders>
                    <w:tl2br w:val="nil"/>
                    <w:tr2bl w:val="nil"/>
                  </w:tcBorders>
                  <w:vAlign w:val="center"/>
                </w:tcPr>
                <w:p w14:paraId="5AC2A6DC">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设备</w:t>
                  </w:r>
                </w:p>
                <w:p w14:paraId="11C7D4D4">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数量</w:t>
                  </w:r>
                </w:p>
              </w:tc>
              <w:tc>
                <w:tcPr>
                  <w:tcW w:w="504" w:type="dxa"/>
                  <w:tcBorders>
                    <w:tl2br w:val="nil"/>
                    <w:tr2bl w:val="nil"/>
                  </w:tcBorders>
                  <w:vAlign w:val="center"/>
                </w:tcPr>
                <w:p w14:paraId="092424DB">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工艺过程</w:t>
                  </w:r>
                </w:p>
              </w:tc>
              <w:tc>
                <w:tcPr>
                  <w:tcW w:w="900" w:type="dxa"/>
                  <w:tcBorders>
                    <w:tl2br w:val="nil"/>
                    <w:tr2bl w:val="nil"/>
                  </w:tcBorders>
                  <w:vAlign w:val="center"/>
                </w:tcPr>
                <w:p w14:paraId="6369FA63">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设备</w:t>
                  </w:r>
                </w:p>
                <w:p w14:paraId="441BC26C">
                  <w:pPr>
                    <w:widowControl/>
                    <w:wordWrap/>
                    <w:overflowPunct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rPr>
                    <w:t>名称</w:t>
                  </w:r>
                </w:p>
              </w:tc>
              <w:tc>
                <w:tcPr>
                  <w:tcW w:w="1023" w:type="dxa"/>
                  <w:tcBorders>
                    <w:tl2br w:val="nil"/>
                    <w:tr2bl w:val="nil"/>
                  </w:tcBorders>
                  <w:vAlign w:val="center"/>
                </w:tcPr>
                <w:p w14:paraId="08BAA69E">
                  <w:pPr>
                    <w:widowControl/>
                    <w:wordWrap/>
                    <w:overflowPunct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eastAsia="zh-CN"/>
                    </w:rPr>
                    <w:t>型号</w:t>
                  </w:r>
                </w:p>
              </w:tc>
              <w:tc>
                <w:tcPr>
                  <w:tcW w:w="586" w:type="dxa"/>
                  <w:tcBorders>
                    <w:tl2br w:val="nil"/>
                    <w:tr2bl w:val="nil"/>
                  </w:tcBorders>
                  <w:vAlign w:val="center"/>
                </w:tcPr>
                <w:p w14:paraId="48E26859">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设备</w:t>
                  </w:r>
                </w:p>
                <w:p w14:paraId="4E92A414">
                  <w:pPr>
                    <w:widowControl/>
                    <w:wordWrap/>
                    <w:overflowPunct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数量</w:t>
                  </w:r>
                </w:p>
              </w:tc>
              <w:tc>
                <w:tcPr>
                  <w:tcW w:w="1459" w:type="dxa"/>
                  <w:tcBorders>
                    <w:tl2br w:val="nil"/>
                    <w:tr2bl w:val="nil"/>
                  </w:tcBorders>
                  <w:vAlign w:val="center"/>
                </w:tcPr>
                <w:p w14:paraId="6002865F">
                  <w:pPr>
                    <w:widowControl/>
                    <w:wordWrap/>
                    <w:overflowPunct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备注</w:t>
                  </w:r>
                </w:p>
              </w:tc>
            </w:tr>
            <w:tr w14:paraId="489D0B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11" w:type="dxa"/>
                  <w:tcBorders>
                    <w:tl2br w:val="nil"/>
                    <w:tr2bl w:val="nil"/>
                  </w:tcBorders>
                  <w:vAlign w:val="center"/>
                </w:tcPr>
                <w:p w14:paraId="41001DF4">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1</w:t>
                  </w:r>
                </w:p>
              </w:tc>
              <w:tc>
                <w:tcPr>
                  <w:tcW w:w="474" w:type="dxa"/>
                  <w:vMerge w:val="restart"/>
                  <w:tcBorders>
                    <w:tl2br w:val="nil"/>
                    <w:tr2bl w:val="nil"/>
                  </w:tcBorders>
                  <w:vAlign w:val="center"/>
                </w:tcPr>
                <w:p w14:paraId="5D47294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rPr>
                  </w:pPr>
                  <w:r>
                    <w:rPr>
                      <w:rFonts w:hint="default" w:ascii="Times New Roman" w:hAnsi="Times New Roman" w:cs="Times New Roman"/>
                      <w:color w:val="auto"/>
                      <w:kern w:val="2"/>
                      <w:sz w:val="21"/>
                      <w:szCs w:val="21"/>
                      <w:highlight w:val="none"/>
                      <w:lang w:val="en-US" w:eastAsia="zh-CN" w:bidi="ar-SA"/>
                    </w:rPr>
                    <w:t>泡沫制品包装</w:t>
                  </w:r>
                  <w:r>
                    <w:rPr>
                      <w:rFonts w:hint="default" w:ascii="Times New Roman" w:hAnsi="Times New Roman" w:cs="Times New Roman"/>
                      <w:color w:val="auto"/>
                      <w:kern w:val="1"/>
                      <w:sz w:val="21"/>
                      <w:szCs w:val="21"/>
                      <w:highlight w:val="none"/>
                      <w:lang w:val="en-US" w:eastAsia="zh-CN"/>
                    </w:rPr>
                    <w:t>生产线</w:t>
                  </w:r>
                </w:p>
              </w:tc>
              <w:tc>
                <w:tcPr>
                  <w:tcW w:w="1023" w:type="dxa"/>
                  <w:tcBorders>
                    <w:tl2br w:val="nil"/>
                    <w:tr2bl w:val="nil"/>
                  </w:tcBorders>
                  <w:vAlign w:val="center"/>
                </w:tcPr>
                <w:p w14:paraId="69EE0CC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全自动成型机</w:t>
                  </w:r>
                </w:p>
              </w:tc>
              <w:tc>
                <w:tcPr>
                  <w:tcW w:w="1145" w:type="dxa"/>
                  <w:tcBorders>
                    <w:tl2br w:val="nil"/>
                    <w:tr2bl w:val="nil"/>
                  </w:tcBorders>
                  <w:vAlign w:val="center"/>
                </w:tcPr>
                <w:p w14:paraId="1CEE6E1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SPZ100</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180T</w:t>
                  </w:r>
                  <w:r>
                    <w:rPr>
                      <w:rFonts w:hint="default" w:ascii="Times New Roman" w:hAnsi="Times New Roman" w:eastAsia="宋体" w:cs="Times New Roman"/>
                      <w:color w:val="auto"/>
                      <w:sz w:val="21"/>
                      <w:szCs w:val="21"/>
                      <w:highlight w:val="none"/>
                    </w:rPr>
                    <w:t>型</w:t>
                  </w:r>
                </w:p>
              </w:tc>
              <w:tc>
                <w:tcPr>
                  <w:tcW w:w="628" w:type="dxa"/>
                  <w:tcBorders>
                    <w:tl2br w:val="nil"/>
                    <w:tr2bl w:val="nil"/>
                  </w:tcBorders>
                  <w:vAlign w:val="center"/>
                </w:tcPr>
                <w:p w14:paraId="5357886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17台</w:t>
                  </w:r>
                </w:p>
              </w:tc>
              <w:tc>
                <w:tcPr>
                  <w:tcW w:w="504" w:type="dxa"/>
                  <w:vMerge w:val="restart"/>
                  <w:tcBorders>
                    <w:tl2br w:val="nil"/>
                    <w:tr2bl w:val="nil"/>
                  </w:tcBorders>
                  <w:vAlign w:val="center"/>
                </w:tcPr>
                <w:p w14:paraId="4F3E00C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泡沫制品包装</w:t>
                  </w:r>
                  <w:r>
                    <w:rPr>
                      <w:rFonts w:hint="default" w:ascii="Times New Roman" w:hAnsi="Times New Roman" w:cs="Times New Roman"/>
                      <w:color w:val="auto"/>
                      <w:kern w:val="1"/>
                      <w:sz w:val="21"/>
                      <w:szCs w:val="21"/>
                      <w:highlight w:val="none"/>
                      <w:lang w:val="en-US" w:eastAsia="zh-CN"/>
                    </w:rPr>
                    <w:t>生产线</w:t>
                  </w:r>
                </w:p>
              </w:tc>
              <w:tc>
                <w:tcPr>
                  <w:tcW w:w="900" w:type="dxa"/>
                  <w:tcBorders>
                    <w:tl2br w:val="nil"/>
                    <w:tr2bl w:val="nil"/>
                  </w:tcBorders>
                  <w:vAlign w:val="center"/>
                </w:tcPr>
                <w:p w14:paraId="1FF5F26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全自动成型机</w:t>
                  </w:r>
                </w:p>
              </w:tc>
              <w:tc>
                <w:tcPr>
                  <w:tcW w:w="1023" w:type="dxa"/>
                  <w:tcBorders>
                    <w:tl2br w:val="nil"/>
                    <w:tr2bl w:val="nil"/>
                  </w:tcBorders>
                  <w:vAlign w:val="center"/>
                </w:tcPr>
                <w:p w14:paraId="4D1D943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SPZ100</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180T</w:t>
                  </w:r>
                  <w:r>
                    <w:rPr>
                      <w:rFonts w:hint="default" w:ascii="Times New Roman" w:hAnsi="Times New Roman" w:eastAsia="宋体" w:cs="Times New Roman"/>
                      <w:color w:val="auto"/>
                      <w:sz w:val="21"/>
                      <w:szCs w:val="21"/>
                      <w:highlight w:val="none"/>
                    </w:rPr>
                    <w:t>型</w:t>
                  </w:r>
                </w:p>
              </w:tc>
              <w:tc>
                <w:tcPr>
                  <w:tcW w:w="586" w:type="dxa"/>
                  <w:tcBorders>
                    <w:tl2br w:val="nil"/>
                    <w:tr2bl w:val="nil"/>
                  </w:tcBorders>
                  <w:vAlign w:val="center"/>
                </w:tcPr>
                <w:p w14:paraId="6B0C6E3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台</w:t>
                  </w:r>
                </w:p>
              </w:tc>
              <w:tc>
                <w:tcPr>
                  <w:tcW w:w="1459" w:type="dxa"/>
                  <w:tcBorders>
                    <w:tl2br w:val="nil"/>
                    <w:tr2bl w:val="nil"/>
                  </w:tcBorders>
                  <w:vAlign w:val="center"/>
                </w:tcPr>
                <w:p w14:paraId="4B83775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每台</w:t>
                  </w:r>
                  <w:r>
                    <w:rPr>
                      <w:rFonts w:hint="eastAsia" w:ascii="Times New Roman" w:hAnsi="Times New Roman" w:eastAsia="宋体" w:cs="Times New Roman"/>
                      <w:color w:val="auto"/>
                      <w:sz w:val="21"/>
                      <w:szCs w:val="21"/>
                      <w:highlight w:val="none"/>
                      <w:lang w:val="en-US" w:eastAsia="zh-CN"/>
                    </w:rPr>
                    <w:t>设备</w:t>
                  </w:r>
                  <w:r>
                    <w:rPr>
                      <w:rFonts w:hint="default" w:ascii="Times New Roman" w:hAnsi="Times New Roman" w:eastAsia="宋体" w:cs="Times New Roman"/>
                      <w:color w:val="auto"/>
                      <w:sz w:val="21"/>
                      <w:szCs w:val="21"/>
                      <w:highlight w:val="none"/>
                      <w:lang w:val="en-US" w:eastAsia="zh-CN"/>
                    </w:rPr>
                    <w:t>生产能力</w:t>
                  </w:r>
                  <w:r>
                    <w:rPr>
                      <w:rFonts w:hint="eastAsia" w:ascii="Times New Roman" w:hAnsi="Times New Roman" w:eastAsia="宋体" w:cs="Times New Roman"/>
                      <w:color w:val="auto"/>
                      <w:sz w:val="21"/>
                      <w:szCs w:val="21"/>
                      <w:highlight w:val="none"/>
                      <w:lang w:val="en-US" w:eastAsia="zh-CN"/>
                    </w:rPr>
                    <w:t>0.2</w:t>
                  </w:r>
                  <w:r>
                    <w:rPr>
                      <w:rFonts w:hint="default" w:ascii="Times New Roman" w:hAnsi="Times New Roman" w:eastAsia="宋体" w:cs="Times New Roman"/>
                      <w:color w:val="auto"/>
                      <w:sz w:val="21"/>
                      <w:szCs w:val="21"/>
                      <w:highlight w:val="none"/>
                      <w:lang w:val="en-US" w:eastAsia="zh-CN"/>
                    </w:rPr>
                    <w:t>t/h</w:t>
                  </w:r>
                </w:p>
              </w:tc>
            </w:tr>
            <w:tr w14:paraId="54B6D6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11" w:type="dxa"/>
                  <w:tcBorders>
                    <w:tl2br w:val="nil"/>
                    <w:tr2bl w:val="nil"/>
                  </w:tcBorders>
                  <w:vAlign w:val="center"/>
                </w:tcPr>
                <w:p w14:paraId="2725AACF">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2</w:t>
                  </w:r>
                </w:p>
              </w:tc>
              <w:tc>
                <w:tcPr>
                  <w:tcW w:w="474" w:type="dxa"/>
                  <w:vMerge w:val="continue"/>
                  <w:tcBorders>
                    <w:tl2br w:val="nil"/>
                    <w:tr2bl w:val="nil"/>
                  </w:tcBorders>
                  <w:vAlign w:val="center"/>
                </w:tcPr>
                <w:p w14:paraId="4EC26B4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023" w:type="dxa"/>
                  <w:tcBorders>
                    <w:tl2br w:val="nil"/>
                    <w:tr2bl w:val="nil"/>
                  </w:tcBorders>
                  <w:vAlign w:val="center"/>
                </w:tcPr>
                <w:p w14:paraId="4F30280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全自动成型机</w:t>
                  </w:r>
                </w:p>
              </w:tc>
              <w:tc>
                <w:tcPr>
                  <w:tcW w:w="1145" w:type="dxa"/>
                  <w:tcBorders>
                    <w:tl2br w:val="nil"/>
                    <w:tr2bl w:val="nil"/>
                  </w:tcBorders>
                  <w:vAlign w:val="center"/>
                </w:tcPr>
                <w:p w14:paraId="14E6C44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SPZ100</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140T型</w:t>
                  </w:r>
                </w:p>
              </w:tc>
              <w:tc>
                <w:tcPr>
                  <w:tcW w:w="628" w:type="dxa"/>
                  <w:tcBorders>
                    <w:tl2br w:val="nil"/>
                    <w:tr2bl w:val="nil"/>
                  </w:tcBorders>
                  <w:vAlign w:val="center"/>
                </w:tcPr>
                <w:p w14:paraId="285715A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3台</w:t>
                  </w:r>
                </w:p>
              </w:tc>
              <w:tc>
                <w:tcPr>
                  <w:tcW w:w="504" w:type="dxa"/>
                  <w:vMerge w:val="continue"/>
                  <w:tcBorders>
                    <w:tl2br w:val="nil"/>
                    <w:tr2bl w:val="nil"/>
                  </w:tcBorders>
                  <w:vAlign w:val="center"/>
                </w:tcPr>
                <w:p w14:paraId="69CC6F8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900" w:type="dxa"/>
                  <w:tcBorders>
                    <w:tl2br w:val="nil"/>
                    <w:tr2bl w:val="nil"/>
                  </w:tcBorders>
                  <w:vAlign w:val="center"/>
                </w:tcPr>
                <w:p w14:paraId="4D71519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全自动成型机</w:t>
                  </w:r>
                </w:p>
              </w:tc>
              <w:tc>
                <w:tcPr>
                  <w:tcW w:w="1023" w:type="dxa"/>
                  <w:tcBorders>
                    <w:tl2br w:val="nil"/>
                    <w:tr2bl w:val="nil"/>
                  </w:tcBorders>
                  <w:vAlign w:val="center"/>
                </w:tcPr>
                <w:p w14:paraId="39DD49A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SPZ100</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140T型</w:t>
                  </w:r>
                </w:p>
              </w:tc>
              <w:tc>
                <w:tcPr>
                  <w:tcW w:w="586" w:type="dxa"/>
                  <w:tcBorders>
                    <w:tl2br w:val="nil"/>
                    <w:tr2bl w:val="nil"/>
                  </w:tcBorders>
                  <w:vAlign w:val="center"/>
                </w:tcPr>
                <w:p w14:paraId="28DE732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台</w:t>
                  </w:r>
                </w:p>
              </w:tc>
              <w:tc>
                <w:tcPr>
                  <w:tcW w:w="1459" w:type="dxa"/>
                  <w:tcBorders>
                    <w:tl2br w:val="nil"/>
                    <w:tr2bl w:val="nil"/>
                  </w:tcBorders>
                  <w:vAlign w:val="center"/>
                </w:tcPr>
                <w:p w14:paraId="1601A94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每台</w:t>
                  </w:r>
                  <w:r>
                    <w:rPr>
                      <w:rFonts w:hint="eastAsia" w:ascii="Times New Roman" w:hAnsi="Times New Roman" w:cs="Times New Roman"/>
                      <w:color w:val="auto"/>
                      <w:sz w:val="21"/>
                      <w:szCs w:val="21"/>
                      <w:highlight w:val="none"/>
                      <w:lang w:val="en-US" w:eastAsia="zh-CN"/>
                    </w:rPr>
                    <w:t>设备</w:t>
                  </w:r>
                  <w:r>
                    <w:rPr>
                      <w:rFonts w:hint="default" w:ascii="Times New Roman" w:hAnsi="Times New Roman" w:cs="Times New Roman"/>
                      <w:color w:val="auto"/>
                      <w:sz w:val="21"/>
                      <w:szCs w:val="21"/>
                      <w:highlight w:val="none"/>
                      <w:lang w:val="en-US" w:eastAsia="zh-CN"/>
                    </w:rPr>
                    <w:t>生产能力</w:t>
                  </w:r>
                  <w:r>
                    <w:rPr>
                      <w:rFonts w:hint="eastAsia" w:ascii="Times New Roman" w:hAnsi="Times New Roman" w:cs="Times New Roman"/>
                      <w:color w:val="auto"/>
                      <w:sz w:val="21"/>
                      <w:szCs w:val="21"/>
                      <w:highlight w:val="none"/>
                      <w:lang w:val="en-US" w:eastAsia="zh-CN"/>
                    </w:rPr>
                    <w:t>0.1</w:t>
                  </w:r>
                  <w:r>
                    <w:rPr>
                      <w:rFonts w:hint="default" w:ascii="Times New Roman" w:hAnsi="Times New Roman" w:cs="Times New Roman"/>
                      <w:color w:val="auto"/>
                      <w:sz w:val="21"/>
                      <w:szCs w:val="21"/>
                      <w:highlight w:val="none"/>
                      <w:lang w:val="en-US" w:eastAsia="zh-CN"/>
                    </w:rPr>
                    <w:t>t/h</w:t>
                  </w:r>
                </w:p>
              </w:tc>
            </w:tr>
            <w:tr w14:paraId="60C6ED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11" w:type="dxa"/>
                  <w:tcBorders>
                    <w:tl2br w:val="nil"/>
                    <w:tr2bl w:val="nil"/>
                  </w:tcBorders>
                  <w:vAlign w:val="center"/>
                </w:tcPr>
                <w:p w14:paraId="4AA30E91">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3</w:t>
                  </w:r>
                </w:p>
              </w:tc>
              <w:tc>
                <w:tcPr>
                  <w:tcW w:w="474" w:type="dxa"/>
                  <w:vMerge w:val="continue"/>
                  <w:tcBorders>
                    <w:tl2br w:val="nil"/>
                    <w:tr2bl w:val="nil"/>
                  </w:tcBorders>
                  <w:vAlign w:val="center"/>
                </w:tcPr>
                <w:p w14:paraId="4681D80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023" w:type="dxa"/>
                  <w:tcBorders>
                    <w:tl2br w:val="nil"/>
                    <w:tr2bl w:val="nil"/>
                  </w:tcBorders>
                  <w:vAlign w:val="center"/>
                </w:tcPr>
                <w:p w14:paraId="324AACA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塔式中央真空</w:t>
                  </w:r>
                  <w:r>
                    <w:rPr>
                      <w:rFonts w:hint="default" w:ascii="Times New Roman" w:hAnsi="Times New Roman" w:cs="Times New Roman"/>
                      <w:color w:val="auto"/>
                      <w:sz w:val="21"/>
                      <w:szCs w:val="21"/>
                      <w:highlight w:val="none"/>
                      <w:lang w:eastAsia="zh-CN"/>
                    </w:rPr>
                    <w:t>系统</w:t>
                  </w:r>
                </w:p>
              </w:tc>
              <w:tc>
                <w:tcPr>
                  <w:tcW w:w="1145" w:type="dxa"/>
                  <w:tcBorders>
                    <w:tl2br w:val="nil"/>
                    <w:tr2bl w:val="nil"/>
                  </w:tcBorders>
                  <w:vAlign w:val="center"/>
                </w:tcPr>
                <w:p w14:paraId="0449058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628" w:type="dxa"/>
                  <w:tcBorders>
                    <w:tl2br w:val="nil"/>
                    <w:tr2bl w:val="nil"/>
                  </w:tcBorders>
                  <w:vAlign w:val="center"/>
                </w:tcPr>
                <w:p w14:paraId="47A369E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套</w:t>
                  </w:r>
                </w:p>
              </w:tc>
              <w:tc>
                <w:tcPr>
                  <w:tcW w:w="504" w:type="dxa"/>
                  <w:vMerge w:val="continue"/>
                  <w:tcBorders>
                    <w:tl2br w:val="nil"/>
                    <w:tr2bl w:val="nil"/>
                  </w:tcBorders>
                  <w:vAlign w:val="center"/>
                </w:tcPr>
                <w:p w14:paraId="523AF7D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900" w:type="dxa"/>
                  <w:tcBorders>
                    <w:tl2br w:val="nil"/>
                    <w:tr2bl w:val="nil"/>
                  </w:tcBorders>
                  <w:vAlign w:val="center"/>
                </w:tcPr>
                <w:p w14:paraId="43C14C4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塔式中央真空</w:t>
                  </w:r>
                  <w:r>
                    <w:rPr>
                      <w:rFonts w:hint="default" w:ascii="Times New Roman" w:hAnsi="Times New Roman" w:cs="Times New Roman"/>
                      <w:color w:val="auto"/>
                      <w:sz w:val="21"/>
                      <w:szCs w:val="21"/>
                      <w:highlight w:val="none"/>
                      <w:lang w:eastAsia="zh-CN"/>
                    </w:rPr>
                    <w:t>系统</w:t>
                  </w:r>
                </w:p>
              </w:tc>
              <w:tc>
                <w:tcPr>
                  <w:tcW w:w="1023" w:type="dxa"/>
                  <w:tcBorders>
                    <w:tl2br w:val="nil"/>
                    <w:tr2bl w:val="nil"/>
                  </w:tcBorders>
                  <w:vAlign w:val="center"/>
                </w:tcPr>
                <w:p w14:paraId="3C8E99F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w:t>
                  </w:r>
                </w:p>
              </w:tc>
              <w:tc>
                <w:tcPr>
                  <w:tcW w:w="586" w:type="dxa"/>
                  <w:tcBorders>
                    <w:tl2br w:val="nil"/>
                    <w:tr2bl w:val="nil"/>
                  </w:tcBorders>
                  <w:vAlign w:val="center"/>
                </w:tcPr>
                <w:p w14:paraId="14BEF5B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套</w:t>
                  </w:r>
                </w:p>
              </w:tc>
              <w:tc>
                <w:tcPr>
                  <w:tcW w:w="1459" w:type="dxa"/>
                  <w:tcBorders>
                    <w:tl2br w:val="nil"/>
                    <w:tr2bl w:val="nil"/>
                  </w:tcBorders>
                  <w:vAlign w:val="center"/>
                </w:tcPr>
                <w:p w14:paraId="3126CF4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泡沫包装制品生产车间使用</w:t>
                  </w:r>
                </w:p>
              </w:tc>
            </w:tr>
            <w:tr w14:paraId="34DD3D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11" w:type="dxa"/>
                  <w:tcBorders>
                    <w:tl2br w:val="nil"/>
                    <w:tr2bl w:val="nil"/>
                  </w:tcBorders>
                  <w:vAlign w:val="center"/>
                </w:tcPr>
                <w:p w14:paraId="61CABBEF">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lang w:eastAsia="zh-CN"/>
                    </w:rPr>
                  </w:pPr>
                  <w:r>
                    <w:rPr>
                      <w:rFonts w:hint="default" w:ascii="Times New Roman" w:hAnsi="Times New Roman" w:cs="Times New Roman"/>
                      <w:b w:val="0"/>
                      <w:bCs w:val="0"/>
                      <w:color w:val="auto"/>
                      <w:kern w:val="0"/>
                      <w:sz w:val="21"/>
                      <w:szCs w:val="21"/>
                      <w:highlight w:val="none"/>
                      <w:lang w:val="en-US" w:eastAsia="zh-CN"/>
                    </w:rPr>
                    <w:t>4</w:t>
                  </w:r>
                </w:p>
              </w:tc>
              <w:tc>
                <w:tcPr>
                  <w:tcW w:w="474" w:type="dxa"/>
                  <w:vMerge w:val="continue"/>
                  <w:tcBorders>
                    <w:tl2br w:val="nil"/>
                    <w:tr2bl w:val="nil"/>
                  </w:tcBorders>
                  <w:vAlign w:val="center"/>
                </w:tcPr>
                <w:p w14:paraId="3587DEF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023" w:type="dxa"/>
                  <w:tcBorders>
                    <w:tl2br w:val="nil"/>
                    <w:tr2bl w:val="nil"/>
                  </w:tcBorders>
                  <w:vAlign w:val="center"/>
                </w:tcPr>
                <w:p w14:paraId="1503E23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间歇式预发机</w:t>
                  </w:r>
                </w:p>
              </w:tc>
              <w:tc>
                <w:tcPr>
                  <w:tcW w:w="1145" w:type="dxa"/>
                  <w:tcBorders>
                    <w:tl2br w:val="nil"/>
                    <w:tr2bl w:val="nil"/>
                  </w:tcBorders>
                  <w:vAlign w:val="center"/>
                </w:tcPr>
                <w:p w14:paraId="790422B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HS-YF-110</w:t>
                  </w:r>
                </w:p>
              </w:tc>
              <w:tc>
                <w:tcPr>
                  <w:tcW w:w="628" w:type="dxa"/>
                  <w:tcBorders>
                    <w:tl2br w:val="nil"/>
                    <w:tr2bl w:val="nil"/>
                  </w:tcBorders>
                  <w:vAlign w:val="center"/>
                </w:tcPr>
                <w:p w14:paraId="044861F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台</w:t>
                  </w:r>
                </w:p>
              </w:tc>
              <w:tc>
                <w:tcPr>
                  <w:tcW w:w="504" w:type="dxa"/>
                  <w:vMerge w:val="continue"/>
                  <w:tcBorders>
                    <w:tl2br w:val="nil"/>
                    <w:tr2bl w:val="nil"/>
                  </w:tcBorders>
                  <w:vAlign w:val="center"/>
                </w:tcPr>
                <w:p w14:paraId="6E05FCB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900" w:type="dxa"/>
                  <w:tcBorders>
                    <w:tl2br w:val="nil"/>
                    <w:tr2bl w:val="nil"/>
                  </w:tcBorders>
                  <w:vAlign w:val="center"/>
                </w:tcPr>
                <w:p w14:paraId="2004D4B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间歇式预发机</w:t>
                  </w:r>
                </w:p>
              </w:tc>
              <w:tc>
                <w:tcPr>
                  <w:tcW w:w="1023" w:type="dxa"/>
                  <w:tcBorders>
                    <w:tl2br w:val="nil"/>
                    <w:tr2bl w:val="nil"/>
                  </w:tcBorders>
                  <w:vAlign w:val="center"/>
                </w:tcPr>
                <w:p w14:paraId="645CBC6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HS-YF-110</w:t>
                  </w:r>
                </w:p>
              </w:tc>
              <w:tc>
                <w:tcPr>
                  <w:tcW w:w="586" w:type="dxa"/>
                  <w:tcBorders>
                    <w:tl2br w:val="nil"/>
                    <w:tr2bl w:val="nil"/>
                  </w:tcBorders>
                  <w:vAlign w:val="center"/>
                </w:tcPr>
                <w:p w14:paraId="5F2095D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台</w:t>
                  </w:r>
                </w:p>
              </w:tc>
              <w:tc>
                <w:tcPr>
                  <w:tcW w:w="1459" w:type="dxa"/>
                  <w:tcBorders>
                    <w:tl2br w:val="nil"/>
                    <w:tr2bl w:val="nil"/>
                  </w:tcBorders>
                  <w:vAlign w:val="center"/>
                </w:tcPr>
                <w:p w14:paraId="61FD77F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每台</w:t>
                  </w:r>
                  <w:r>
                    <w:rPr>
                      <w:rFonts w:hint="eastAsia" w:ascii="Times New Roman" w:hAnsi="Times New Roman" w:eastAsia="宋体" w:cs="Times New Roman"/>
                      <w:color w:val="auto"/>
                      <w:sz w:val="21"/>
                      <w:szCs w:val="21"/>
                      <w:highlight w:val="none"/>
                      <w:lang w:val="en-US" w:eastAsia="zh-CN"/>
                    </w:rPr>
                    <w:t>设备</w:t>
                  </w:r>
                  <w:r>
                    <w:rPr>
                      <w:rFonts w:hint="default" w:ascii="Times New Roman" w:hAnsi="Times New Roman" w:eastAsia="宋体" w:cs="Times New Roman"/>
                      <w:color w:val="auto"/>
                      <w:sz w:val="21"/>
                      <w:szCs w:val="21"/>
                      <w:highlight w:val="none"/>
                      <w:lang w:val="en-US" w:eastAsia="zh-CN"/>
                    </w:rPr>
                    <w:t>生产能力1</w:t>
                  </w:r>
                  <w:r>
                    <w:rPr>
                      <w:rFonts w:hint="default" w:ascii="Times New Roman" w:hAnsi="Times New Roman"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t/h</w:t>
                  </w:r>
                </w:p>
              </w:tc>
            </w:tr>
            <w:tr w14:paraId="0AF161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11" w:type="dxa"/>
                  <w:tcBorders>
                    <w:tl2br w:val="nil"/>
                    <w:tr2bl w:val="nil"/>
                  </w:tcBorders>
                  <w:vAlign w:val="center"/>
                </w:tcPr>
                <w:p w14:paraId="01A5A22D">
                  <w:pPr>
                    <w:widowControl/>
                    <w:wordWrap/>
                    <w:overflowPunct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5</w:t>
                  </w:r>
                </w:p>
              </w:tc>
              <w:tc>
                <w:tcPr>
                  <w:tcW w:w="474" w:type="dxa"/>
                  <w:vMerge w:val="continue"/>
                  <w:tcBorders>
                    <w:tl2br w:val="nil"/>
                    <w:tr2bl w:val="nil"/>
                  </w:tcBorders>
                  <w:vAlign w:val="center"/>
                </w:tcPr>
                <w:p w14:paraId="07485BD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023" w:type="dxa"/>
                  <w:tcBorders>
                    <w:tl2br w:val="nil"/>
                    <w:tr2bl w:val="nil"/>
                  </w:tcBorders>
                  <w:vAlign w:val="center"/>
                </w:tcPr>
                <w:p w14:paraId="792C17F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熟化料仓</w:t>
                  </w:r>
                </w:p>
              </w:tc>
              <w:tc>
                <w:tcPr>
                  <w:tcW w:w="1145" w:type="dxa"/>
                  <w:tcBorders>
                    <w:tl2br w:val="nil"/>
                    <w:tr2bl w:val="nil"/>
                  </w:tcBorders>
                  <w:vAlign w:val="center"/>
                </w:tcPr>
                <w:p w14:paraId="33E9FFA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长</w:t>
                  </w:r>
                  <w:r>
                    <w:rPr>
                      <w:rFonts w:hint="default" w:ascii="Times New Roman" w:hAnsi="Times New Roman" w:cs="Times New Roman"/>
                      <w:color w:val="auto"/>
                      <w:sz w:val="21"/>
                      <w:szCs w:val="21"/>
                      <w:highlight w:val="none"/>
                      <w:lang w:val="en-US" w:eastAsia="zh-CN"/>
                    </w:rPr>
                    <w:t>2m×宽2m×高3m</w:t>
                  </w:r>
                </w:p>
              </w:tc>
              <w:tc>
                <w:tcPr>
                  <w:tcW w:w="628" w:type="dxa"/>
                  <w:tcBorders>
                    <w:tl2br w:val="nil"/>
                    <w:tr2bl w:val="nil"/>
                  </w:tcBorders>
                  <w:vAlign w:val="center"/>
                </w:tcPr>
                <w:p w14:paraId="212B410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1台</w:t>
                  </w:r>
                </w:p>
              </w:tc>
              <w:tc>
                <w:tcPr>
                  <w:tcW w:w="504" w:type="dxa"/>
                  <w:vMerge w:val="continue"/>
                  <w:tcBorders>
                    <w:tl2br w:val="nil"/>
                    <w:tr2bl w:val="nil"/>
                  </w:tcBorders>
                  <w:vAlign w:val="center"/>
                </w:tcPr>
                <w:p w14:paraId="1F5F6E5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900" w:type="dxa"/>
                  <w:tcBorders>
                    <w:tl2br w:val="nil"/>
                    <w:tr2bl w:val="nil"/>
                  </w:tcBorders>
                  <w:vAlign w:val="center"/>
                </w:tcPr>
                <w:p w14:paraId="493B8A0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熟化料仓</w:t>
                  </w:r>
                </w:p>
              </w:tc>
              <w:tc>
                <w:tcPr>
                  <w:tcW w:w="1023" w:type="dxa"/>
                  <w:tcBorders>
                    <w:tl2br w:val="nil"/>
                    <w:tr2bl w:val="nil"/>
                  </w:tcBorders>
                  <w:vAlign w:val="center"/>
                </w:tcPr>
                <w:p w14:paraId="1404F30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长</w:t>
                  </w:r>
                  <w:r>
                    <w:rPr>
                      <w:rFonts w:hint="default" w:ascii="Times New Roman" w:hAnsi="Times New Roman" w:cs="Times New Roman"/>
                      <w:color w:val="auto"/>
                      <w:sz w:val="21"/>
                      <w:szCs w:val="21"/>
                      <w:highlight w:val="none"/>
                      <w:lang w:val="en-US" w:eastAsia="zh-CN"/>
                    </w:rPr>
                    <w:t>2m×宽2m×高</w:t>
                  </w:r>
                  <w:r>
                    <w:rPr>
                      <w:rFonts w:hint="eastAsia" w:cs="Times New Roman"/>
                      <w:color w:val="auto"/>
                      <w:sz w:val="21"/>
                      <w:szCs w:val="21"/>
                      <w:highlight w:val="none"/>
                      <w:lang w:val="en-US" w:eastAsia="zh-CN"/>
                    </w:rPr>
                    <w:t>4.5</w:t>
                  </w:r>
                  <w:r>
                    <w:rPr>
                      <w:rFonts w:hint="default" w:ascii="Times New Roman" w:hAnsi="Times New Roman" w:cs="Times New Roman"/>
                      <w:color w:val="auto"/>
                      <w:sz w:val="21"/>
                      <w:szCs w:val="21"/>
                      <w:highlight w:val="none"/>
                      <w:lang w:val="en-US" w:eastAsia="zh-CN"/>
                    </w:rPr>
                    <w:t>m</w:t>
                  </w:r>
                </w:p>
              </w:tc>
              <w:tc>
                <w:tcPr>
                  <w:tcW w:w="586" w:type="dxa"/>
                  <w:tcBorders>
                    <w:tl2br w:val="nil"/>
                    <w:tr2bl w:val="nil"/>
                  </w:tcBorders>
                  <w:vAlign w:val="center"/>
                </w:tcPr>
                <w:p w14:paraId="2CD076A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1套</w:t>
                  </w:r>
                </w:p>
              </w:tc>
              <w:tc>
                <w:tcPr>
                  <w:tcW w:w="1459" w:type="dxa"/>
                  <w:tcBorders>
                    <w:tl2br w:val="nil"/>
                    <w:tr2bl w:val="nil"/>
                  </w:tcBorders>
                  <w:vAlign w:val="center"/>
                </w:tcPr>
                <w:p w14:paraId="3A16F69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用于泡沫包装制品熟化</w:t>
                  </w:r>
                </w:p>
              </w:tc>
            </w:tr>
            <w:tr w14:paraId="7C7FC6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11" w:type="dxa"/>
                  <w:tcBorders>
                    <w:tl2br w:val="nil"/>
                    <w:tr2bl w:val="nil"/>
                  </w:tcBorders>
                  <w:vAlign w:val="center"/>
                </w:tcPr>
                <w:p w14:paraId="11AC006F">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lang w:eastAsia="zh-CN"/>
                    </w:rPr>
                  </w:pPr>
                  <w:r>
                    <w:rPr>
                      <w:rFonts w:hint="default" w:ascii="Times New Roman" w:hAnsi="Times New Roman" w:cs="Times New Roman"/>
                      <w:b w:val="0"/>
                      <w:bCs w:val="0"/>
                      <w:color w:val="auto"/>
                      <w:kern w:val="0"/>
                      <w:sz w:val="21"/>
                      <w:szCs w:val="21"/>
                      <w:highlight w:val="none"/>
                      <w:lang w:val="en-US" w:eastAsia="zh-CN"/>
                    </w:rPr>
                    <w:t>6</w:t>
                  </w:r>
                </w:p>
              </w:tc>
              <w:tc>
                <w:tcPr>
                  <w:tcW w:w="474" w:type="dxa"/>
                  <w:vMerge w:val="restart"/>
                  <w:tcBorders>
                    <w:tl2br w:val="nil"/>
                    <w:tr2bl w:val="nil"/>
                  </w:tcBorders>
                  <w:vAlign w:val="center"/>
                </w:tcPr>
                <w:p w14:paraId="4CBDF901">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木制品生产线</w:t>
                  </w:r>
                </w:p>
              </w:tc>
              <w:tc>
                <w:tcPr>
                  <w:tcW w:w="1023" w:type="dxa"/>
                  <w:tcBorders>
                    <w:tl2br w:val="nil"/>
                    <w:tr2bl w:val="nil"/>
                  </w:tcBorders>
                  <w:vAlign w:val="center"/>
                </w:tcPr>
                <w:p w14:paraId="60648F6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带锯</w:t>
                  </w:r>
                </w:p>
              </w:tc>
              <w:tc>
                <w:tcPr>
                  <w:tcW w:w="1145" w:type="dxa"/>
                  <w:tcBorders>
                    <w:tl2br w:val="nil"/>
                    <w:tr2bl w:val="nil"/>
                  </w:tcBorders>
                  <w:vAlign w:val="center"/>
                </w:tcPr>
                <w:p w14:paraId="67570B5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628" w:type="dxa"/>
                  <w:tcBorders>
                    <w:tl2br w:val="nil"/>
                    <w:tr2bl w:val="nil"/>
                  </w:tcBorders>
                  <w:vAlign w:val="center"/>
                </w:tcPr>
                <w:p w14:paraId="2E3D25B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台</w:t>
                  </w:r>
                </w:p>
              </w:tc>
              <w:tc>
                <w:tcPr>
                  <w:tcW w:w="504" w:type="dxa"/>
                  <w:vMerge w:val="restart"/>
                  <w:tcBorders>
                    <w:tl2br w:val="nil"/>
                    <w:tr2bl w:val="nil"/>
                  </w:tcBorders>
                  <w:vAlign w:val="center"/>
                </w:tcPr>
                <w:p w14:paraId="125A90B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木制品生产线</w:t>
                  </w:r>
                </w:p>
              </w:tc>
              <w:tc>
                <w:tcPr>
                  <w:tcW w:w="900" w:type="dxa"/>
                  <w:tcBorders>
                    <w:tl2br w:val="nil"/>
                    <w:tr2bl w:val="nil"/>
                  </w:tcBorders>
                  <w:vAlign w:val="center"/>
                </w:tcPr>
                <w:p w14:paraId="67B19FB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023" w:type="dxa"/>
                  <w:tcBorders>
                    <w:tl2br w:val="nil"/>
                    <w:tr2bl w:val="nil"/>
                  </w:tcBorders>
                  <w:vAlign w:val="center"/>
                </w:tcPr>
                <w:p w14:paraId="5845C31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86" w:type="dxa"/>
                  <w:tcBorders>
                    <w:tl2br w:val="nil"/>
                    <w:tr2bl w:val="nil"/>
                  </w:tcBorders>
                  <w:vAlign w:val="center"/>
                </w:tcPr>
                <w:p w14:paraId="4CBB9D4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459" w:type="dxa"/>
                  <w:tcBorders>
                    <w:tl2br w:val="nil"/>
                    <w:tr2bl w:val="nil"/>
                  </w:tcBorders>
                  <w:vAlign w:val="center"/>
                </w:tcPr>
                <w:p w14:paraId="711E1A7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不设</w:t>
                  </w:r>
                  <w:r>
                    <w:rPr>
                      <w:rFonts w:hint="default" w:ascii="Times New Roman" w:hAnsi="Times New Roman" w:eastAsia="宋体" w:cs="Times New Roman"/>
                      <w:color w:val="auto"/>
                      <w:sz w:val="21"/>
                      <w:szCs w:val="21"/>
                      <w:highlight w:val="none"/>
                      <w:lang w:val="en-US" w:eastAsia="zh-CN"/>
                    </w:rPr>
                    <w:t>带锯</w:t>
                  </w:r>
                </w:p>
              </w:tc>
            </w:tr>
            <w:tr w14:paraId="508ED9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11" w:type="dxa"/>
                  <w:tcBorders>
                    <w:tl2br w:val="nil"/>
                    <w:tr2bl w:val="nil"/>
                  </w:tcBorders>
                  <w:vAlign w:val="center"/>
                </w:tcPr>
                <w:p w14:paraId="2FF45283">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7</w:t>
                  </w:r>
                </w:p>
              </w:tc>
              <w:tc>
                <w:tcPr>
                  <w:tcW w:w="474" w:type="dxa"/>
                  <w:vMerge w:val="continue"/>
                  <w:tcBorders>
                    <w:tl2br w:val="nil"/>
                    <w:tr2bl w:val="nil"/>
                  </w:tcBorders>
                  <w:vAlign w:val="center"/>
                </w:tcPr>
                <w:p w14:paraId="1107C63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p>
              </w:tc>
              <w:tc>
                <w:tcPr>
                  <w:tcW w:w="1023" w:type="dxa"/>
                  <w:tcBorders>
                    <w:tl2br w:val="nil"/>
                    <w:tr2bl w:val="nil"/>
                  </w:tcBorders>
                  <w:vAlign w:val="center"/>
                </w:tcPr>
                <w:p w14:paraId="404098F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截</w:t>
                  </w:r>
                  <w:r>
                    <w:rPr>
                      <w:rFonts w:hint="default" w:ascii="Times New Roman" w:hAnsi="Times New Roman" w:eastAsia="宋体" w:cs="Times New Roman"/>
                      <w:color w:val="auto"/>
                      <w:sz w:val="21"/>
                      <w:szCs w:val="21"/>
                      <w:highlight w:val="none"/>
                      <w:lang w:eastAsia="zh-CN"/>
                    </w:rPr>
                    <w:t>锯</w:t>
                  </w:r>
                </w:p>
              </w:tc>
              <w:tc>
                <w:tcPr>
                  <w:tcW w:w="1145" w:type="dxa"/>
                  <w:tcBorders>
                    <w:tl2br w:val="nil"/>
                    <w:tr2bl w:val="nil"/>
                  </w:tcBorders>
                  <w:vAlign w:val="center"/>
                </w:tcPr>
                <w:p w14:paraId="71D3663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628" w:type="dxa"/>
                  <w:tcBorders>
                    <w:tl2br w:val="nil"/>
                    <w:tr2bl w:val="nil"/>
                  </w:tcBorders>
                  <w:vAlign w:val="center"/>
                </w:tcPr>
                <w:p w14:paraId="626340F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台</w:t>
                  </w:r>
                </w:p>
              </w:tc>
              <w:tc>
                <w:tcPr>
                  <w:tcW w:w="504" w:type="dxa"/>
                  <w:vMerge w:val="continue"/>
                  <w:tcBorders>
                    <w:tl2br w:val="nil"/>
                    <w:tr2bl w:val="nil"/>
                  </w:tcBorders>
                  <w:vAlign w:val="center"/>
                </w:tcPr>
                <w:p w14:paraId="674B8CC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900" w:type="dxa"/>
                  <w:tcBorders>
                    <w:tl2br w:val="nil"/>
                    <w:tr2bl w:val="nil"/>
                  </w:tcBorders>
                  <w:vAlign w:val="center"/>
                </w:tcPr>
                <w:p w14:paraId="5D3A998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023" w:type="dxa"/>
                  <w:tcBorders>
                    <w:tl2br w:val="nil"/>
                    <w:tr2bl w:val="nil"/>
                  </w:tcBorders>
                  <w:vAlign w:val="center"/>
                </w:tcPr>
                <w:p w14:paraId="3A68747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86" w:type="dxa"/>
                  <w:tcBorders>
                    <w:tl2br w:val="nil"/>
                    <w:tr2bl w:val="nil"/>
                  </w:tcBorders>
                  <w:vAlign w:val="center"/>
                </w:tcPr>
                <w:p w14:paraId="0F5C59A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459" w:type="dxa"/>
                  <w:tcBorders>
                    <w:tl2br w:val="nil"/>
                    <w:tr2bl w:val="nil"/>
                  </w:tcBorders>
                  <w:vAlign w:val="center"/>
                </w:tcPr>
                <w:p w14:paraId="431209D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eastAsia="zh-CN"/>
                    </w:rPr>
                    <w:t>不设</w:t>
                  </w:r>
                  <w:r>
                    <w:rPr>
                      <w:rFonts w:hint="default" w:ascii="Times New Roman" w:hAnsi="Times New Roman" w:cs="Times New Roman"/>
                      <w:color w:val="auto"/>
                      <w:sz w:val="21"/>
                      <w:szCs w:val="21"/>
                      <w:highlight w:val="none"/>
                      <w:lang w:eastAsia="zh-CN"/>
                    </w:rPr>
                    <w:t>截</w:t>
                  </w:r>
                  <w:r>
                    <w:rPr>
                      <w:rFonts w:hint="default" w:ascii="Times New Roman" w:hAnsi="Times New Roman" w:eastAsia="宋体" w:cs="Times New Roman"/>
                      <w:color w:val="auto"/>
                      <w:sz w:val="21"/>
                      <w:szCs w:val="21"/>
                      <w:highlight w:val="none"/>
                      <w:lang w:eastAsia="zh-CN"/>
                    </w:rPr>
                    <w:t>锯</w:t>
                  </w:r>
                </w:p>
              </w:tc>
            </w:tr>
            <w:tr w14:paraId="48E744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11" w:type="dxa"/>
                  <w:tcBorders>
                    <w:tl2br w:val="nil"/>
                    <w:tr2bl w:val="nil"/>
                  </w:tcBorders>
                  <w:vAlign w:val="center"/>
                </w:tcPr>
                <w:p w14:paraId="1249F236">
                  <w:pPr>
                    <w:widowControl/>
                    <w:wordWrap/>
                    <w:overflowPunct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8</w:t>
                  </w:r>
                </w:p>
              </w:tc>
              <w:tc>
                <w:tcPr>
                  <w:tcW w:w="474" w:type="dxa"/>
                  <w:vMerge w:val="continue"/>
                  <w:tcBorders>
                    <w:tl2br w:val="nil"/>
                    <w:tr2bl w:val="nil"/>
                  </w:tcBorders>
                  <w:vAlign w:val="center"/>
                </w:tcPr>
                <w:p w14:paraId="36CCD43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p>
              </w:tc>
              <w:tc>
                <w:tcPr>
                  <w:tcW w:w="1023" w:type="dxa"/>
                  <w:tcBorders>
                    <w:tl2br w:val="nil"/>
                    <w:tr2bl w:val="nil"/>
                  </w:tcBorders>
                  <w:vAlign w:val="center"/>
                </w:tcPr>
                <w:p w14:paraId="367D9D6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叉车</w:t>
                  </w:r>
                </w:p>
              </w:tc>
              <w:tc>
                <w:tcPr>
                  <w:tcW w:w="1145" w:type="dxa"/>
                  <w:tcBorders>
                    <w:tl2br w:val="nil"/>
                    <w:tr2bl w:val="nil"/>
                  </w:tcBorders>
                  <w:vAlign w:val="center"/>
                </w:tcPr>
                <w:p w14:paraId="0C06AE2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628" w:type="dxa"/>
                  <w:tcBorders>
                    <w:tl2br w:val="nil"/>
                    <w:tr2bl w:val="nil"/>
                  </w:tcBorders>
                  <w:vAlign w:val="center"/>
                </w:tcPr>
                <w:p w14:paraId="0D0673B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2台</w:t>
                  </w:r>
                </w:p>
              </w:tc>
              <w:tc>
                <w:tcPr>
                  <w:tcW w:w="504" w:type="dxa"/>
                  <w:vMerge w:val="continue"/>
                  <w:tcBorders>
                    <w:tl2br w:val="nil"/>
                    <w:tr2bl w:val="nil"/>
                  </w:tcBorders>
                  <w:vAlign w:val="center"/>
                </w:tcPr>
                <w:p w14:paraId="4FE2ED9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900" w:type="dxa"/>
                  <w:tcBorders>
                    <w:tl2br w:val="nil"/>
                    <w:tr2bl w:val="nil"/>
                  </w:tcBorders>
                  <w:vAlign w:val="center"/>
                </w:tcPr>
                <w:p w14:paraId="4705E4F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叉车</w:t>
                  </w:r>
                </w:p>
              </w:tc>
              <w:tc>
                <w:tcPr>
                  <w:tcW w:w="1023" w:type="dxa"/>
                  <w:tcBorders>
                    <w:tl2br w:val="nil"/>
                    <w:tr2bl w:val="nil"/>
                  </w:tcBorders>
                  <w:vAlign w:val="center"/>
                </w:tcPr>
                <w:p w14:paraId="45023A9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w:t>
                  </w:r>
                </w:p>
              </w:tc>
              <w:tc>
                <w:tcPr>
                  <w:tcW w:w="586" w:type="dxa"/>
                  <w:tcBorders>
                    <w:tl2br w:val="nil"/>
                    <w:tr2bl w:val="nil"/>
                  </w:tcBorders>
                  <w:vAlign w:val="center"/>
                </w:tcPr>
                <w:p w14:paraId="4FCAD37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2台</w:t>
                  </w:r>
                </w:p>
              </w:tc>
              <w:tc>
                <w:tcPr>
                  <w:tcW w:w="1459" w:type="dxa"/>
                  <w:tcBorders>
                    <w:tl2br w:val="nil"/>
                    <w:tr2bl w:val="nil"/>
                  </w:tcBorders>
                  <w:vAlign w:val="center"/>
                </w:tcPr>
                <w:p w14:paraId="21BC67C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每台叉车载重2t</w:t>
                  </w:r>
                </w:p>
              </w:tc>
            </w:tr>
            <w:tr w14:paraId="0A9B3F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11" w:type="dxa"/>
                  <w:tcBorders>
                    <w:tl2br w:val="nil"/>
                    <w:tr2bl w:val="nil"/>
                  </w:tcBorders>
                  <w:vAlign w:val="center"/>
                </w:tcPr>
                <w:p w14:paraId="2AF958A2">
                  <w:pPr>
                    <w:widowControl/>
                    <w:wordWrap/>
                    <w:overflowPunct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9</w:t>
                  </w:r>
                </w:p>
              </w:tc>
              <w:tc>
                <w:tcPr>
                  <w:tcW w:w="474" w:type="dxa"/>
                  <w:vMerge w:val="continue"/>
                  <w:tcBorders>
                    <w:tl2br w:val="nil"/>
                    <w:tr2bl w:val="nil"/>
                  </w:tcBorders>
                  <w:vAlign w:val="center"/>
                </w:tcPr>
                <w:p w14:paraId="50B656C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p>
              </w:tc>
              <w:tc>
                <w:tcPr>
                  <w:tcW w:w="1023" w:type="dxa"/>
                  <w:tcBorders>
                    <w:tl2br w:val="nil"/>
                    <w:tr2bl w:val="nil"/>
                  </w:tcBorders>
                  <w:vAlign w:val="center"/>
                </w:tcPr>
                <w:p w14:paraId="54FE33F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钉枪</w:t>
                  </w:r>
                </w:p>
              </w:tc>
              <w:tc>
                <w:tcPr>
                  <w:tcW w:w="1145" w:type="dxa"/>
                  <w:tcBorders>
                    <w:tl2br w:val="nil"/>
                    <w:tr2bl w:val="nil"/>
                  </w:tcBorders>
                  <w:vAlign w:val="center"/>
                </w:tcPr>
                <w:p w14:paraId="3AB722F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LD40</w:t>
                  </w:r>
                </w:p>
              </w:tc>
              <w:tc>
                <w:tcPr>
                  <w:tcW w:w="628" w:type="dxa"/>
                  <w:tcBorders>
                    <w:tl2br w:val="nil"/>
                    <w:tr2bl w:val="nil"/>
                  </w:tcBorders>
                  <w:vAlign w:val="center"/>
                </w:tcPr>
                <w:p w14:paraId="297974D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5台</w:t>
                  </w:r>
                </w:p>
              </w:tc>
              <w:tc>
                <w:tcPr>
                  <w:tcW w:w="504" w:type="dxa"/>
                  <w:vMerge w:val="continue"/>
                  <w:tcBorders>
                    <w:tl2br w:val="nil"/>
                    <w:tr2bl w:val="nil"/>
                  </w:tcBorders>
                  <w:vAlign w:val="center"/>
                </w:tcPr>
                <w:p w14:paraId="60C98D5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900" w:type="dxa"/>
                  <w:tcBorders>
                    <w:tl2br w:val="nil"/>
                    <w:tr2bl w:val="nil"/>
                  </w:tcBorders>
                  <w:vAlign w:val="center"/>
                </w:tcPr>
                <w:p w14:paraId="62F1166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钉枪</w:t>
                  </w:r>
                </w:p>
              </w:tc>
              <w:tc>
                <w:tcPr>
                  <w:tcW w:w="1023" w:type="dxa"/>
                  <w:tcBorders>
                    <w:tl2br w:val="nil"/>
                    <w:tr2bl w:val="nil"/>
                  </w:tcBorders>
                  <w:vAlign w:val="center"/>
                </w:tcPr>
                <w:p w14:paraId="6001632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LD40</w:t>
                  </w:r>
                </w:p>
              </w:tc>
              <w:tc>
                <w:tcPr>
                  <w:tcW w:w="586" w:type="dxa"/>
                  <w:tcBorders>
                    <w:tl2br w:val="nil"/>
                    <w:tr2bl w:val="nil"/>
                  </w:tcBorders>
                  <w:vAlign w:val="center"/>
                </w:tcPr>
                <w:p w14:paraId="6C7982C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5台</w:t>
                  </w:r>
                </w:p>
              </w:tc>
              <w:tc>
                <w:tcPr>
                  <w:tcW w:w="1459" w:type="dxa"/>
                  <w:tcBorders>
                    <w:tl2br w:val="nil"/>
                    <w:tr2bl w:val="nil"/>
                  </w:tcBorders>
                  <w:vAlign w:val="center"/>
                </w:tcPr>
                <w:p w14:paraId="3C776F8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23447E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11" w:type="dxa"/>
                  <w:tcBorders>
                    <w:tl2br w:val="nil"/>
                    <w:tr2bl w:val="nil"/>
                  </w:tcBorders>
                  <w:vAlign w:val="center"/>
                </w:tcPr>
                <w:p w14:paraId="43B69C5C">
                  <w:pPr>
                    <w:widowControl/>
                    <w:wordWrap/>
                    <w:overflowPunct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10</w:t>
                  </w:r>
                </w:p>
              </w:tc>
              <w:tc>
                <w:tcPr>
                  <w:tcW w:w="474" w:type="dxa"/>
                  <w:vMerge w:val="restart"/>
                  <w:tcBorders>
                    <w:tl2br w:val="nil"/>
                    <w:tr2bl w:val="nil"/>
                  </w:tcBorders>
                  <w:vAlign w:val="center"/>
                </w:tcPr>
                <w:p w14:paraId="40607FD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废气治理设施</w:t>
                  </w:r>
                </w:p>
              </w:tc>
              <w:tc>
                <w:tcPr>
                  <w:tcW w:w="1023" w:type="dxa"/>
                  <w:tcBorders>
                    <w:tl2br w:val="nil"/>
                    <w:tr2bl w:val="nil"/>
                  </w:tcBorders>
                  <w:vAlign w:val="center"/>
                </w:tcPr>
                <w:p w14:paraId="3AA06F0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活性炭吸附装置</w:t>
                  </w:r>
                </w:p>
              </w:tc>
              <w:tc>
                <w:tcPr>
                  <w:tcW w:w="1145" w:type="dxa"/>
                  <w:tcBorders>
                    <w:tl2br w:val="nil"/>
                    <w:tr2bl w:val="nil"/>
                  </w:tcBorders>
                  <w:vAlign w:val="center"/>
                </w:tcPr>
                <w:p w14:paraId="6BE6981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三级固定床箱式</w:t>
                  </w:r>
                </w:p>
              </w:tc>
              <w:tc>
                <w:tcPr>
                  <w:tcW w:w="628" w:type="dxa"/>
                  <w:tcBorders>
                    <w:tl2br w:val="nil"/>
                    <w:tr2bl w:val="nil"/>
                  </w:tcBorders>
                  <w:vAlign w:val="center"/>
                </w:tcPr>
                <w:p w14:paraId="65A74EC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1套</w:t>
                  </w:r>
                </w:p>
              </w:tc>
              <w:tc>
                <w:tcPr>
                  <w:tcW w:w="504" w:type="dxa"/>
                  <w:vMerge w:val="restart"/>
                  <w:tcBorders>
                    <w:tl2br w:val="nil"/>
                    <w:tr2bl w:val="nil"/>
                  </w:tcBorders>
                  <w:vAlign w:val="center"/>
                </w:tcPr>
                <w:p w14:paraId="46122B6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废气治理设施</w:t>
                  </w:r>
                </w:p>
              </w:tc>
              <w:tc>
                <w:tcPr>
                  <w:tcW w:w="900" w:type="dxa"/>
                  <w:tcBorders>
                    <w:tl2br w:val="nil"/>
                    <w:tr2bl w:val="nil"/>
                  </w:tcBorders>
                  <w:vAlign w:val="center"/>
                </w:tcPr>
                <w:p w14:paraId="65F33E9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活性炭吸附装置</w:t>
                  </w:r>
                </w:p>
              </w:tc>
              <w:tc>
                <w:tcPr>
                  <w:tcW w:w="1023" w:type="dxa"/>
                  <w:tcBorders>
                    <w:tl2br w:val="nil"/>
                    <w:tr2bl w:val="nil"/>
                  </w:tcBorders>
                  <w:vAlign w:val="center"/>
                </w:tcPr>
                <w:p w14:paraId="3CF221A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三级固定床箱式</w:t>
                  </w:r>
                </w:p>
              </w:tc>
              <w:tc>
                <w:tcPr>
                  <w:tcW w:w="586" w:type="dxa"/>
                  <w:tcBorders>
                    <w:tl2br w:val="nil"/>
                    <w:tr2bl w:val="nil"/>
                  </w:tcBorders>
                  <w:vAlign w:val="center"/>
                </w:tcPr>
                <w:p w14:paraId="07FFADD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1套</w:t>
                  </w:r>
                </w:p>
              </w:tc>
              <w:tc>
                <w:tcPr>
                  <w:tcW w:w="1459" w:type="dxa"/>
                  <w:tcBorders>
                    <w:tl2br w:val="nil"/>
                    <w:tr2bl w:val="nil"/>
                  </w:tcBorders>
                  <w:vAlign w:val="center"/>
                </w:tcPr>
                <w:p w14:paraId="55E4F6A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081EF3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11" w:type="dxa"/>
                  <w:tcBorders>
                    <w:tl2br w:val="nil"/>
                    <w:tr2bl w:val="nil"/>
                  </w:tcBorders>
                  <w:vAlign w:val="center"/>
                </w:tcPr>
                <w:p w14:paraId="2E4EF8F7">
                  <w:pPr>
                    <w:widowControl/>
                    <w:wordWrap/>
                    <w:overflowPunct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11</w:t>
                  </w:r>
                </w:p>
              </w:tc>
              <w:tc>
                <w:tcPr>
                  <w:tcW w:w="474" w:type="dxa"/>
                  <w:vMerge w:val="continue"/>
                  <w:tcBorders>
                    <w:tl2br w:val="nil"/>
                    <w:tr2bl w:val="nil"/>
                  </w:tcBorders>
                  <w:vAlign w:val="center"/>
                </w:tcPr>
                <w:p w14:paraId="438043F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1023" w:type="dxa"/>
                  <w:tcBorders>
                    <w:tl2br w:val="nil"/>
                    <w:tr2bl w:val="nil"/>
                  </w:tcBorders>
                  <w:vAlign w:val="center"/>
                </w:tcPr>
                <w:p w14:paraId="56D87BF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冷凝除湿除雾系统</w:t>
                  </w:r>
                </w:p>
              </w:tc>
              <w:tc>
                <w:tcPr>
                  <w:tcW w:w="1145" w:type="dxa"/>
                  <w:tcBorders>
                    <w:tl2br w:val="nil"/>
                    <w:tr2bl w:val="nil"/>
                  </w:tcBorders>
                  <w:vAlign w:val="center"/>
                </w:tcPr>
                <w:p w14:paraId="78EE479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628" w:type="dxa"/>
                  <w:tcBorders>
                    <w:tl2br w:val="nil"/>
                    <w:tr2bl w:val="nil"/>
                  </w:tcBorders>
                  <w:vAlign w:val="center"/>
                </w:tcPr>
                <w:p w14:paraId="5832342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1套</w:t>
                  </w:r>
                </w:p>
              </w:tc>
              <w:tc>
                <w:tcPr>
                  <w:tcW w:w="504" w:type="dxa"/>
                  <w:vMerge w:val="continue"/>
                  <w:tcBorders>
                    <w:tl2br w:val="nil"/>
                    <w:tr2bl w:val="nil"/>
                  </w:tcBorders>
                  <w:vAlign w:val="center"/>
                </w:tcPr>
                <w:p w14:paraId="37B7ED9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900" w:type="dxa"/>
                  <w:tcBorders>
                    <w:tl2br w:val="nil"/>
                    <w:tr2bl w:val="nil"/>
                  </w:tcBorders>
                  <w:vAlign w:val="center"/>
                </w:tcPr>
                <w:p w14:paraId="2797451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冷凝除湿除雾系统</w:t>
                  </w:r>
                </w:p>
              </w:tc>
              <w:tc>
                <w:tcPr>
                  <w:tcW w:w="1023" w:type="dxa"/>
                  <w:tcBorders>
                    <w:tl2br w:val="nil"/>
                    <w:tr2bl w:val="nil"/>
                  </w:tcBorders>
                  <w:vAlign w:val="center"/>
                </w:tcPr>
                <w:p w14:paraId="7C2DF9F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586" w:type="dxa"/>
                  <w:tcBorders>
                    <w:tl2br w:val="nil"/>
                    <w:tr2bl w:val="nil"/>
                  </w:tcBorders>
                  <w:vAlign w:val="center"/>
                </w:tcPr>
                <w:p w14:paraId="12E63C3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1套</w:t>
                  </w:r>
                </w:p>
              </w:tc>
              <w:tc>
                <w:tcPr>
                  <w:tcW w:w="1459" w:type="dxa"/>
                  <w:tcBorders>
                    <w:tl2br w:val="nil"/>
                    <w:tr2bl w:val="nil"/>
                  </w:tcBorders>
                  <w:vAlign w:val="center"/>
                </w:tcPr>
                <w:p w14:paraId="158B2AE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r>
            <w:tr w14:paraId="0CA9F9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11" w:type="dxa"/>
                  <w:tcBorders>
                    <w:tl2br w:val="nil"/>
                    <w:tr2bl w:val="nil"/>
                  </w:tcBorders>
                  <w:vAlign w:val="center"/>
                </w:tcPr>
                <w:p w14:paraId="75AFBE47">
                  <w:pPr>
                    <w:widowControl/>
                    <w:wordWrap/>
                    <w:overflowPunct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1</w:t>
                  </w:r>
                  <w:r>
                    <w:rPr>
                      <w:rFonts w:hint="eastAsia" w:cs="Times New Roman"/>
                      <w:b w:val="0"/>
                      <w:bCs w:val="0"/>
                      <w:color w:val="auto"/>
                      <w:kern w:val="0"/>
                      <w:sz w:val="21"/>
                      <w:szCs w:val="21"/>
                      <w:highlight w:val="none"/>
                      <w:lang w:val="en-US" w:eastAsia="zh-CN"/>
                    </w:rPr>
                    <w:t>2</w:t>
                  </w:r>
                </w:p>
              </w:tc>
              <w:tc>
                <w:tcPr>
                  <w:tcW w:w="474" w:type="dxa"/>
                  <w:vMerge w:val="continue"/>
                  <w:tcBorders>
                    <w:tl2br w:val="nil"/>
                    <w:tr2bl w:val="nil"/>
                  </w:tcBorders>
                  <w:vAlign w:val="center"/>
                </w:tcPr>
                <w:p w14:paraId="40B0D6B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1023" w:type="dxa"/>
                  <w:tcBorders>
                    <w:tl2br w:val="nil"/>
                    <w:tr2bl w:val="nil"/>
                  </w:tcBorders>
                  <w:vAlign w:val="center"/>
                </w:tcPr>
                <w:p w14:paraId="7461A76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布袋除尘器</w:t>
                  </w:r>
                </w:p>
              </w:tc>
              <w:tc>
                <w:tcPr>
                  <w:tcW w:w="1145" w:type="dxa"/>
                  <w:tcBorders>
                    <w:tl2br w:val="nil"/>
                    <w:tr2bl w:val="nil"/>
                  </w:tcBorders>
                  <w:vAlign w:val="center"/>
                </w:tcPr>
                <w:p w14:paraId="777FB46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DMC</w:t>
                  </w:r>
                </w:p>
              </w:tc>
              <w:tc>
                <w:tcPr>
                  <w:tcW w:w="628" w:type="dxa"/>
                  <w:tcBorders>
                    <w:tl2br w:val="nil"/>
                    <w:tr2bl w:val="nil"/>
                  </w:tcBorders>
                  <w:vAlign w:val="center"/>
                </w:tcPr>
                <w:p w14:paraId="0CF211C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2套</w:t>
                  </w:r>
                </w:p>
              </w:tc>
              <w:tc>
                <w:tcPr>
                  <w:tcW w:w="504" w:type="dxa"/>
                  <w:vMerge w:val="continue"/>
                  <w:tcBorders>
                    <w:tl2br w:val="nil"/>
                    <w:tr2bl w:val="nil"/>
                  </w:tcBorders>
                  <w:vAlign w:val="center"/>
                </w:tcPr>
                <w:p w14:paraId="0DB49C9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900" w:type="dxa"/>
                  <w:tcBorders>
                    <w:tl2br w:val="nil"/>
                    <w:tr2bl w:val="nil"/>
                  </w:tcBorders>
                  <w:vAlign w:val="center"/>
                </w:tcPr>
                <w:p w14:paraId="468D757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布袋除尘器</w:t>
                  </w:r>
                </w:p>
              </w:tc>
              <w:tc>
                <w:tcPr>
                  <w:tcW w:w="1023" w:type="dxa"/>
                  <w:tcBorders>
                    <w:tl2br w:val="nil"/>
                    <w:tr2bl w:val="nil"/>
                  </w:tcBorders>
                  <w:vAlign w:val="center"/>
                </w:tcPr>
                <w:p w14:paraId="05D7FC0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586" w:type="dxa"/>
                  <w:tcBorders>
                    <w:tl2br w:val="nil"/>
                    <w:tr2bl w:val="nil"/>
                  </w:tcBorders>
                  <w:vAlign w:val="center"/>
                </w:tcPr>
                <w:p w14:paraId="295E1C3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套</w:t>
                  </w:r>
                </w:p>
              </w:tc>
              <w:tc>
                <w:tcPr>
                  <w:tcW w:w="1459" w:type="dxa"/>
                  <w:tcBorders>
                    <w:tl2br w:val="nil"/>
                    <w:tr2bl w:val="nil"/>
                  </w:tcBorders>
                  <w:vAlign w:val="center"/>
                </w:tcPr>
                <w:p w14:paraId="1C78B7C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33DCCE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11" w:type="dxa"/>
                  <w:tcBorders>
                    <w:tl2br w:val="nil"/>
                    <w:tr2bl w:val="nil"/>
                  </w:tcBorders>
                  <w:vAlign w:val="center"/>
                </w:tcPr>
                <w:p w14:paraId="2ED0F072">
                  <w:pPr>
                    <w:widowControl/>
                    <w:wordWrap/>
                    <w:overflowPunct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1</w:t>
                  </w:r>
                  <w:r>
                    <w:rPr>
                      <w:rFonts w:hint="eastAsia" w:cs="Times New Roman"/>
                      <w:b w:val="0"/>
                      <w:bCs w:val="0"/>
                      <w:color w:val="auto"/>
                      <w:kern w:val="0"/>
                      <w:sz w:val="21"/>
                      <w:szCs w:val="21"/>
                      <w:highlight w:val="none"/>
                      <w:lang w:val="en-US" w:eastAsia="zh-CN"/>
                    </w:rPr>
                    <w:t>3</w:t>
                  </w:r>
                </w:p>
              </w:tc>
              <w:tc>
                <w:tcPr>
                  <w:tcW w:w="474" w:type="dxa"/>
                  <w:vMerge w:val="continue"/>
                  <w:tcBorders>
                    <w:tl2br w:val="nil"/>
                    <w:tr2bl w:val="nil"/>
                  </w:tcBorders>
                  <w:vAlign w:val="center"/>
                </w:tcPr>
                <w:p w14:paraId="01F7105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1023" w:type="dxa"/>
                  <w:tcBorders>
                    <w:tl2br w:val="nil"/>
                    <w:tr2bl w:val="nil"/>
                  </w:tcBorders>
                  <w:vAlign w:val="center"/>
                </w:tcPr>
                <w:p w14:paraId="2710A28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泡沫制品包装废气处理风机</w:t>
                  </w:r>
                </w:p>
              </w:tc>
              <w:tc>
                <w:tcPr>
                  <w:tcW w:w="1145" w:type="dxa"/>
                  <w:tcBorders>
                    <w:tl2br w:val="nil"/>
                    <w:tr2bl w:val="nil"/>
                  </w:tcBorders>
                  <w:vAlign w:val="center"/>
                </w:tcPr>
                <w:p w14:paraId="2B413E6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25000m3/h</w:t>
                  </w:r>
                </w:p>
              </w:tc>
              <w:tc>
                <w:tcPr>
                  <w:tcW w:w="628" w:type="dxa"/>
                  <w:tcBorders>
                    <w:tl2br w:val="nil"/>
                    <w:tr2bl w:val="nil"/>
                  </w:tcBorders>
                  <w:vAlign w:val="center"/>
                </w:tcPr>
                <w:p w14:paraId="6428377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1台</w:t>
                  </w:r>
                </w:p>
              </w:tc>
              <w:tc>
                <w:tcPr>
                  <w:tcW w:w="504" w:type="dxa"/>
                  <w:vMerge w:val="continue"/>
                  <w:tcBorders>
                    <w:tl2br w:val="nil"/>
                    <w:tr2bl w:val="nil"/>
                  </w:tcBorders>
                  <w:vAlign w:val="center"/>
                </w:tcPr>
                <w:p w14:paraId="10764BA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900" w:type="dxa"/>
                  <w:tcBorders>
                    <w:tl2br w:val="nil"/>
                    <w:tr2bl w:val="nil"/>
                  </w:tcBorders>
                  <w:vAlign w:val="center"/>
                </w:tcPr>
                <w:p w14:paraId="080FA6E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泡沫制品包装废气处理风机</w:t>
                  </w:r>
                </w:p>
              </w:tc>
              <w:tc>
                <w:tcPr>
                  <w:tcW w:w="1023" w:type="dxa"/>
                  <w:tcBorders>
                    <w:tl2br w:val="nil"/>
                    <w:tr2bl w:val="nil"/>
                  </w:tcBorders>
                  <w:vAlign w:val="center"/>
                </w:tcPr>
                <w:p w14:paraId="0BE52AF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586" w:type="dxa"/>
                  <w:tcBorders>
                    <w:tl2br w:val="nil"/>
                    <w:tr2bl w:val="nil"/>
                  </w:tcBorders>
                  <w:vAlign w:val="center"/>
                </w:tcPr>
                <w:p w14:paraId="0759274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1台</w:t>
                  </w:r>
                </w:p>
              </w:tc>
              <w:tc>
                <w:tcPr>
                  <w:tcW w:w="1459" w:type="dxa"/>
                  <w:tcBorders>
                    <w:tl2br w:val="nil"/>
                    <w:tr2bl w:val="nil"/>
                  </w:tcBorders>
                  <w:vAlign w:val="center"/>
                </w:tcPr>
                <w:p w14:paraId="4F086E6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061611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11" w:type="dxa"/>
                  <w:tcBorders>
                    <w:tl2br w:val="nil"/>
                    <w:tr2bl w:val="nil"/>
                  </w:tcBorders>
                  <w:vAlign w:val="center"/>
                </w:tcPr>
                <w:p w14:paraId="1BB075FE">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cs="Times New Roman"/>
                      <w:b w:val="0"/>
                      <w:bCs w:val="0"/>
                      <w:color w:val="auto"/>
                      <w:kern w:val="0"/>
                      <w:sz w:val="21"/>
                      <w:szCs w:val="21"/>
                      <w:highlight w:val="none"/>
                      <w:lang w:val="en-US" w:eastAsia="zh-CN"/>
                    </w:rPr>
                    <w:t>1</w:t>
                  </w:r>
                  <w:r>
                    <w:rPr>
                      <w:rFonts w:hint="eastAsia" w:cs="Times New Roman"/>
                      <w:b w:val="0"/>
                      <w:bCs w:val="0"/>
                      <w:color w:val="auto"/>
                      <w:kern w:val="0"/>
                      <w:sz w:val="21"/>
                      <w:szCs w:val="21"/>
                      <w:highlight w:val="none"/>
                      <w:lang w:val="en-US" w:eastAsia="zh-CN"/>
                    </w:rPr>
                    <w:t>4</w:t>
                  </w:r>
                </w:p>
              </w:tc>
              <w:tc>
                <w:tcPr>
                  <w:tcW w:w="474" w:type="dxa"/>
                  <w:vMerge w:val="continue"/>
                  <w:tcBorders>
                    <w:tl2br w:val="nil"/>
                    <w:tr2bl w:val="nil"/>
                  </w:tcBorders>
                  <w:vAlign w:val="center"/>
                </w:tcPr>
                <w:p w14:paraId="7470750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1023" w:type="dxa"/>
                  <w:tcBorders>
                    <w:tl2br w:val="nil"/>
                    <w:tr2bl w:val="nil"/>
                  </w:tcBorders>
                  <w:vAlign w:val="center"/>
                </w:tcPr>
                <w:p w14:paraId="06450B1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干燥室换气风机</w:t>
                  </w:r>
                </w:p>
              </w:tc>
              <w:tc>
                <w:tcPr>
                  <w:tcW w:w="1145" w:type="dxa"/>
                  <w:tcBorders>
                    <w:tl2br w:val="nil"/>
                    <w:tr2bl w:val="nil"/>
                  </w:tcBorders>
                  <w:vAlign w:val="center"/>
                </w:tcPr>
                <w:p w14:paraId="5EC516A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25000m3/h</w:t>
                  </w:r>
                </w:p>
              </w:tc>
              <w:tc>
                <w:tcPr>
                  <w:tcW w:w="628" w:type="dxa"/>
                  <w:tcBorders>
                    <w:tl2br w:val="nil"/>
                    <w:tr2bl w:val="nil"/>
                  </w:tcBorders>
                  <w:vAlign w:val="center"/>
                </w:tcPr>
                <w:p w14:paraId="39C2C37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1台</w:t>
                  </w:r>
                </w:p>
              </w:tc>
              <w:tc>
                <w:tcPr>
                  <w:tcW w:w="504" w:type="dxa"/>
                  <w:vMerge w:val="continue"/>
                  <w:tcBorders>
                    <w:tl2br w:val="nil"/>
                    <w:tr2bl w:val="nil"/>
                  </w:tcBorders>
                  <w:vAlign w:val="center"/>
                </w:tcPr>
                <w:p w14:paraId="7571A36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900" w:type="dxa"/>
                  <w:tcBorders>
                    <w:tl2br w:val="nil"/>
                    <w:tr2bl w:val="nil"/>
                  </w:tcBorders>
                  <w:vAlign w:val="center"/>
                </w:tcPr>
                <w:p w14:paraId="11B9294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干燥室换气风机</w:t>
                  </w:r>
                </w:p>
              </w:tc>
              <w:tc>
                <w:tcPr>
                  <w:tcW w:w="1023" w:type="dxa"/>
                  <w:tcBorders>
                    <w:tl2br w:val="nil"/>
                    <w:tr2bl w:val="nil"/>
                  </w:tcBorders>
                  <w:vAlign w:val="center"/>
                </w:tcPr>
                <w:p w14:paraId="7D7E5CE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p>
              </w:tc>
              <w:tc>
                <w:tcPr>
                  <w:tcW w:w="586" w:type="dxa"/>
                  <w:tcBorders>
                    <w:tl2br w:val="nil"/>
                    <w:tr2bl w:val="nil"/>
                  </w:tcBorders>
                  <w:vAlign w:val="center"/>
                </w:tcPr>
                <w:p w14:paraId="4301F22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1台</w:t>
                  </w:r>
                </w:p>
              </w:tc>
              <w:tc>
                <w:tcPr>
                  <w:tcW w:w="1459" w:type="dxa"/>
                  <w:tcBorders>
                    <w:tl2br w:val="nil"/>
                    <w:tr2bl w:val="nil"/>
                  </w:tcBorders>
                  <w:vAlign w:val="center"/>
                </w:tcPr>
                <w:p w14:paraId="3C4A04C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r>
            <w:tr w14:paraId="6D5A85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11" w:type="dxa"/>
                  <w:tcBorders>
                    <w:tl2br w:val="nil"/>
                    <w:tr2bl w:val="nil"/>
                  </w:tcBorders>
                  <w:vAlign w:val="center"/>
                </w:tcPr>
                <w:p w14:paraId="55812E09">
                  <w:pPr>
                    <w:widowControl/>
                    <w:wordWrap/>
                    <w:overflowPunct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cs="Times New Roman"/>
                      <w:b w:val="0"/>
                      <w:bCs w:val="0"/>
                      <w:color w:val="auto"/>
                      <w:kern w:val="0"/>
                      <w:sz w:val="21"/>
                      <w:szCs w:val="21"/>
                      <w:highlight w:val="none"/>
                      <w:lang w:val="en-US" w:eastAsia="zh-CN"/>
                    </w:rPr>
                    <w:t>1</w:t>
                  </w:r>
                  <w:r>
                    <w:rPr>
                      <w:rFonts w:hint="eastAsia" w:cs="Times New Roman"/>
                      <w:b w:val="0"/>
                      <w:bCs w:val="0"/>
                      <w:color w:val="auto"/>
                      <w:kern w:val="0"/>
                      <w:sz w:val="21"/>
                      <w:szCs w:val="21"/>
                      <w:highlight w:val="none"/>
                      <w:lang w:val="en-US" w:eastAsia="zh-CN"/>
                    </w:rPr>
                    <w:t>5</w:t>
                  </w:r>
                </w:p>
              </w:tc>
              <w:tc>
                <w:tcPr>
                  <w:tcW w:w="474" w:type="dxa"/>
                  <w:vMerge w:val="continue"/>
                  <w:tcBorders>
                    <w:tl2br w:val="nil"/>
                    <w:tr2bl w:val="nil"/>
                  </w:tcBorders>
                  <w:vAlign w:val="center"/>
                </w:tcPr>
                <w:p w14:paraId="1A2AFBE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1023" w:type="dxa"/>
                  <w:tcBorders>
                    <w:tl2br w:val="nil"/>
                    <w:tr2bl w:val="nil"/>
                  </w:tcBorders>
                  <w:vAlign w:val="center"/>
                </w:tcPr>
                <w:p w14:paraId="7DFF89A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木制品废气处理风机</w:t>
                  </w:r>
                </w:p>
              </w:tc>
              <w:tc>
                <w:tcPr>
                  <w:tcW w:w="1145" w:type="dxa"/>
                  <w:tcBorders>
                    <w:tl2br w:val="nil"/>
                    <w:tr2bl w:val="nil"/>
                  </w:tcBorders>
                  <w:vAlign w:val="center"/>
                </w:tcPr>
                <w:p w14:paraId="48639E4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25000m3/h</w:t>
                  </w:r>
                </w:p>
              </w:tc>
              <w:tc>
                <w:tcPr>
                  <w:tcW w:w="628" w:type="dxa"/>
                  <w:tcBorders>
                    <w:tl2br w:val="nil"/>
                    <w:tr2bl w:val="nil"/>
                  </w:tcBorders>
                  <w:vAlign w:val="center"/>
                </w:tcPr>
                <w:p w14:paraId="7CF79BC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1台</w:t>
                  </w:r>
                </w:p>
              </w:tc>
              <w:tc>
                <w:tcPr>
                  <w:tcW w:w="504" w:type="dxa"/>
                  <w:vMerge w:val="continue"/>
                  <w:tcBorders>
                    <w:tl2br w:val="nil"/>
                    <w:tr2bl w:val="nil"/>
                  </w:tcBorders>
                  <w:vAlign w:val="center"/>
                </w:tcPr>
                <w:p w14:paraId="6A066A3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900" w:type="dxa"/>
                  <w:tcBorders>
                    <w:tl2br w:val="nil"/>
                    <w:tr2bl w:val="nil"/>
                  </w:tcBorders>
                  <w:vAlign w:val="center"/>
                </w:tcPr>
                <w:p w14:paraId="1886408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cs="Times New Roman"/>
                      <w:color w:val="auto"/>
                      <w:sz w:val="21"/>
                      <w:szCs w:val="21"/>
                      <w:highlight w:val="none"/>
                      <w:lang w:val="en-US" w:eastAsia="zh-CN"/>
                    </w:rPr>
                    <w:t>/</w:t>
                  </w:r>
                </w:p>
              </w:tc>
              <w:tc>
                <w:tcPr>
                  <w:tcW w:w="1023" w:type="dxa"/>
                  <w:tcBorders>
                    <w:tl2br w:val="nil"/>
                    <w:tr2bl w:val="nil"/>
                  </w:tcBorders>
                  <w:vAlign w:val="center"/>
                </w:tcPr>
                <w:p w14:paraId="611E266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yellow"/>
                      <w:lang w:val="en-US" w:eastAsia="zh-CN"/>
                    </w:rPr>
                  </w:pPr>
                  <w:r>
                    <w:rPr>
                      <w:rFonts w:hint="default" w:ascii="Times New Roman" w:hAnsi="Times New Roman" w:cs="Times New Roman"/>
                      <w:color w:val="auto"/>
                      <w:sz w:val="21"/>
                      <w:szCs w:val="21"/>
                      <w:highlight w:val="none"/>
                      <w:lang w:val="en-US" w:eastAsia="zh-CN"/>
                    </w:rPr>
                    <w:t>/</w:t>
                  </w:r>
                </w:p>
              </w:tc>
              <w:tc>
                <w:tcPr>
                  <w:tcW w:w="586" w:type="dxa"/>
                  <w:tcBorders>
                    <w:tl2br w:val="nil"/>
                    <w:tr2bl w:val="nil"/>
                  </w:tcBorders>
                  <w:vAlign w:val="center"/>
                </w:tcPr>
                <w:p w14:paraId="27F5E15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yellow"/>
                      <w:lang w:val="en-US" w:eastAsia="zh-CN"/>
                    </w:rPr>
                  </w:pPr>
                  <w:r>
                    <w:rPr>
                      <w:rFonts w:hint="default" w:ascii="Times New Roman" w:hAnsi="Times New Roman" w:cs="Times New Roman"/>
                      <w:color w:val="auto"/>
                      <w:sz w:val="21"/>
                      <w:szCs w:val="21"/>
                      <w:highlight w:val="none"/>
                      <w:lang w:val="en-US" w:eastAsia="zh-CN"/>
                    </w:rPr>
                    <w:t>/</w:t>
                  </w:r>
                </w:p>
              </w:tc>
              <w:tc>
                <w:tcPr>
                  <w:tcW w:w="1459" w:type="dxa"/>
                  <w:tcBorders>
                    <w:tl2br w:val="nil"/>
                    <w:tr2bl w:val="nil"/>
                  </w:tcBorders>
                  <w:vAlign w:val="center"/>
                </w:tcPr>
                <w:p w14:paraId="682FDCE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15409A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11" w:type="dxa"/>
                  <w:tcBorders>
                    <w:tl2br w:val="nil"/>
                    <w:tr2bl w:val="nil"/>
                  </w:tcBorders>
                  <w:vAlign w:val="center"/>
                </w:tcPr>
                <w:p w14:paraId="717726F3">
                  <w:pPr>
                    <w:widowControl/>
                    <w:wordWrap/>
                    <w:overflowPunct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1</w:t>
                  </w:r>
                  <w:r>
                    <w:rPr>
                      <w:rFonts w:hint="eastAsia" w:cs="Times New Roman"/>
                      <w:b w:val="0"/>
                      <w:bCs w:val="0"/>
                      <w:color w:val="auto"/>
                      <w:kern w:val="0"/>
                      <w:sz w:val="21"/>
                      <w:szCs w:val="21"/>
                      <w:highlight w:val="none"/>
                      <w:lang w:val="en-US" w:eastAsia="zh-CN"/>
                    </w:rPr>
                    <w:t>6</w:t>
                  </w:r>
                </w:p>
              </w:tc>
              <w:tc>
                <w:tcPr>
                  <w:tcW w:w="474" w:type="dxa"/>
                  <w:vMerge w:val="continue"/>
                  <w:tcBorders>
                    <w:tl2br w:val="nil"/>
                    <w:tr2bl w:val="nil"/>
                  </w:tcBorders>
                  <w:vAlign w:val="center"/>
                </w:tcPr>
                <w:p w14:paraId="1E26D71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1023" w:type="dxa"/>
                  <w:tcBorders>
                    <w:tl2br w:val="nil"/>
                    <w:tr2bl w:val="nil"/>
                  </w:tcBorders>
                  <w:vAlign w:val="center"/>
                </w:tcPr>
                <w:p w14:paraId="28C6B40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局部密闭式集气罩</w:t>
                  </w:r>
                </w:p>
              </w:tc>
              <w:tc>
                <w:tcPr>
                  <w:tcW w:w="1145" w:type="dxa"/>
                  <w:tcBorders>
                    <w:tl2br w:val="nil"/>
                    <w:tr2bl w:val="nil"/>
                  </w:tcBorders>
                  <w:vAlign w:val="center"/>
                </w:tcPr>
                <w:p w14:paraId="452A3BC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628" w:type="dxa"/>
                  <w:tcBorders>
                    <w:tl2br w:val="nil"/>
                    <w:tr2bl w:val="nil"/>
                  </w:tcBorders>
                  <w:vAlign w:val="center"/>
                </w:tcPr>
                <w:p w14:paraId="643ABA0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3套</w:t>
                  </w:r>
                </w:p>
              </w:tc>
              <w:tc>
                <w:tcPr>
                  <w:tcW w:w="504" w:type="dxa"/>
                  <w:vMerge w:val="continue"/>
                  <w:tcBorders>
                    <w:tl2br w:val="nil"/>
                    <w:tr2bl w:val="nil"/>
                  </w:tcBorders>
                  <w:vAlign w:val="center"/>
                </w:tcPr>
                <w:p w14:paraId="6C4BE1E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900" w:type="dxa"/>
                  <w:tcBorders>
                    <w:tl2br w:val="nil"/>
                    <w:tr2bl w:val="nil"/>
                  </w:tcBorders>
                  <w:vAlign w:val="center"/>
                </w:tcPr>
                <w:p w14:paraId="50E348B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局部密闭式集气罩</w:t>
                  </w:r>
                </w:p>
              </w:tc>
              <w:tc>
                <w:tcPr>
                  <w:tcW w:w="1023" w:type="dxa"/>
                  <w:tcBorders>
                    <w:tl2br w:val="nil"/>
                    <w:tr2bl w:val="nil"/>
                  </w:tcBorders>
                  <w:vAlign w:val="center"/>
                </w:tcPr>
                <w:p w14:paraId="0DF3B9C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586" w:type="dxa"/>
                  <w:tcBorders>
                    <w:tl2br w:val="nil"/>
                    <w:tr2bl w:val="nil"/>
                  </w:tcBorders>
                  <w:vAlign w:val="center"/>
                </w:tcPr>
                <w:p w14:paraId="42C6142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套</w:t>
                  </w:r>
                </w:p>
              </w:tc>
              <w:tc>
                <w:tcPr>
                  <w:tcW w:w="1459" w:type="dxa"/>
                  <w:tcBorders>
                    <w:tl2br w:val="nil"/>
                    <w:tr2bl w:val="nil"/>
                  </w:tcBorders>
                  <w:vAlign w:val="center"/>
                </w:tcPr>
                <w:p w14:paraId="461A12C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5F6F52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1" w:type="dxa"/>
                  <w:tcBorders>
                    <w:tl2br w:val="nil"/>
                    <w:tr2bl w:val="nil"/>
                  </w:tcBorders>
                  <w:vAlign w:val="center"/>
                </w:tcPr>
                <w:p w14:paraId="30B3B3DA">
                  <w:pPr>
                    <w:widowControl/>
                    <w:wordWrap/>
                    <w:overflowPunct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1</w:t>
                  </w:r>
                  <w:r>
                    <w:rPr>
                      <w:rFonts w:hint="eastAsia" w:cs="Times New Roman"/>
                      <w:b w:val="0"/>
                      <w:bCs w:val="0"/>
                      <w:color w:val="auto"/>
                      <w:kern w:val="0"/>
                      <w:sz w:val="21"/>
                      <w:szCs w:val="21"/>
                      <w:highlight w:val="none"/>
                      <w:lang w:val="en-US" w:eastAsia="zh-CN"/>
                    </w:rPr>
                    <w:t>7</w:t>
                  </w:r>
                </w:p>
              </w:tc>
              <w:tc>
                <w:tcPr>
                  <w:tcW w:w="474" w:type="dxa"/>
                  <w:tcBorders>
                    <w:bottom w:val="single" w:color="000000" w:sz="4" w:space="0"/>
                    <w:tl2br w:val="nil"/>
                    <w:tr2bl w:val="nil"/>
                  </w:tcBorders>
                  <w:vAlign w:val="center"/>
                </w:tcPr>
                <w:p w14:paraId="6BC0367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成型机冷却</w:t>
                  </w:r>
                </w:p>
              </w:tc>
              <w:tc>
                <w:tcPr>
                  <w:tcW w:w="1023" w:type="dxa"/>
                  <w:tcBorders>
                    <w:bottom w:val="single" w:color="000000" w:sz="4" w:space="0"/>
                    <w:tl2br w:val="nil"/>
                    <w:tr2bl w:val="nil"/>
                  </w:tcBorders>
                  <w:vAlign w:val="center"/>
                </w:tcPr>
                <w:p w14:paraId="0259641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循环冷却水系统</w:t>
                  </w:r>
                </w:p>
              </w:tc>
              <w:tc>
                <w:tcPr>
                  <w:tcW w:w="1145" w:type="dxa"/>
                  <w:tcBorders>
                    <w:tl2br w:val="nil"/>
                    <w:tr2bl w:val="nil"/>
                  </w:tcBorders>
                  <w:vAlign w:val="center"/>
                </w:tcPr>
                <w:p w14:paraId="67DECD4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628" w:type="dxa"/>
                  <w:tcBorders>
                    <w:tl2br w:val="nil"/>
                    <w:tr2bl w:val="nil"/>
                  </w:tcBorders>
                  <w:vAlign w:val="center"/>
                </w:tcPr>
                <w:p w14:paraId="386FF39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1套</w:t>
                  </w:r>
                </w:p>
              </w:tc>
              <w:tc>
                <w:tcPr>
                  <w:tcW w:w="504" w:type="dxa"/>
                  <w:tcBorders>
                    <w:tl2br w:val="nil"/>
                    <w:tr2bl w:val="nil"/>
                  </w:tcBorders>
                  <w:vAlign w:val="center"/>
                </w:tcPr>
                <w:p w14:paraId="1068DB9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成型机冷却</w:t>
                  </w:r>
                </w:p>
              </w:tc>
              <w:tc>
                <w:tcPr>
                  <w:tcW w:w="900" w:type="dxa"/>
                  <w:tcBorders>
                    <w:tl2br w:val="nil"/>
                    <w:tr2bl w:val="nil"/>
                  </w:tcBorders>
                  <w:vAlign w:val="center"/>
                </w:tcPr>
                <w:p w14:paraId="1DBAF8A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循环冷却水系统</w:t>
                  </w:r>
                </w:p>
              </w:tc>
              <w:tc>
                <w:tcPr>
                  <w:tcW w:w="1023" w:type="dxa"/>
                  <w:tcBorders>
                    <w:tl2br w:val="nil"/>
                    <w:tr2bl w:val="nil"/>
                  </w:tcBorders>
                  <w:vAlign w:val="center"/>
                </w:tcPr>
                <w:p w14:paraId="6BD440F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586" w:type="dxa"/>
                  <w:tcBorders>
                    <w:tl2br w:val="nil"/>
                    <w:tr2bl w:val="nil"/>
                  </w:tcBorders>
                  <w:vAlign w:val="center"/>
                </w:tcPr>
                <w:p w14:paraId="43E2442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1套</w:t>
                  </w:r>
                </w:p>
              </w:tc>
              <w:tc>
                <w:tcPr>
                  <w:tcW w:w="1459" w:type="dxa"/>
                  <w:tcBorders>
                    <w:tl2br w:val="nil"/>
                    <w:tr2bl w:val="nil"/>
                  </w:tcBorders>
                  <w:vAlign w:val="center"/>
                </w:tcPr>
                <w:p w14:paraId="27421C5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3D1BE9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11" w:type="dxa"/>
                  <w:tcBorders>
                    <w:tl2br w:val="nil"/>
                    <w:tr2bl w:val="nil"/>
                  </w:tcBorders>
                  <w:vAlign w:val="center"/>
                </w:tcPr>
                <w:p w14:paraId="2C4DD29F">
                  <w:pPr>
                    <w:widowControl/>
                    <w:wordWrap/>
                    <w:overflowPunct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eastAsia" w:ascii="Times New Roman" w:hAnsi="Times New Roman" w:cs="Times New Roman"/>
                      <w:b w:val="0"/>
                      <w:bCs w:val="0"/>
                      <w:color w:val="auto"/>
                      <w:kern w:val="0"/>
                      <w:sz w:val="21"/>
                      <w:szCs w:val="21"/>
                      <w:highlight w:val="none"/>
                      <w:lang w:val="en-US" w:eastAsia="zh-CN"/>
                    </w:rPr>
                    <w:t>18</w:t>
                  </w:r>
                </w:p>
              </w:tc>
              <w:tc>
                <w:tcPr>
                  <w:tcW w:w="474" w:type="dxa"/>
                  <w:tcBorders>
                    <w:top w:val="single" w:color="000000" w:sz="4" w:space="0"/>
                    <w:tl2br w:val="nil"/>
                    <w:tr2bl w:val="nil"/>
                  </w:tcBorders>
                  <w:vAlign w:val="center"/>
                </w:tcPr>
                <w:p w14:paraId="10E27CE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高温蒸汽冷凝</w:t>
                  </w:r>
                </w:p>
              </w:tc>
              <w:tc>
                <w:tcPr>
                  <w:tcW w:w="1023" w:type="dxa"/>
                  <w:tcBorders>
                    <w:top w:val="single" w:color="000000" w:sz="4" w:space="0"/>
                    <w:tl2br w:val="nil"/>
                    <w:tr2bl w:val="nil"/>
                  </w:tcBorders>
                  <w:vAlign w:val="center"/>
                </w:tcPr>
                <w:p w14:paraId="79CD20A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冷凝水收集池</w:t>
                  </w:r>
                </w:p>
              </w:tc>
              <w:tc>
                <w:tcPr>
                  <w:tcW w:w="1145" w:type="dxa"/>
                  <w:tcBorders>
                    <w:tl2br w:val="nil"/>
                    <w:tr2bl w:val="nil"/>
                  </w:tcBorders>
                  <w:vAlign w:val="center"/>
                </w:tcPr>
                <w:p w14:paraId="5FB53CE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10m3</w:t>
                  </w:r>
                </w:p>
              </w:tc>
              <w:tc>
                <w:tcPr>
                  <w:tcW w:w="628" w:type="dxa"/>
                  <w:tcBorders>
                    <w:tl2br w:val="nil"/>
                    <w:tr2bl w:val="nil"/>
                  </w:tcBorders>
                  <w:vAlign w:val="center"/>
                </w:tcPr>
                <w:p w14:paraId="29A737D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1座</w:t>
                  </w:r>
                </w:p>
              </w:tc>
              <w:tc>
                <w:tcPr>
                  <w:tcW w:w="504" w:type="dxa"/>
                  <w:tcBorders>
                    <w:tl2br w:val="nil"/>
                    <w:tr2bl w:val="nil"/>
                  </w:tcBorders>
                  <w:vAlign w:val="center"/>
                </w:tcPr>
                <w:p w14:paraId="2D907B7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高温蒸汽冷凝</w:t>
                  </w:r>
                </w:p>
              </w:tc>
              <w:tc>
                <w:tcPr>
                  <w:tcW w:w="900" w:type="dxa"/>
                  <w:tcBorders>
                    <w:tl2br w:val="nil"/>
                    <w:tr2bl w:val="nil"/>
                  </w:tcBorders>
                  <w:vAlign w:val="center"/>
                </w:tcPr>
                <w:p w14:paraId="0384A09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冷凝水收集池</w:t>
                  </w:r>
                </w:p>
              </w:tc>
              <w:tc>
                <w:tcPr>
                  <w:tcW w:w="1023" w:type="dxa"/>
                  <w:tcBorders>
                    <w:tl2br w:val="nil"/>
                    <w:tr2bl w:val="nil"/>
                  </w:tcBorders>
                  <w:vAlign w:val="center"/>
                </w:tcPr>
                <w:p w14:paraId="32F1356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0m3</w:t>
                  </w:r>
                </w:p>
              </w:tc>
              <w:tc>
                <w:tcPr>
                  <w:tcW w:w="586" w:type="dxa"/>
                  <w:tcBorders>
                    <w:tl2br w:val="nil"/>
                    <w:tr2bl w:val="nil"/>
                  </w:tcBorders>
                  <w:vAlign w:val="center"/>
                </w:tcPr>
                <w:p w14:paraId="56ACA69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座</w:t>
                  </w:r>
                </w:p>
              </w:tc>
              <w:tc>
                <w:tcPr>
                  <w:tcW w:w="1459" w:type="dxa"/>
                  <w:tcBorders>
                    <w:tl2br w:val="nil"/>
                    <w:tr2bl w:val="nil"/>
                  </w:tcBorders>
                  <w:vAlign w:val="center"/>
                </w:tcPr>
                <w:p w14:paraId="4EEAA73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3F0736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11" w:type="dxa"/>
                  <w:tcBorders>
                    <w:tl2br w:val="nil"/>
                    <w:tr2bl w:val="nil"/>
                  </w:tcBorders>
                  <w:vAlign w:val="center"/>
                </w:tcPr>
                <w:p w14:paraId="2EE542E9">
                  <w:pPr>
                    <w:widowControl/>
                    <w:wordWrap/>
                    <w:overflowPunct w:val="0"/>
                    <w:adjustRightInd/>
                    <w:snapToGrid/>
                    <w:spacing w:line="240" w:lineRule="auto"/>
                    <w:ind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eastAsia" w:ascii="Times New Roman" w:hAnsi="Times New Roman" w:cs="Times New Roman"/>
                      <w:b w:val="0"/>
                      <w:bCs w:val="0"/>
                      <w:color w:val="auto"/>
                      <w:kern w:val="0"/>
                      <w:sz w:val="21"/>
                      <w:szCs w:val="21"/>
                      <w:highlight w:val="none"/>
                      <w:lang w:val="en-US" w:eastAsia="zh-CN"/>
                    </w:rPr>
                    <w:t>1</w:t>
                  </w:r>
                  <w:r>
                    <w:rPr>
                      <w:rFonts w:hint="eastAsia" w:cs="Times New Roman"/>
                      <w:b w:val="0"/>
                      <w:bCs w:val="0"/>
                      <w:color w:val="auto"/>
                      <w:kern w:val="0"/>
                      <w:sz w:val="21"/>
                      <w:szCs w:val="21"/>
                      <w:highlight w:val="none"/>
                      <w:lang w:val="en-US" w:eastAsia="zh-CN"/>
                    </w:rPr>
                    <w:t>9</w:t>
                  </w:r>
                </w:p>
              </w:tc>
              <w:tc>
                <w:tcPr>
                  <w:tcW w:w="474" w:type="dxa"/>
                  <w:tcBorders>
                    <w:tl2br w:val="nil"/>
                    <w:tr2bl w:val="nil"/>
                  </w:tcBorders>
                  <w:vAlign w:val="center"/>
                </w:tcPr>
                <w:p w14:paraId="1806543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生活污水</w:t>
                  </w:r>
                </w:p>
              </w:tc>
              <w:tc>
                <w:tcPr>
                  <w:tcW w:w="1023" w:type="dxa"/>
                  <w:tcBorders>
                    <w:tl2br w:val="nil"/>
                    <w:tr2bl w:val="nil"/>
                  </w:tcBorders>
                  <w:vAlign w:val="center"/>
                </w:tcPr>
                <w:p w14:paraId="319AF91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化粪池</w:t>
                  </w:r>
                </w:p>
              </w:tc>
              <w:tc>
                <w:tcPr>
                  <w:tcW w:w="1145" w:type="dxa"/>
                  <w:tcBorders>
                    <w:tl2br w:val="nil"/>
                    <w:tr2bl w:val="nil"/>
                  </w:tcBorders>
                  <w:vAlign w:val="center"/>
                </w:tcPr>
                <w:p w14:paraId="1BECFF4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20m3</w:t>
                  </w:r>
                </w:p>
              </w:tc>
              <w:tc>
                <w:tcPr>
                  <w:tcW w:w="628" w:type="dxa"/>
                  <w:tcBorders>
                    <w:tl2br w:val="nil"/>
                    <w:tr2bl w:val="nil"/>
                  </w:tcBorders>
                  <w:vAlign w:val="center"/>
                </w:tcPr>
                <w:p w14:paraId="759A7C1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GB" w:eastAsia="zh-CN"/>
                    </w:rPr>
                    <w:t>1</w:t>
                  </w:r>
                  <w:r>
                    <w:rPr>
                      <w:rFonts w:hint="default" w:ascii="Times New Roman" w:hAnsi="Times New Roman" w:eastAsia="宋体" w:cs="Times New Roman"/>
                      <w:color w:val="auto"/>
                      <w:sz w:val="21"/>
                      <w:szCs w:val="21"/>
                      <w:highlight w:val="none"/>
                      <w:lang w:val="en-US" w:eastAsia="zh-CN"/>
                    </w:rPr>
                    <w:t>套</w:t>
                  </w:r>
                </w:p>
              </w:tc>
              <w:tc>
                <w:tcPr>
                  <w:tcW w:w="504" w:type="dxa"/>
                  <w:tcBorders>
                    <w:tl2br w:val="nil"/>
                    <w:tr2bl w:val="nil"/>
                  </w:tcBorders>
                  <w:vAlign w:val="center"/>
                </w:tcPr>
                <w:p w14:paraId="2A5BBBE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生活污水</w:t>
                  </w:r>
                </w:p>
              </w:tc>
              <w:tc>
                <w:tcPr>
                  <w:tcW w:w="900" w:type="dxa"/>
                  <w:tcBorders>
                    <w:tl2br w:val="nil"/>
                    <w:tr2bl w:val="nil"/>
                  </w:tcBorders>
                  <w:vAlign w:val="center"/>
                </w:tcPr>
                <w:p w14:paraId="25A2E80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防渗</w:t>
                  </w:r>
                </w:p>
                <w:p w14:paraId="61D46BF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旱厕</w:t>
                  </w:r>
                </w:p>
              </w:tc>
              <w:tc>
                <w:tcPr>
                  <w:tcW w:w="1023" w:type="dxa"/>
                  <w:tcBorders>
                    <w:tl2br w:val="nil"/>
                    <w:tr2bl w:val="nil"/>
                  </w:tcBorders>
                  <w:vAlign w:val="center"/>
                </w:tcPr>
                <w:p w14:paraId="277E499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86" w:type="dxa"/>
                  <w:tcBorders>
                    <w:tl2br w:val="nil"/>
                    <w:tr2bl w:val="nil"/>
                  </w:tcBorders>
                  <w:vAlign w:val="center"/>
                </w:tcPr>
                <w:p w14:paraId="401BE0D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GB" w:eastAsia="zh-CN"/>
                    </w:rPr>
                    <w:t>1</w:t>
                  </w:r>
                  <w:r>
                    <w:rPr>
                      <w:rFonts w:hint="default" w:ascii="Times New Roman" w:hAnsi="Times New Roman" w:eastAsia="宋体" w:cs="Times New Roman"/>
                      <w:color w:val="auto"/>
                      <w:sz w:val="21"/>
                      <w:szCs w:val="21"/>
                      <w:highlight w:val="none"/>
                      <w:lang w:val="en-US" w:eastAsia="zh-CN"/>
                    </w:rPr>
                    <w:t>套</w:t>
                  </w:r>
                </w:p>
              </w:tc>
              <w:tc>
                <w:tcPr>
                  <w:tcW w:w="1459" w:type="dxa"/>
                  <w:tcBorders>
                    <w:tl2br w:val="nil"/>
                    <w:tr2bl w:val="nil"/>
                  </w:tcBorders>
                  <w:vAlign w:val="center"/>
                </w:tcPr>
                <w:p w14:paraId="43D3E9D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bl>
          <w:p w14:paraId="7C1D3049">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textAlignment w:val="auto"/>
              <w:rPr>
                <w:rFonts w:hint="eastAsia"/>
                <w:sz w:val="24"/>
                <w:szCs w:val="24"/>
                <w:highlight w:val="none"/>
                <w:lang w:val="en-US" w:eastAsia="zh-CN"/>
              </w:rPr>
            </w:pPr>
          </w:p>
          <w:p w14:paraId="6312C1A3">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left="0" w:leftChars="0" w:firstLine="0" w:firstLineChars="0"/>
              <w:textAlignment w:val="auto"/>
              <w:rPr>
                <w:rFonts w:hint="default"/>
                <w:sz w:val="24"/>
                <w:szCs w:val="24"/>
                <w:highlight w:val="none"/>
                <w:lang w:val="en-US" w:eastAsia="zh-CN"/>
              </w:rPr>
            </w:pPr>
            <w:r>
              <w:rPr>
                <w:rFonts w:hint="eastAsia"/>
                <w:sz w:val="24"/>
                <w:szCs w:val="24"/>
                <w:highlight w:val="none"/>
                <w:lang w:val="en-US" w:eastAsia="zh-CN"/>
              </w:rPr>
              <w:drawing>
                <wp:inline distT="0" distB="0" distL="114300" distR="114300">
                  <wp:extent cx="2740025" cy="1875155"/>
                  <wp:effectExtent l="0" t="0" r="3175" b="10795"/>
                  <wp:docPr id="16" name="图片 16" descr="1742197216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742197216938"/>
                          <pic:cNvPicPr>
                            <a:picLocks noChangeAspect="1"/>
                          </pic:cNvPicPr>
                        </pic:nvPicPr>
                        <pic:blipFill>
                          <a:blip r:embed="rId11"/>
                          <a:stretch>
                            <a:fillRect/>
                          </a:stretch>
                        </pic:blipFill>
                        <pic:spPr>
                          <a:xfrm>
                            <a:off x="0" y="0"/>
                            <a:ext cx="2740025" cy="1875155"/>
                          </a:xfrm>
                          <a:prstGeom prst="rect">
                            <a:avLst/>
                          </a:prstGeom>
                        </pic:spPr>
                      </pic:pic>
                    </a:graphicData>
                  </a:graphic>
                </wp:inline>
              </w:drawing>
            </w:r>
            <w:r>
              <w:rPr>
                <w:rFonts w:hint="eastAsia"/>
                <w:sz w:val="24"/>
                <w:szCs w:val="24"/>
                <w:highlight w:val="none"/>
                <w:lang w:val="en-US" w:eastAsia="zh-CN"/>
              </w:rPr>
              <w:t xml:space="preserve"> </w:t>
            </w:r>
            <w:r>
              <w:rPr>
                <w:rFonts w:hint="default"/>
                <w:sz w:val="24"/>
                <w:szCs w:val="24"/>
                <w:highlight w:val="none"/>
                <w:lang w:val="en-US" w:eastAsia="zh-CN"/>
              </w:rPr>
              <w:drawing>
                <wp:inline distT="0" distB="0" distL="114300" distR="114300">
                  <wp:extent cx="2299335" cy="1986280"/>
                  <wp:effectExtent l="0" t="0" r="5715" b="13970"/>
                  <wp:docPr id="13" name="图片 13" descr="1734576879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734576879518"/>
                          <pic:cNvPicPr>
                            <a:picLocks noChangeAspect="1"/>
                          </pic:cNvPicPr>
                        </pic:nvPicPr>
                        <pic:blipFill>
                          <a:blip r:embed="rId12"/>
                          <a:stretch>
                            <a:fillRect/>
                          </a:stretch>
                        </pic:blipFill>
                        <pic:spPr>
                          <a:xfrm>
                            <a:off x="0" y="0"/>
                            <a:ext cx="2299335" cy="1986280"/>
                          </a:xfrm>
                          <a:prstGeom prst="rect">
                            <a:avLst/>
                          </a:prstGeom>
                        </pic:spPr>
                      </pic:pic>
                    </a:graphicData>
                  </a:graphic>
                </wp:inline>
              </w:drawing>
            </w:r>
          </w:p>
          <w:p w14:paraId="3927A2C9">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1446" w:firstLineChars="600"/>
              <w:jc w:val="both"/>
              <w:textAlignment w:val="auto"/>
              <w:rPr>
                <w:rFonts w:hint="default"/>
                <w:b/>
                <w:bCs/>
                <w:sz w:val="24"/>
                <w:szCs w:val="24"/>
                <w:highlight w:val="none"/>
                <w:lang w:val="en-US" w:eastAsia="zh-CN"/>
              </w:rPr>
            </w:pPr>
            <w:r>
              <w:rPr>
                <w:rFonts w:hint="default"/>
                <w:b/>
                <w:bCs/>
                <w:sz w:val="24"/>
                <w:szCs w:val="24"/>
                <w:highlight w:val="none"/>
                <w:lang w:val="en-US" w:eastAsia="zh-CN"/>
              </w:rPr>
              <w:t>间歇式预发机</w:t>
            </w:r>
            <w:r>
              <w:rPr>
                <w:rFonts w:hint="eastAsia"/>
                <w:b/>
                <w:bCs/>
                <w:sz w:val="24"/>
                <w:szCs w:val="24"/>
                <w:highlight w:val="none"/>
                <w:lang w:val="en-US" w:eastAsia="zh-CN"/>
              </w:rPr>
              <w:t xml:space="preserve">                      </w:t>
            </w:r>
            <w:r>
              <w:rPr>
                <w:rFonts w:hint="default"/>
                <w:b/>
                <w:bCs/>
                <w:sz w:val="21"/>
                <w:szCs w:val="21"/>
                <w:highlight w:val="none"/>
              </w:rPr>
              <w:t>全自动成型机</w:t>
            </w:r>
          </w:p>
          <w:p w14:paraId="1ECFA72A">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left="0" w:leftChars="0" w:firstLine="0" w:firstLineChars="0"/>
              <w:textAlignment w:val="auto"/>
              <w:rPr>
                <w:rFonts w:hint="default"/>
                <w:sz w:val="24"/>
                <w:szCs w:val="24"/>
                <w:highlight w:val="none"/>
                <w:lang w:val="en-US" w:eastAsia="zh-CN"/>
              </w:rPr>
            </w:pPr>
            <w:r>
              <w:rPr>
                <w:rFonts w:hint="eastAsia"/>
                <w:sz w:val="24"/>
                <w:szCs w:val="24"/>
                <w:highlight w:val="none"/>
                <w:lang w:val="en-US" w:eastAsia="zh-CN"/>
              </w:rPr>
              <w:drawing>
                <wp:inline distT="0" distB="0" distL="114300" distR="114300">
                  <wp:extent cx="2610485" cy="2279650"/>
                  <wp:effectExtent l="0" t="0" r="18415" b="6350"/>
                  <wp:docPr id="7" name="图片 7" descr="173457650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734576504080"/>
                          <pic:cNvPicPr>
                            <a:picLocks noChangeAspect="1"/>
                          </pic:cNvPicPr>
                        </pic:nvPicPr>
                        <pic:blipFill>
                          <a:blip r:embed="rId13"/>
                          <a:stretch>
                            <a:fillRect/>
                          </a:stretch>
                        </pic:blipFill>
                        <pic:spPr>
                          <a:xfrm>
                            <a:off x="0" y="0"/>
                            <a:ext cx="2610485" cy="2279650"/>
                          </a:xfrm>
                          <a:prstGeom prst="rect">
                            <a:avLst/>
                          </a:prstGeom>
                        </pic:spPr>
                      </pic:pic>
                    </a:graphicData>
                  </a:graphic>
                </wp:inline>
              </w:drawing>
            </w:r>
            <w:r>
              <w:rPr>
                <w:rFonts w:hint="eastAsia"/>
                <w:sz w:val="24"/>
                <w:szCs w:val="24"/>
                <w:highlight w:val="none"/>
                <w:lang w:val="en-US" w:eastAsia="zh-CN"/>
              </w:rPr>
              <w:t xml:space="preserve"> </w:t>
            </w:r>
            <w:r>
              <w:rPr>
                <w:rFonts w:hint="default"/>
                <w:sz w:val="24"/>
                <w:szCs w:val="24"/>
                <w:highlight w:val="none"/>
                <w:lang w:val="en-US" w:eastAsia="zh-CN"/>
              </w:rPr>
              <w:drawing>
                <wp:inline distT="0" distB="0" distL="114300" distR="114300">
                  <wp:extent cx="2403475" cy="2267585"/>
                  <wp:effectExtent l="0" t="0" r="15875" b="18415"/>
                  <wp:docPr id="8" name="图片 8" descr="173457655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734576551576"/>
                          <pic:cNvPicPr>
                            <a:picLocks noChangeAspect="1"/>
                          </pic:cNvPicPr>
                        </pic:nvPicPr>
                        <pic:blipFill>
                          <a:blip r:embed="rId14"/>
                          <a:stretch>
                            <a:fillRect/>
                          </a:stretch>
                        </pic:blipFill>
                        <pic:spPr>
                          <a:xfrm>
                            <a:off x="0" y="0"/>
                            <a:ext cx="2403475" cy="2267585"/>
                          </a:xfrm>
                          <a:prstGeom prst="rect">
                            <a:avLst/>
                          </a:prstGeom>
                        </pic:spPr>
                      </pic:pic>
                    </a:graphicData>
                  </a:graphic>
                </wp:inline>
              </w:drawing>
            </w:r>
          </w:p>
          <w:p w14:paraId="2BD29281">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jc w:val="center"/>
              <w:textAlignment w:val="auto"/>
              <w:rPr>
                <w:rFonts w:hint="default"/>
                <w:b/>
                <w:bCs/>
                <w:sz w:val="21"/>
                <w:szCs w:val="21"/>
                <w:highlight w:val="none"/>
                <w:lang w:val="en-US" w:eastAsia="zh-CN"/>
              </w:rPr>
            </w:pPr>
            <w:r>
              <w:rPr>
                <w:rFonts w:hint="default"/>
                <w:b/>
                <w:bCs/>
                <w:sz w:val="21"/>
                <w:szCs w:val="21"/>
                <w:highlight w:val="none"/>
              </w:rPr>
              <w:t>全自动成型机</w:t>
            </w:r>
          </w:p>
          <w:p w14:paraId="62738217">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left="0" w:leftChars="0" w:firstLine="0" w:firstLineChars="0"/>
              <w:jc w:val="both"/>
              <w:textAlignment w:val="auto"/>
              <w:rPr>
                <w:rFonts w:hint="default" w:eastAsia="宋体"/>
                <w:b/>
                <w:bCs/>
                <w:sz w:val="21"/>
                <w:szCs w:val="21"/>
                <w:highlight w:val="none"/>
                <w:lang w:val="en-US" w:eastAsia="zh-CN"/>
              </w:rPr>
            </w:pPr>
            <w:r>
              <w:rPr>
                <w:rFonts w:hint="eastAsia"/>
                <w:b/>
                <w:bCs/>
                <w:sz w:val="21"/>
                <w:szCs w:val="21"/>
                <w:highlight w:val="none"/>
                <w:lang w:val="en-US" w:eastAsia="zh-CN"/>
              </w:rPr>
              <w:t xml:space="preserve">    </w:t>
            </w:r>
            <w:r>
              <w:rPr>
                <w:rFonts w:hint="eastAsia" w:eastAsia="宋体"/>
                <w:b/>
                <w:bCs/>
                <w:sz w:val="21"/>
                <w:szCs w:val="21"/>
                <w:highlight w:val="none"/>
                <w:lang w:eastAsia="zh-CN"/>
              </w:rPr>
              <w:drawing>
                <wp:inline distT="0" distB="0" distL="114300" distR="114300">
                  <wp:extent cx="2062480" cy="3128010"/>
                  <wp:effectExtent l="0" t="0" r="13970" b="15240"/>
                  <wp:docPr id="10" name="图片 10" descr="1734576719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734576719849"/>
                          <pic:cNvPicPr>
                            <a:picLocks noChangeAspect="1"/>
                          </pic:cNvPicPr>
                        </pic:nvPicPr>
                        <pic:blipFill>
                          <a:blip r:embed="rId15"/>
                          <a:stretch>
                            <a:fillRect/>
                          </a:stretch>
                        </pic:blipFill>
                        <pic:spPr>
                          <a:xfrm>
                            <a:off x="0" y="0"/>
                            <a:ext cx="2062480" cy="3128010"/>
                          </a:xfrm>
                          <a:prstGeom prst="rect">
                            <a:avLst/>
                          </a:prstGeom>
                        </pic:spPr>
                      </pic:pic>
                    </a:graphicData>
                  </a:graphic>
                </wp:inline>
              </w:drawing>
            </w:r>
            <w:r>
              <w:rPr>
                <w:rFonts w:hint="eastAsia"/>
                <w:b/>
                <w:bCs/>
                <w:sz w:val="21"/>
                <w:szCs w:val="21"/>
                <w:highlight w:val="none"/>
                <w:lang w:val="en-US" w:eastAsia="zh-CN"/>
              </w:rPr>
              <w:t xml:space="preserve">         </w:t>
            </w:r>
            <w:r>
              <w:rPr>
                <w:rFonts w:hint="default" w:eastAsia="宋体"/>
                <w:b/>
                <w:bCs/>
                <w:sz w:val="21"/>
                <w:szCs w:val="21"/>
                <w:highlight w:val="none"/>
                <w:lang w:val="en-US" w:eastAsia="zh-CN"/>
              </w:rPr>
              <w:drawing>
                <wp:inline distT="0" distB="0" distL="114300" distR="114300">
                  <wp:extent cx="2016125" cy="3039745"/>
                  <wp:effectExtent l="0" t="0" r="3175" b="8255"/>
                  <wp:docPr id="11" name="图片 11" descr="1734576737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734576737826"/>
                          <pic:cNvPicPr>
                            <a:picLocks noChangeAspect="1"/>
                          </pic:cNvPicPr>
                        </pic:nvPicPr>
                        <pic:blipFill>
                          <a:blip r:embed="rId16"/>
                          <a:stretch>
                            <a:fillRect/>
                          </a:stretch>
                        </pic:blipFill>
                        <pic:spPr>
                          <a:xfrm>
                            <a:off x="0" y="0"/>
                            <a:ext cx="2016125" cy="3039745"/>
                          </a:xfrm>
                          <a:prstGeom prst="rect">
                            <a:avLst/>
                          </a:prstGeom>
                        </pic:spPr>
                      </pic:pic>
                    </a:graphicData>
                  </a:graphic>
                </wp:inline>
              </w:drawing>
            </w:r>
          </w:p>
          <w:p w14:paraId="0DC81897">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left="0" w:leftChars="0" w:firstLine="0" w:firstLineChars="0"/>
              <w:jc w:val="center"/>
              <w:textAlignment w:val="auto"/>
              <w:rPr>
                <w:rFonts w:hint="default"/>
                <w:b/>
                <w:bCs/>
                <w:sz w:val="21"/>
                <w:szCs w:val="21"/>
                <w:highlight w:val="none"/>
                <w:lang w:eastAsia="zh-CN"/>
              </w:rPr>
            </w:pPr>
            <w:r>
              <w:rPr>
                <w:rFonts w:hint="default"/>
                <w:b/>
                <w:bCs/>
                <w:sz w:val="21"/>
                <w:szCs w:val="21"/>
                <w:highlight w:val="none"/>
                <w:lang w:eastAsia="zh-CN"/>
              </w:rPr>
              <w:t>熟化料仓</w:t>
            </w:r>
          </w:p>
          <w:p w14:paraId="5055E86C">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left="0" w:leftChars="0" w:firstLine="0" w:firstLineChars="0"/>
              <w:jc w:val="both"/>
              <w:textAlignment w:val="auto"/>
              <w:rPr>
                <w:rFonts w:hint="default"/>
                <w:b/>
                <w:bCs/>
                <w:sz w:val="21"/>
                <w:szCs w:val="21"/>
                <w:highlight w:val="none"/>
                <w:lang w:val="en-US" w:eastAsia="zh-CN"/>
              </w:rPr>
            </w:pPr>
            <w:r>
              <w:rPr>
                <w:rFonts w:hint="default"/>
                <w:b/>
                <w:bCs/>
                <w:sz w:val="21"/>
                <w:szCs w:val="21"/>
                <w:highlight w:val="none"/>
                <w:lang w:val="en-US" w:eastAsia="zh-CN"/>
              </w:rPr>
              <w:drawing>
                <wp:inline distT="0" distB="0" distL="114300" distR="114300">
                  <wp:extent cx="2440940" cy="3040380"/>
                  <wp:effectExtent l="0" t="0" r="16510" b="7620"/>
                  <wp:docPr id="2" name="图片 2" descr="173457630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734576305064"/>
                          <pic:cNvPicPr>
                            <a:picLocks noChangeAspect="1"/>
                          </pic:cNvPicPr>
                        </pic:nvPicPr>
                        <pic:blipFill>
                          <a:blip r:embed="rId17"/>
                          <a:stretch>
                            <a:fillRect/>
                          </a:stretch>
                        </pic:blipFill>
                        <pic:spPr>
                          <a:xfrm>
                            <a:off x="0" y="0"/>
                            <a:ext cx="2440940" cy="3040380"/>
                          </a:xfrm>
                          <a:prstGeom prst="rect">
                            <a:avLst/>
                          </a:prstGeom>
                        </pic:spPr>
                      </pic:pic>
                    </a:graphicData>
                  </a:graphic>
                </wp:inline>
              </w:drawing>
            </w:r>
            <w:r>
              <w:rPr>
                <w:rFonts w:hint="default"/>
                <w:b/>
                <w:bCs/>
                <w:sz w:val="21"/>
                <w:szCs w:val="21"/>
                <w:highlight w:val="none"/>
                <w:lang w:val="en-US" w:eastAsia="zh-CN"/>
              </w:rPr>
              <w:drawing>
                <wp:inline distT="0" distB="0" distL="114300" distR="114300">
                  <wp:extent cx="2613025" cy="2667635"/>
                  <wp:effectExtent l="0" t="0" r="15875" b="18415"/>
                  <wp:docPr id="14" name="图片 14" descr="173457694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734576941022"/>
                          <pic:cNvPicPr>
                            <a:picLocks noChangeAspect="1"/>
                          </pic:cNvPicPr>
                        </pic:nvPicPr>
                        <pic:blipFill>
                          <a:blip r:embed="rId18"/>
                          <a:stretch>
                            <a:fillRect/>
                          </a:stretch>
                        </pic:blipFill>
                        <pic:spPr>
                          <a:xfrm>
                            <a:off x="0" y="0"/>
                            <a:ext cx="2613025" cy="2667635"/>
                          </a:xfrm>
                          <a:prstGeom prst="rect">
                            <a:avLst/>
                          </a:prstGeom>
                        </pic:spPr>
                      </pic:pic>
                    </a:graphicData>
                  </a:graphic>
                </wp:inline>
              </w:drawing>
            </w:r>
          </w:p>
          <w:p w14:paraId="0FCA19A8">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1054" w:firstLineChars="500"/>
              <w:jc w:val="both"/>
              <w:textAlignment w:val="auto"/>
              <w:rPr>
                <w:rFonts w:hint="default"/>
                <w:b/>
                <w:bCs/>
                <w:sz w:val="21"/>
                <w:szCs w:val="21"/>
                <w:highlight w:val="none"/>
                <w:lang w:val="en-US" w:eastAsia="zh-CN"/>
              </w:rPr>
            </w:pPr>
            <w:r>
              <w:rPr>
                <w:rFonts w:hint="default"/>
                <w:b/>
                <w:bCs/>
                <w:sz w:val="21"/>
                <w:szCs w:val="21"/>
                <w:highlight w:val="none"/>
                <w:lang w:eastAsia="zh-CN"/>
              </w:rPr>
              <w:t>塔式中央真空系统</w:t>
            </w:r>
            <w:r>
              <w:rPr>
                <w:rFonts w:hint="eastAsia"/>
                <w:b/>
                <w:bCs/>
                <w:sz w:val="21"/>
                <w:szCs w:val="21"/>
                <w:highlight w:val="none"/>
                <w:lang w:val="en-US" w:eastAsia="zh-CN"/>
              </w:rPr>
              <w:t xml:space="preserve">                          </w:t>
            </w:r>
            <w:r>
              <w:rPr>
                <w:rFonts w:hint="default"/>
                <w:b/>
                <w:bCs/>
                <w:sz w:val="21"/>
                <w:szCs w:val="21"/>
                <w:highlight w:val="none"/>
                <w:lang w:val="en-US" w:eastAsia="zh-CN"/>
              </w:rPr>
              <w:t>冷凝水收集池</w:t>
            </w:r>
          </w:p>
          <w:p w14:paraId="263C91AF">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jc w:val="center"/>
              <w:textAlignment w:val="auto"/>
              <w:rPr>
                <w:rFonts w:hint="default"/>
                <w:b/>
                <w:bCs/>
                <w:sz w:val="21"/>
                <w:szCs w:val="21"/>
                <w:highlight w:val="yellow"/>
                <w:lang w:val="en-US" w:eastAsia="zh-CN"/>
              </w:rPr>
            </w:pPr>
          </w:p>
          <w:p w14:paraId="3AE6A489">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jc w:val="center"/>
              <w:textAlignment w:val="auto"/>
              <w:rPr>
                <w:rFonts w:hint="default"/>
                <w:b/>
                <w:bCs/>
                <w:sz w:val="21"/>
                <w:szCs w:val="21"/>
                <w:highlight w:val="yellow"/>
                <w:lang w:val="en-US" w:eastAsia="zh-CN"/>
              </w:rPr>
            </w:pPr>
          </w:p>
          <w:p w14:paraId="3FE82069">
            <w:pPr>
              <w:rPr>
                <w:rFonts w:hint="default"/>
                <w:highlight w:val="yellow"/>
                <w:lang w:val="en-US" w:eastAsia="zh-CN"/>
              </w:rPr>
            </w:pPr>
          </w:p>
        </w:tc>
      </w:tr>
    </w:tbl>
    <w:p w14:paraId="7460A16F">
      <w:pPr>
        <w:pStyle w:val="15"/>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2" w:firstLineChars="200"/>
        <w:textAlignment w:val="auto"/>
        <w:rPr>
          <w:rFonts w:hint="default" w:ascii="Times New Roman" w:hAnsi="Times New Roman" w:eastAsia="黑体"/>
          <w:b/>
          <w:color w:val="auto"/>
          <w:sz w:val="24"/>
          <w:highlight w:val="yellow"/>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1F793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32" w:hRule="atLeast"/>
        </w:trPr>
        <w:tc>
          <w:tcPr>
            <w:tcW w:w="8522" w:type="dxa"/>
          </w:tcPr>
          <w:p w14:paraId="5D3392B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both"/>
              <w:textAlignment w:val="auto"/>
              <w:rPr>
                <w:rFonts w:hint="eastAsia" w:ascii="Times New Roman" w:hAnsi="Times New Roman"/>
                <w:b/>
                <w:color w:val="auto"/>
                <w:sz w:val="24"/>
                <w:szCs w:val="24"/>
                <w:highlight w:val="none"/>
                <w:vertAlign w:val="baseline"/>
                <w:lang w:val="en-US" w:eastAsia="zh-CN"/>
              </w:rPr>
            </w:pPr>
            <w:r>
              <w:rPr>
                <w:rFonts w:hint="eastAsia" w:ascii="Times New Roman" w:hAnsi="Times New Roman"/>
                <w:b/>
                <w:color w:val="auto"/>
                <w:sz w:val="24"/>
                <w:szCs w:val="24"/>
                <w:highlight w:val="none"/>
                <w:vertAlign w:val="baseline"/>
                <w:lang w:val="en-US" w:eastAsia="zh-CN"/>
              </w:rPr>
              <w:t>3 环保设施自查情况</w:t>
            </w:r>
          </w:p>
          <w:p w14:paraId="7DF41032">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eastAsia" w:eastAsia="宋体"/>
                <w:sz w:val="24"/>
                <w:szCs w:val="24"/>
                <w:highlight w:val="none"/>
                <w:lang w:eastAsia="zh-CN"/>
              </w:rPr>
            </w:pPr>
            <w:r>
              <w:rPr>
                <w:rFonts w:hint="eastAsia" w:eastAsia="宋体"/>
                <w:sz w:val="24"/>
                <w:szCs w:val="24"/>
                <w:highlight w:val="none"/>
                <w:lang w:eastAsia="zh-CN"/>
              </w:rPr>
              <w:t>企业为开展自主验收，特根据《建设项目竣工环境保护验收暂行办法》（国环规环评﹝2017〕4号）等文件，对照</w:t>
            </w:r>
            <w:r>
              <w:rPr>
                <w:rFonts w:hint="default" w:eastAsia="宋体"/>
                <w:sz w:val="24"/>
                <w:szCs w:val="24"/>
                <w:highlight w:val="none"/>
                <w:lang w:val="en-US" w:eastAsia="zh-CN"/>
              </w:rPr>
              <w:t>《</w:t>
            </w:r>
            <w:r>
              <w:rPr>
                <w:rFonts w:hint="eastAsia"/>
                <w:sz w:val="24"/>
                <w:szCs w:val="24"/>
                <w:highlight w:val="none"/>
                <w:lang w:val="en-US" w:eastAsia="zh-CN"/>
              </w:rPr>
              <w:t>本溪市华宇木业有限公司木制品及泡沫制品包装生产线建设项目</w:t>
            </w:r>
            <w:r>
              <w:rPr>
                <w:rFonts w:hint="default" w:eastAsia="宋体"/>
                <w:sz w:val="24"/>
                <w:szCs w:val="24"/>
                <w:highlight w:val="none"/>
                <w:lang w:val="en-US" w:eastAsia="zh-CN"/>
              </w:rPr>
              <w:t>环境影响报告表》及其《关于</w:t>
            </w:r>
            <w:r>
              <w:rPr>
                <w:rFonts w:hint="eastAsia"/>
                <w:sz w:val="24"/>
                <w:szCs w:val="24"/>
                <w:highlight w:val="none"/>
                <w:lang w:val="en-US" w:eastAsia="zh-CN"/>
              </w:rPr>
              <w:t>本溪市华宇木业有限公司木制品及泡沫制品包装生产线建设项目</w:t>
            </w:r>
            <w:r>
              <w:rPr>
                <w:rFonts w:hint="default" w:eastAsia="宋体"/>
                <w:sz w:val="24"/>
                <w:szCs w:val="24"/>
                <w:highlight w:val="none"/>
                <w:lang w:val="en-US" w:eastAsia="zh-CN"/>
              </w:rPr>
              <w:t>环境影响报告表的批复》（</w:t>
            </w:r>
            <w:r>
              <w:rPr>
                <w:rFonts w:hint="eastAsia" w:eastAsia="宋体"/>
                <w:sz w:val="24"/>
                <w:szCs w:val="24"/>
                <w:highlight w:val="none"/>
                <w:lang w:val="en-US" w:eastAsia="zh-CN"/>
              </w:rPr>
              <w:t>本环建表字[2023]65号</w:t>
            </w:r>
            <w:r>
              <w:rPr>
                <w:rFonts w:hint="default" w:eastAsia="宋体"/>
                <w:sz w:val="24"/>
                <w:szCs w:val="24"/>
                <w:highlight w:val="none"/>
                <w:lang w:val="en-US" w:eastAsia="zh-CN"/>
              </w:rPr>
              <w:t>），</w:t>
            </w:r>
            <w:r>
              <w:rPr>
                <w:rFonts w:hint="eastAsia" w:eastAsia="宋体"/>
                <w:sz w:val="24"/>
                <w:szCs w:val="24"/>
                <w:highlight w:val="none"/>
                <w:lang w:eastAsia="zh-CN"/>
              </w:rPr>
              <w:t>对企业进行自查，本项目实际情况基本落实环评项目组成及建设内容一览表中主体工程、贮运工程、公用工程等内容。认为企业现阶段实际建设情况与环评表、批复提出的要求基本一致。根据《建设项目竣工环境保护验收暂行办法》第八条所列不合格的情形逐一检查，通过认真检查，认为企业《</w:t>
            </w:r>
            <w:r>
              <w:rPr>
                <w:rFonts w:hint="eastAsia"/>
                <w:sz w:val="24"/>
                <w:szCs w:val="24"/>
                <w:highlight w:val="none"/>
                <w:lang w:val="en-US" w:eastAsia="zh-CN"/>
              </w:rPr>
              <w:t>本溪市华宇木业有限公司木制品及泡沫制品包装生产线建设项目</w:t>
            </w:r>
            <w:r>
              <w:rPr>
                <w:rFonts w:hint="eastAsia" w:eastAsia="宋体"/>
                <w:sz w:val="24"/>
                <w:szCs w:val="24"/>
                <w:highlight w:val="none"/>
                <w:lang w:eastAsia="zh-CN"/>
              </w:rPr>
              <w:t>》环境保护设施不存在验收暂行办法所列验收不合格情形。</w:t>
            </w:r>
          </w:p>
          <w:p w14:paraId="0D990068">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ascii="Times New Roman" w:hAnsi="Times New Roman"/>
                <w:b/>
                <w:color w:val="auto"/>
                <w:sz w:val="24"/>
                <w:szCs w:val="24"/>
                <w:highlight w:val="none"/>
                <w:vertAlign w:val="baseline"/>
                <w:lang w:val="en-US" w:eastAsia="zh-CN"/>
              </w:rPr>
            </w:pPr>
            <w:bookmarkStart w:id="2" w:name="_Toc31288"/>
            <w:r>
              <w:rPr>
                <w:rFonts w:hint="eastAsia" w:ascii="Times New Roman" w:hAnsi="Times New Roman"/>
                <w:b/>
                <w:color w:val="auto"/>
                <w:sz w:val="24"/>
                <w:szCs w:val="24"/>
                <w:highlight w:val="none"/>
                <w:vertAlign w:val="baseline"/>
                <w:lang w:val="en-US" w:eastAsia="zh-CN"/>
              </w:rPr>
              <w:t>4</w:t>
            </w:r>
            <w:bookmarkEnd w:id="2"/>
            <w:r>
              <w:rPr>
                <w:rFonts w:hint="eastAsia" w:ascii="Times New Roman" w:hAnsi="Times New Roman"/>
                <w:b/>
                <w:color w:val="auto"/>
                <w:sz w:val="24"/>
                <w:szCs w:val="24"/>
                <w:highlight w:val="none"/>
                <w:vertAlign w:val="baseline"/>
                <w:lang w:val="en-US" w:eastAsia="zh-CN"/>
              </w:rPr>
              <w:t>环评与实际建设变动情况</w:t>
            </w:r>
          </w:p>
          <w:p w14:paraId="2EF22B93">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eastAsia" w:eastAsia="宋体"/>
                <w:sz w:val="24"/>
                <w:szCs w:val="24"/>
                <w:highlight w:val="none"/>
                <w:lang w:eastAsia="zh-CN"/>
              </w:rPr>
            </w:pPr>
            <w:r>
              <w:rPr>
                <w:rFonts w:hint="eastAsia" w:eastAsia="宋体"/>
                <w:sz w:val="24"/>
                <w:szCs w:val="24"/>
                <w:highlight w:val="none"/>
                <w:lang w:eastAsia="zh-CN"/>
              </w:rPr>
              <w:t>具体说明如下：</w:t>
            </w:r>
          </w:p>
          <w:p w14:paraId="729BBA2F">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default" w:eastAsia="宋体"/>
                <w:sz w:val="24"/>
                <w:szCs w:val="24"/>
                <w:highlight w:val="none"/>
                <w:lang w:val="en-US" w:eastAsia="zh-CN"/>
              </w:rPr>
            </w:pPr>
            <w:r>
              <w:rPr>
                <w:rFonts w:hint="eastAsia" w:eastAsia="宋体"/>
                <w:sz w:val="24"/>
                <w:szCs w:val="24"/>
                <w:highlight w:val="none"/>
                <w:lang w:val="en-US" w:eastAsia="zh-CN"/>
              </w:rPr>
              <w:t>（1）设备情况说明</w:t>
            </w:r>
          </w:p>
          <w:p w14:paraId="53B3276D">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default" w:eastAsia="宋体"/>
                <w:sz w:val="24"/>
                <w:szCs w:val="24"/>
                <w:highlight w:val="none"/>
                <w:lang w:val="en-US" w:eastAsia="zh-CN"/>
              </w:rPr>
            </w:pPr>
            <w:r>
              <w:rPr>
                <w:rFonts w:hint="eastAsia" w:ascii="Times New Roman" w:hAnsi="Times New Roman" w:cs="Times New Roman"/>
                <w:sz w:val="24"/>
                <w:szCs w:val="24"/>
                <w:highlight w:val="none"/>
              </w:rPr>
              <w:t>①环评</w:t>
            </w:r>
            <w:r>
              <w:rPr>
                <w:rFonts w:hint="eastAsia" w:eastAsia="宋体"/>
                <w:sz w:val="24"/>
                <w:szCs w:val="24"/>
                <w:highlight w:val="none"/>
                <w:lang w:eastAsia="zh-CN"/>
              </w:rPr>
              <w:t>中情况</w:t>
            </w:r>
          </w:p>
          <w:p w14:paraId="75FCEC6A">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default" w:eastAsia="宋体"/>
                <w:sz w:val="24"/>
                <w:szCs w:val="24"/>
                <w:highlight w:val="none"/>
                <w:lang w:val="en-US" w:eastAsia="zh-CN"/>
              </w:rPr>
            </w:pPr>
            <w:r>
              <w:rPr>
                <w:rFonts w:hint="eastAsia" w:eastAsia="宋体"/>
                <w:sz w:val="24"/>
                <w:szCs w:val="24"/>
                <w:highlight w:val="none"/>
                <w:lang w:val="en-US" w:eastAsia="zh-CN"/>
              </w:rPr>
              <w:t>环评中企业设有</w:t>
            </w:r>
            <w:r>
              <w:rPr>
                <w:rFonts w:hint="eastAsia"/>
                <w:sz w:val="24"/>
                <w:szCs w:val="24"/>
                <w:highlight w:val="none"/>
                <w:lang w:val="en-US" w:eastAsia="zh-CN"/>
              </w:rPr>
              <w:t>制</w:t>
            </w:r>
            <w:r>
              <w:rPr>
                <w:rFonts w:hint="eastAsia" w:eastAsia="宋体"/>
                <w:sz w:val="24"/>
                <w:szCs w:val="24"/>
                <w:highlight w:val="none"/>
                <w:lang w:val="en-US" w:eastAsia="zh-CN"/>
              </w:rPr>
              <w:t>动成型机、带锯、截锯等19种设备。</w:t>
            </w:r>
          </w:p>
          <w:p w14:paraId="48E67870">
            <w:pPr>
              <w:bidi w:val="0"/>
              <w:rPr>
                <w:rFonts w:hint="eastAsia"/>
                <w:lang w:val="en-US" w:eastAsia="zh-CN"/>
              </w:rPr>
            </w:pPr>
            <w:r>
              <w:rPr>
                <w:rFonts w:hint="eastAsia" w:eastAsia="宋体"/>
                <w:szCs w:val="24"/>
                <w:highlight w:val="none"/>
                <w:lang w:val="en-US" w:eastAsia="zh-CN"/>
              </w:rPr>
              <w:t>②</w:t>
            </w:r>
            <w:r>
              <w:rPr>
                <w:rFonts w:hint="eastAsia"/>
                <w:lang w:val="en-US" w:eastAsia="zh-CN"/>
              </w:rPr>
              <w:t>企业现实际情况</w:t>
            </w:r>
          </w:p>
          <w:p w14:paraId="1D1B28B2">
            <w:pPr>
              <w:bidi w:val="0"/>
              <w:rPr>
                <w:rFonts w:hint="default"/>
                <w:lang w:val="en-US" w:eastAsia="zh-CN"/>
              </w:rPr>
            </w:pPr>
            <w:r>
              <w:rPr>
                <w:rFonts w:hint="eastAsia"/>
                <w:lang w:val="en-US" w:eastAsia="zh-CN"/>
              </w:rPr>
              <w:t>企业根据实际情况及工艺，将泡沫制品包装生产线中型号为SPZ100-180T型的全制动成型机由环评中的17台调整至8台，型号为SPZ100-140T型的全制动成型机由环评中的3台调整至4台。本项目决定生产能力的关键设备为</w:t>
            </w:r>
            <w:r>
              <w:rPr>
                <w:rFonts w:hint="default"/>
              </w:rPr>
              <w:t>间歇式预发机</w:t>
            </w:r>
            <w:r>
              <w:rPr>
                <w:rFonts w:hint="eastAsia"/>
                <w:lang w:eastAsia="zh-CN"/>
              </w:rPr>
              <w:t>，经现场调查，间歇</w:t>
            </w:r>
            <w:r>
              <w:rPr>
                <w:rFonts w:hint="default"/>
              </w:rPr>
              <w:t>式预发机</w:t>
            </w:r>
            <w:r>
              <w:rPr>
                <w:rFonts w:hint="eastAsia"/>
                <w:lang w:eastAsia="zh-CN"/>
              </w:rPr>
              <w:t>与环评报告要求一致，故成型机变动</w:t>
            </w:r>
            <w:r>
              <w:rPr>
                <w:rFonts w:hint="eastAsia"/>
                <w:lang w:val="en-US" w:eastAsia="zh-CN"/>
              </w:rPr>
              <w:t>不会导致生产能力变动。</w:t>
            </w:r>
          </w:p>
          <w:p w14:paraId="4083C4EA">
            <w:pPr>
              <w:bidi w:val="0"/>
              <w:rPr>
                <w:rFonts w:hint="default" w:eastAsia="宋体"/>
                <w:szCs w:val="24"/>
                <w:highlight w:val="none"/>
                <w:lang w:val="en-US" w:eastAsia="zh-CN"/>
              </w:rPr>
            </w:pPr>
            <w:r>
              <w:rPr>
                <w:rFonts w:hint="eastAsia"/>
                <w:lang w:val="en-US" w:eastAsia="zh-CN"/>
              </w:rPr>
              <w:t>泡沫制品包装生产线中现场原因，仅在预发设备（发泡机）设有</w:t>
            </w:r>
            <w:r>
              <w:rPr>
                <w:rFonts w:hint="default"/>
                <w:lang w:val="en-US" w:eastAsia="zh-CN"/>
              </w:rPr>
              <w:t>局部密闭式集气罩</w:t>
            </w:r>
            <w:r>
              <w:rPr>
                <w:rFonts w:hint="eastAsia"/>
                <w:lang w:val="en-US" w:eastAsia="zh-CN"/>
              </w:rPr>
              <w:t>，经</w:t>
            </w:r>
            <w:r>
              <w:rPr>
                <w:rFonts w:hint="default"/>
                <w:lang w:val="en-US" w:eastAsia="zh-CN"/>
              </w:rPr>
              <w:t>活性炭吸附装置</w:t>
            </w:r>
            <w:r>
              <w:rPr>
                <w:rFonts w:hint="eastAsia"/>
                <w:lang w:val="en-US" w:eastAsia="zh-CN"/>
              </w:rPr>
              <w:t>及布袋除尘器</w:t>
            </w:r>
            <w:r>
              <w:rPr>
                <w:rFonts w:hint="default"/>
                <w:lang w:val="en-US" w:eastAsia="zh-CN"/>
              </w:rPr>
              <w:t>处理后通过1根15米高排气筒（DA001）排放</w:t>
            </w:r>
            <w:r>
              <w:rPr>
                <w:rFonts w:hint="eastAsia"/>
                <w:lang w:val="en-US" w:eastAsia="zh-CN"/>
              </w:rPr>
              <w:t>；</w:t>
            </w:r>
            <w:r>
              <w:rPr>
                <w:rFonts w:hint="default"/>
                <w:lang w:val="en-US" w:eastAsia="zh-CN"/>
              </w:rPr>
              <w:t>成型设备均密闭，熟化仓为密闭设置；干燥室为封闭</w:t>
            </w:r>
            <w:r>
              <w:rPr>
                <w:rFonts w:hint="eastAsia"/>
                <w:lang w:val="en-US" w:eastAsia="zh-CN"/>
              </w:rPr>
              <w:t>负压车间。各生产车间均为封闭负压车间，且内均设有集气管道收集各污染</w:t>
            </w:r>
            <w:r>
              <w:rPr>
                <w:rFonts w:hint="eastAsia" w:eastAsia="宋体"/>
                <w:szCs w:val="24"/>
                <w:highlight w:val="none"/>
                <w:lang w:val="en-US" w:eastAsia="zh-CN"/>
              </w:rPr>
              <w:t>工序产生的废气，生产废气经收集后通过</w:t>
            </w:r>
            <w:r>
              <w:rPr>
                <w:rFonts w:hint="default" w:eastAsia="宋体"/>
                <w:szCs w:val="24"/>
                <w:highlight w:val="none"/>
                <w:lang w:val="en-US" w:eastAsia="zh-CN"/>
              </w:rPr>
              <w:t>活性炭吸附装置</w:t>
            </w:r>
            <w:r>
              <w:rPr>
                <w:rFonts w:hint="eastAsia" w:eastAsia="宋体"/>
                <w:szCs w:val="24"/>
                <w:highlight w:val="none"/>
                <w:lang w:val="en-US" w:eastAsia="zh-CN"/>
              </w:rPr>
              <w:t>及布袋除尘器</w:t>
            </w:r>
            <w:r>
              <w:rPr>
                <w:rFonts w:hint="default" w:eastAsia="宋体"/>
                <w:szCs w:val="24"/>
                <w:highlight w:val="none"/>
                <w:lang w:val="en-US" w:eastAsia="zh-CN"/>
              </w:rPr>
              <w:t>处理后通过1根15米高排气筒（DA001）排放</w:t>
            </w:r>
            <w:r>
              <w:rPr>
                <w:rFonts w:hint="eastAsia" w:eastAsia="宋体"/>
                <w:szCs w:val="24"/>
                <w:highlight w:val="none"/>
                <w:lang w:val="en-US" w:eastAsia="zh-CN"/>
              </w:rPr>
              <w:t>。因此局部密闭式集气罩由环评中的3套调整至1套。</w:t>
            </w:r>
          </w:p>
          <w:p w14:paraId="0621D93A">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eastAsia" w:eastAsia="宋体"/>
                <w:sz w:val="24"/>
                <w:szCs w:val="24"/>
                <w:highlight w:val="none"/>
                <w:lang w:val="en-US" w:eastAsia="zh-CN"/>
              </w:rPr>
            </w:pPr>
            <w:r>
              <w:rPr>
                <w:rFonts w:hint="eastAsia" w:eastAsia="宋体"/>
                <w:sz w:val="24"/>
                <w:szCs w:val="24"/>
                <w:highlight w:val="none"/>
                <w:lang w:val="en-US" w:eastAsia="zh-CN"/>
              </w:rPr>
              <w:t>由于木制品生产线原料直接根据市场需求购买半成品，工艺流程不涉及带锯切割和截锯截尺工序，只通过钉枪固定后形成木制品成品外售，由于该工序颗粒物产生量较少，同时生产工序位于封闭厂房内，本项目木制品生产线工序未设置袋式除尘器</w:t>
            </w:r>
            <w:r>
              <w:rPr>
                <w:rFonts w:hint="eastAsia"/>
                <w:sz w:val="24"/>
                <w:szCs w:val="24"/>
                <w:highlight w:val="none"/>
                <w:lang w:val="en-US" w:eastAsia="zh-CN"/>
              </w:rPr>
              <w:t>，木制品生产工序产生的颗粒物为无组织排放</w:t>
            </w:r>
            <w:r>
              <w:rPr>
                <w:rFonts w:hint="eastAsia" w:eastAsia="宋体"/>
                <w:sz w:val="24"/>
                <w:szCs w:val="24"/>
                <w:highlight w:val="none"/>
                <w:lang w:val="en-US" w:eastAsia="zh-CN"/>
              </w:rPr>
              <w:t>。因此本条生产线未设置带锯及截锯设备，同时对应未设置木制品废气处理风机及</w:t>
            </w:r>
            <w:r>
              <w:rPr>
                <w:rFonts w:hint="eastAsia"/>
                <w:sz w:val="24"/>
                <w:szCs w:val="24"/>
                <w:highlight w:val="none"/>
                <w:lang w:val="en-US" w:eastAsia="zh-CN"/>
              </w:rPr>
              <w:t>该工序对应的</w:t>
            </w:r>
            <w:r>
              <w:rPr>
                <w:rFonts w:hint="eastAsia" w:eastAsia="宋体"/>
                <w:sz w:val="24"/>
                <w:szCs w:val="24"/>
                <w:highlight w:val="none"/>
                <w:lang w:val="en-US" w:eastAsia="zh-CN"/>
              </w:rPr>
              <w:t>布袋除尘器。</w:t>
            </w:r>
          </w:p>
          <w:p w14:paraId="76DE90F9">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eastAsia" w:eastAsia="宋体"/>
                <w:sz w:val="24"/>
                <w:szCs w:val="24"/>
                <w:highlight w:val="none"/>
                <w:lang w:val="en-US" w:eastAsia="zh-CN"/>
              </w:rPr>
            </w:pPr>
            <w:r>
              <w:rPr>
                <w:rFonts w:hint="eastAsia" w:eastAsia="宋体"/>
                <w:sz w:val="24"/>
                <w:szCs w:val="24"/>
                <w:highlight w:val="none"/>
                <w:lang w:val="en-US" w:eastAsia="zh-CN"/>
              </w:rPr>
              <w:t>（2）</w:t>
            </w:r>
            <w:r>
              <w:rPr>
                <w:rFonts w:hint="eastAsia"/>
                <w:sz w:val="24"/>
                <w:szCs w:val="24"/>
                <w:highlight w:val="none"/>
                <w:lang w:val="en-US" w:eastAsia="zh-CN"/>
              </w:rPr>
              <w:t>冷凝水收集池情况说明</w:t>
            </w:r>
          </w:p>
          <w:p w14:paraId="64AB7144">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default" w:eastAsia="宋体"/>
                <w:sz w:val="24"/>
                <w:szCs w:val="24"/>
                <w:highlight w:val="none"/>
                <w:lang w:val="en-US" w:eastAsia="zh-CN"/>
              </w:rPr>
            </w:pPr>
            <w:r>
              <w:rPr>
                <w:rFonts w:hint="eastAsia" w:eastAsia="宋体"/>
                <w:sz w:val="24"/>
                <w:szCs w:val="24"/>
                <w:highlight w:val="none"/>
                <w:lang w:eastAsia="zh-CN"/>
              </w:rPr>
              <w:t>①环评中情况</w:t>
            </w:r>
          </w:p>
          <w:p w14:paraId="5BE865D5">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default" w:eastAsia="宋体"/>
                <w:sz w:val="24"/>
                <w:szCs w:val="24"/>
                <w:highlight w:val="none"/>
                <w:lang w:val="en-US" w:eastAsia="zh-CN"/>
              </w:rPr>
            </w:pPr>
            <w:r>
              <w:rPr>
                <w:rFonts w:hint="eastAsia" w:eastAsia="宋体"/>
                <w:sz w:val="24"/>
                <w:szCs w:val="24"/>
                <w:highlight w:val="none"/>
                <w:lang w:val="en-US" w:eastAsia="zh-CN"/>
              </w:rPr>
              <w:t>环评中</w:t>
            </w:r>
            <w:r>
              <w:rPr>
                <w:rFonts w:hint="eastAsia"/>
                <w:sz w:val="24"/>
                <w:szCs w:val="24"/>
                <w:highlight w:val="none"/>
                <w:lang w:val="en-US" w:eastAsia="zh-CN"/>
              </w:rPr>
              <w:t>企业设有1座10m3的冷凝水收集池。</w:t>
            </w:r>
          </w:p>
          <w:p w14:paraId="3A978CED">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eastAsia" w:eastAsia="宋体"/>
                <w:sz w:val="24"/>
                <w:szCs w:val="24"/>
                <w:highlight w:val="none"/>
                <w:lang w:val="en-US" w:eastAsia="zh-CN"/>
              </w:rPr>
            </w:pPr>
            <w:r>
              <w:rPr>
                <w:rFonts w:hint="eastAsia" w:eastAsia="宋体"/>
                <w:sz w:val="24"/>
                <w:szCs w:val="24"/>
                <w:highlight w:val="none"/>
                <w:lang w:eastAsia="zh-CN"/>
              </w:rPr>
              <w:t>②企业现实际情况</w:t>
            </w:r>
          </w:p>
          <w:p w14:paraId="20E929A0">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default" w:eastAsia="宋体"/>
                <w:sz w:val="24"/>
                <w:szCs w:val="24"/>
                <w:highlight w:val="none"/>
                <w:lang w:val="en-US" w:eastAsia="zh-CN"/>
              </w:rPr>
            </w:pPr>
            <w:r>
              <w:rPr>
                <w:rFonts w:hint="eastAsia"/>
                <w:sz w:val="24"/>
                <w:szCs w:val="24"/>
                <w:highlight w:val="none"/>
                <w:lang w:val="en-US" w:eastAsia="zh-CN"/>
              </w:rPr>
              <w:t>企业实际设</w:t>
            </w:r>
            <w:r>
              <w:rPr>
                <w:rFonts w:hint="eastAsia" w:eastAsia="宋体"/>
                <w:sz w:val="24"/>
                <w:szCs w:val="24"/>
                <w:highlight w:val="none"/>
                <w:lang w:val="en-US" w:eastAsia="zh-CN"/>
              </w:rPr>
              <w:t>有4座容积为30m3的冷凝水收集池（4m*3m*2.5m）。冷凝水收集池仅收集本项目</w:t>
            </w:r>
            <w:r>
              <w:rPr>
                <w:rFonts w:hint="default" w:eastAsia="宋体"/>
                <w:sz w:val="24"/>
                <w:szCs w:val="24"/>
                <w:highlight w:val="none"/>
                <w:lang w:val="en-US" w:eastAsia="zh-CN"/>
              </w:rPr>
              <w:t>高温蒸汽冷凝水</w:t>
            </w:r>
            <w:r>
              <w:rPr>
                <w:rFonts w:hint="eastAsia" w:eastAsia="宋体"/>
                <w:sz w:val="24"/>
                <w:szCs w:val="24"/>
                <w:highlight w:val="none"/>
                <w:lang w:val="en-US" w:eastAsia="zh-CN"/>
              </w:rPr>
              <w:t>，冷凝水不与生产工序接触。冷凝水收集池容积变大可有效防止</w:t>
            </w:r>
            <w:r>
              <w:rPr>
                <w:rFonts w:hint="default" w:eastAsia="宋体"/>
                <w:sz w:val="24"/>
                <w:szCs w:val="24"/>
                <w:highlight w:val="none"/>
                <w:lang w:val="en-US" w:eastAsia="zh-CN"/>
              </w:rPr>
              <w:t>高温蒸汽冷凝水</w:t>
            </w:r>
            <w:r>
              <w:rPr>
                <w:rFonts w:hint="eastAsia" w:eastAsia="宋体"/>
                <w:sz w:val="24"/>
                <w:szCs w:val="24"/>
                <w:highlight w:val="none"/>
                <w:lang w:val="en-US" w:eastAsia="zh-CN"/>
              </w:rPr>
              <w:t>外溢的风险。</w:t>
            </w:r>
          </w:p>
          <w:p w14:paraId="2C779C68">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eastAsia" w:eastAsia="宋体"/>
                <w:sz w:val="24"/>
                <w:szCs w:val="24"/>
                <w:highlight w:val="none"/>
                <w:lang w:val="en-US" w:eastAsia="zh-CN"/>
              </w:rPr>
            </w:pPr>
            <w:r>
              <w:rPr>
                <w:rFonts w:hint="eastAsia"/>
                <w:sz w:val="24"/>
                <w:szCs w:val="24"/>
                <w:highlight w:val="none"/>
                <w:lang w:val="en-US" w:eastAsia="zh-CN"/>
              </w:rPr>
              <w:t>（3）生产区位置及面积调整情况说明</w:t>
            </w:r>
          </w:p>
          <w:p w14:paraId="16DABD97">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default" w:eastAsia="宋体"/>
                <w:sz w:val="24"/>
                <w:szCs w:val="24"/>
                <w:highlight w:val="none"/>
                <w:lang w:val="en-US" w:eastAsia="zh-CN"/>
              </w:rPr>
            </w:pPr>
            <w:r>
              <w:rPr>
                <w:rFonts w:hint="eastAsia" w:eastAsia="宋体"/>
                <w:sz w:val="24"/>
                <w:szCs w:val="24"/>
                <w:highlight w:val="none"/>
                <w:lang w:eastAsia="zh-CN"/>
              </w:rPr>
              <w:t>①环评中情况</w:t>
            </w:r>
          </w:p>
          <w:p w14:paraId="71C5D4DF">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default" w:eastAsia="宋体"/>
                <w:sz w:val="24"/>
                <w:szCs w:val="24"/>
                <w:highlight w:val="none"/>
                <w:lang w:val="en-US" w:eastAsia="zh-CN"/>
              </w:rPr>
            </w:pPr>
            <w:r>
              <w:rPr>
                <w:rFonts w:hint="eastAsia" w:eastAsia="宋体"/>
                <w:sz w:val="24"/>
                <w:szCs w:val="24"/>
                <w:highlight w:val="none"/>
                <w:lang w:val="en-US" w:eastAsia="zh-CN"/>
              </w:rPr>
              <w:t>环评中</w:t>
            </w:r>
            <w:r>
              <w:rPr>
                <w:rFonts w:hint="eastAsia"/>
                <w:sz w:val="24"/>
                <w:szCs w:val="24"/>
                <w:highlight w:val="none"/>
                <w:lang w:val="en-US" w:eastAsia="zh-CN"/>
              </w:rPr>
              <w:t>本项目生产区域位于厂址西南侧，厂址东北侧为预留区域。</w:t>
            </w:r>
          </w:p>
          <w:p w14:paraId="29495D2A">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eastAsia" w:eastAsia="宋体"/>
                <w:sz w:val="24"/>
                <w:szCs w:val="24"/>
                <w:highlight w:val="none"/>
                <w:lang w:val="en-US" w:eastAsia="zh-CN"/>
              </w:rPr>
            </w:pPr>
            <w:r>
              <w:rPr>
                <w:rFonts w:hint="eastAsia" w:eastAsia="宋体"/>
                <w:sz w:val="24"/>
                <w:szCs w:val="24"/>
                <w:highlight w:val="none"/>
                <w:lang w:eastAsia="zh-CN"/>
              </w:rPr>
              <w:t>②企业现实际情况</w:t>
            </w:r>
          </w:p>
          <w:p w14:paraId="2D879B67">
            <w:pPr>
              <w:bidi w:val="0"/>
              <w:rPr>
                <w:rFonts w:hint="eastAsia"/>
                <w:lang w:val="en-US" w:eastAsia="zh-CN"/>
              </w:rPr>
            </w:pPr>
            <w:r>
              <w:rPr>
                <w:rFonts w:hint="eastAsia"/>
                <w:szCs w:val="24"/>
                <w:highlight w:val="none"/>
                <w:lang w:val="en-US" w:eastAsia="zh-CN"/>
              </w:rPr>
              <w:t>由于本项目厂址为租赁，</w:t>
            </w:r>
            <w:r>
              <w:rPr>
                <w:rFonts w:hint="eastAsia" w:ascii="Times New Roman" w:hAnsi="Times New Roman" w:cs="Times New Roman"/>
                <w:color w:val="auto"/>
                <w:kern w:val="2"/>
                <w:szCs w:val="24"/>
                <w:highlight w:val="none"/>
                <w:lang w:val="en-US" w:eastAsia="zh-CN" w:bidi="ar"/>
              </w:rPr>
              <w:t>厂址原址为建筑材料加工厂，主要产品为聚苯乙烯泡沫板建筑材料，该厂于2005年停产至</w:t>
            </w:r>
            <w:r>
              <w:rPr>
                <w:rFonts w:hint="eastAsia"/>
                <w:szCs w:val="24"/>
                <w:highlight w:val="none"/>
                <w:lang w:val="en-US" w:eastAsia="zh-CN"/>
              </w:rPr>
              <w:t>今，原定预留区域有部分原有厂房。本着节约人力，财力等原因，同时部分原有厂房可利用，满足生产所用条件，因此本项目生产区域调整至厂址东北侧，厂址西南侧空地为预留区域。同时调整部分生产车间的占地面积，调整后泡沫制品包装生产车间占地面积变为600m2，木制品生产车间占地面积为225m2，设置6个干燥室，每个干燥室占地面积为75m2（整体为450m2），泡沫制品包装成品库房占地面积为1800m</w:t>
            </w:r>
            <w:r>
              <w:rPr>
                <w:rFonts w:hint="eastAsia"/>
                <w:szCs w:val="24"/>
                <w:highlight w:val="none"/>
                <w:vertAlign w:val="superscript"/>
                <w:lang w:val="en-US" w:eastAsia="zh-CN"/>
              </w:rPr>
              <w:t>2</w:t>
            </w:r>
            <w:r>
              <w:rPr>
                <w:rFonts w:hint="eastAsia"/>
                <w:szCs w:val="24"/>
                <w:highlight w:val="none"/>
                <w:lang w:val="en-US" w:eastAsia="zh-CN"/>
              </w:rPr>
              <w:t>。由于木制品生产线工艺简化，木制品生产车间设备较少，木制品成品暂存区挪至生产车间，同时未设置原料木材</w:t>
            </w:r>
            <w:r>
              <w:rPr>
                <w:rFonts w:hint="eastAsia"/>
                <w:lang w:val="en-US" w:eastAsia="zh-CN"/>
              </w:rPr>
              <w:t>仓库及木屑仓库。具体平面布置详见平面布置图。</w:t>
            </w:r>
          </w:p>
          <w:p w14:paraId="4B5ECE7E">
            <w:pPr>
              <w:bidi w:val="0"/>
              <w:rPr>
                <w:rFonts w:hint="eastAsia"/>
                <w:lang w:val="en-US" w:eastAsia="zh-CN"/>
              </w:rPr>
            </w:pPr>
            <w:r>
              <w:rPr>
                <w:rFonts w:hint="eastAsia"/>
                <w:lang w:val="en-US" w:eastAsia="zh-CN"/>
              </w:rPr>
              <w:t>（4）木制品生产线情况说明</w:t>
            </w:r>
          </w:p>
          <w:p w14:paraId="01684C90">
            <w:pPr>
              <w:bidi w:val="0"/>
              <w:rPr>
                <w:rFonts w:hint="default"/>
                <w:lang w:val="en-US" w:eastAsia="zh-CN"/>
              </w:rPr>
            </w:pPr>
            <w:r>
              <w:rPr>
                <w:rFonts w:hint="eastAsia"/>
                <w:lang w:eastAsia="zh-CN"/>
              </w:rPr>
              <w:t>①环评中情况</w:t>
            </w:r>
          </w:p>
          <w:p w14:paraId="2FAD7E78">
            <w:pPr>
              <w:bidi w:val="0"/>
              <w:rPr>
                <w:rFonts w:hint="eastAsia"/>
                <w:lang w:val="en-US" w:eastAsia="zh-CN"/>
              </w:rPr>
            </w:pPr>
            <w:r>
              <w:rPr>
                <w:rFonts w:hint="eastAsia"/>
                <w:lang w:val="en-US" w:eastAsia="zh-CN"/>
              </w:rPr>
              <w:t>环评中企业木制品生产线工艺主要为进购原料木材，经过带锯加工、截锯加工、钉枪固定后成品入库。</w:t>
            </w:r>
          </w:p>
          <w:p w14:paraId="4B885478">
            <w:pPr>
              <w:bidi w:val="0"/>
              <w:rPr>
                <w:rFonts w:hint="eastAsia"/>
                <w:lang w:val="en-US" w:eastAsia="zh-CN"/>
              </w:rPr>
            </w:pPr>
            <w:r>
              <w:rPr>
                <w:rFonts w:hint="eastAsia"/>
                <w:lang w:eastAsia="zh-CN"/>
              </w:rPr>
              <w:t>②企业现实际情况</w:t>
            </w:r>
          </w:p>
          <w:p w14:paraId="27BE7FF8">
            <w:pPr>
              <w:bidi w:val="0"/>
              <w:rPr>
                <w:rFonts w:hint="eastAsia"/>
                <w:highlight w:val="none"/>
                <w:lang w:val="en-US" w:eastAsia="zh-CN"/>
              </w:rPr>
            </w:pPr>
            <w:r>
              <w:rPr>
                <w:rFonts w:hint="eastAsia"/>
                <w:lang w:val="en-US" w:eastAsia="zh-CN"/>
              </w:rPr>
              <w:t>企业木制品生产线原料直接根据市场需求购买半成品，工艺流程不涉及带锯切割和截锯截尺工序，只通过钉枪固定后形成木制品成品外售。企业实际木制品生产工艺简化，比照环评，颗粒物产生量明显减少。由于该工序颗粒物产生量较少，同时生产工序位于</w:t>
            </w:r>
            <w:r>
              <w:rPr>
                <w:rFonts w:hint="eastAsia"/>
                <w:highlight w:val="none"/>
                <w:lang w:val="en-US" w:eastAsia="zh-CN"/>
              </w:rPr>
              <w:t>封闭厂房内，本项目木制品生产线工序未设置袋式除尘器，木制品生产工序产生的颗粒物为无组织排放。</w:t>
            </w:r>
          </w:p>
          <w:p w14:paraId="709D8232">
            <w:pPr>
              <w:bidi w:val="0"/>
              <w:rPr>
                <w:rFonts w:hint="eastAsia"/>
                <w:highlight w:val="none"/>
                <w:lang w:val="en-US" w:eastAsia="zh-CN"/>
              </w:rPr>
            </w:pPr>
            <w:r>
              <w:rPr>
                <w:rFonts w:hint="eastAsia"/>
                <w:highlight w:val="none"/>
                <w:lang w:val="en-US" w:eastAsia="zh-CN"/>
              </w:rPr>
              <w:t>（5）危废暂存间情况说明</w:t>
            </w:r>
          </w:p>
          <w:p w14:paraId="0F849390">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default" w:eastAsia="宋体"/>
                <w:sz w:val="24"/>
                <w:szCs w:val="24"/>
                <w:highlight w:val="none"/>
                <w:lang w:val="en-US" w:eastAsia="zh-CN"/>
              </w:rPr>
            </w:pPr>
            <w:r>
              <w:rPr>
                <w:rFonts w:hint="eastAsia" w:eastAsia="宋体"/>
                <w:sz w:val="24"/>
                <w:szCs w:val="24"/>
                <w:highlight w:val="none"/>
                <w:lang w:eastAsia="zh-CN"/>
              </w:rPr>
              <w:t>①环评中情况</w:t>
            </w:r>
          </w:p>
          <w:p w14:paraId="26429BC3">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eastAsia" w:eastAsia="宋体"/>
                <w:sz w:val="24"/>
                <w:szCs w:val="24"/>
                <w:highlight w:val="none"/>
                <w:lang w:val="en-US" w:eastAsia="zh-CN"/>
              </w:rPr>
            </w:pPr>
            <w:r>
              <w:rPr>
                <w:rFonts w:hint="eastAsia" w:eastAsia="宋体"/>
                <w:sz w:val="24"/>
                <w:szCs w:val="24"/>
                <w:highlight w:val="none"/>
                <w:lang w:val="en-US" w:eastAsia="zh-CN"/>
              </w:rPr>
              <w:t>环评中企业在</w:t>
            </w:r>
            <w:r>
              <w:rPr>
                <w:rFonts w:hint="eastAsia"/>
                <w:sz w:val="24"/>
                <w:szCs w:val="24"/>
                <w:highlight w:val="none"/>
                <w:lang w:val="en-US" w:eastAsia="zh-CN"/>
              </w:rPr>
              <w:t>厂区南侧设置</w:t>
            </w:r>
            <w:r>
              <w:rPr>
                <w:rFonts w:hint="default" w:eastAsia="宋体"/>
                <w:sz w:val="24"/>
                <w:szCs w:val="24"/>
                <w:highlight w:val="none"/>
                <w:lang w:val="en-US" w:eastAsia="zh-CN"/>
              </w:rPr>
              <w:t>占地面积</w:t>
            </w:r>
            <w:r>
              <w:rPr>
                <w:rFonts w:hint="eastAsia"/>
                <w:sz w:val="24"/>
                <w:szCs w:val="24"/>
                <w:highlight w:val="none"/>
                <w:lang w:val="en-US" w:eastAsia="zh-CN"/>
              </w:rPr>
              <w:t>5</w:t>
            </w:r>
            <w:r>
              <w:rPr>
                <w:rFonts w:hint="eastAsia" w:eastAsia="宋体"/>
                <w:sz w:val="24"/>
                <w:szCs w:val="24"/>
                <w:highlight w:val="none"/>
                <w:lang w:val="en-US" w:eastAsia="zh-CN"/>
              </w:rPr>
              <w:t>0</w:t>
            </w:r>
            <w:r>
              <w:rPr>
                <w:rFonts w:hint="default" w:eastAsia="宋体"/>
                <w:sz w:val="24"/>
                <w:szCs w:val="24"/>
                <w:highlight w:val="none"/>
                <w:lang w:val="en-US" w:eastAsia="zh-CN"/>
              </w:rPr>
              <w:t>m</w:t>
            </w:r>
            <w:r>
              <w:rPr>
                <w:rFonts w:hint="default" w:eastAsia="宋体"/>
                <w:sz w:val="24"/>
                <w:szCs w:val="24"/>
                <w:highlight w:val="none"/>
                <w:vertAlign w:val="superscript"/>
                <w:lang w:val="en-US" w:eastAsia="zh-CN"/>
              </w:rPr>
              <w:t>2</w:t>
            </w:r>
            <w:r>
              <w:rPr>
                <w:rFonts w:hint="eastAsia" w:eastAsia="宋体"/>
                <w:sz w:val="24"/>
                <w:szCs w:val="24"/>
                <w:highlight w:val="none"/>
                <w:lang w:val="en-US" w:eastAsia="zh-CN"/>
              </w:rPr>
              <w:t>的</w:t>
            </w:r>
            <w:r>
              <w:rPr>
                <w:rFonts w:hint="eastAsia"/>
                <w:sz w:val="24"/>
                <w:szCs w:val="24"/>
                <w:highlight w:val="none"/>
                <w:lang w:val="en-US" w:eastAsia="zh-CN"/>
              </w:rPr>
              <w:t>一座</w:t>
            </w:r>
            <w:r>
              <w:rPr>
                <w:rFonts w:hint="eastAsia" w:eastAsia="宋体"/>
                <w:sz w:val="24"/>
                <w:szCs w:val="24"/>
                <w:highlight w:val="none"/>
                <w:lang w:val="en-US" w:eastAsia="zh-CN"/>
              </w:rPr>
              <w:t>危废间。</w:t>
            </w:r>
          </w:p>
          <w:p w14:paraId="754638F0">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default" w:eastAsia="宋体"/>
                <w:sz w:val="24"/>
                <w:szCs w:val="24"/>
                <w:highlight w:val="none"/>
                <w:lang w:val="en-US" w:eastAsia="zh-CN"/>
              </w:rPr>
            </w:pPr>
            <w:r>
              <w:rPr>
                <w:rFonts w:hint="eastAsia" w:eastAsia="宋体"/>
                <w:sz w:val="24"/>
                <w:szCs w:val="24"/>
                <w:highlight w:val="none"/>
                <w:lang w:eastAsia="zh-CN"/>
              </w:rPr>
              <w:t>②企业现实际情况</w:t>
            </w:r>
          </w:p>
          <w:p w14:paraId="121CFBB7">
            <w:pPr>
              <w:bidi w:val="0"/>
              <w:rPr>
                <w:rFonts w:hint="eastAsia"/>
                <w:lang w:val="en-US" w:eastAsia="zh-CN"/>
              </w:rPr>
            </w:pPr>
            <w:r>
              <w:rPr>
                <w:rFonts w:hint="eastAsia" w:eastAsia="宋体"/>
                <w:szCs w:val="24"/>
                <w:highlight w:val="none"/>
                <w:lang w:val="en-US" w:eastAsia="zh-CN"/>
              </w:rPr>
              <w:t>企业根据实际情况将危废暂存间设置在厂区西南侧，占地面积为</w:t>
            </w:r>
            <w:r>
              <w:rPr>
                <w:rFonts w:hint="eastAsia"/>
                <w:szCs w:val="24"/>
                <w:highlight w:val="none"/>
                <w:lang w:val="en-US" w:eastAsia="zh-CN"/>
              </w:rPr>
              <w:t>5</w:t>
            </w:r>
            <w:r>
              <w:rPr>
                <w:rFonts w:hint="eastAsia" w:eastAsia="宋体"/>
                <w:szCs w:val="24"/>
                <w:highlight w:val="none"/>
                <w:lang w:val="en-US" w:eastAsia="zh-CN"/>
              </w:rPr>
              <w:t>0</w:t>
            </w:r>
            <w:r>
              <w:rPr>
                <w:rFonts w:hint="default" w:eastAsia="宋体"/>
                <w:szCs w:val="24"/>
                <w:highlight w:val="none"/>
                <w:lang w:val="en-US" w:eastAsia="zh-CN"/>
              </w:rPr>
              <w:t>m</w:t>
            </w:r>
            <w:r>
              <w:rPr>
                <w:rFonts w:hint="default" w:eastAsia="宋体"/>
                <w:szCs w:val="24"/>
                <w:highlight w:val="none"/>
                <w:vertAlign w:val="superscript"/>
                <w:lang w:val="en-US" w:eastAsia="zh-CN"/>
              </w:rPr>
              <w:t>2</w:t>
            </w:r>
            <w:r>
              <w:rPr>
                <w:rFonts w:hint="eastAsia" w:eastAsia="宋体"/>
                <w:szCs w:val="24"/>
                <w:highlight w:val="none"/>
                <w:lang w:val="en-US" w:eastAsia="zh-CN"/>
              </w:rPr>
              <w:t>。本项目危险废物主要为废活性炭、废机油及废油桶。</w:t>
            </w:r>
            <w:r>
              <w:rPr>
                <w:rFonts w:hint="eastAsia"/>
                <w:szCs w:val="24"/>
                <w:highlight w:val="none"/>
                <w:lang w:val="en-US" w:eastAsia="zh-CN"/>
              </w:rPr>
              <w:t>根据</w:t>
            </w:r>
            <w:r>
              <w:rPr>
                <w:rFonts w:hint="eastAsia" w:eastAsia="宋体"/>
                <w:szCs w:val="24"/>
                <w:highlight w:val="none"/>
                <w:lang w:val="en-US" w:eastAsia="zh-CN"/>
              </w:rPr>
              <w:t>环评，废活性炭产生量约为26.8t/a，存于危险废物贮存库，定期委托有危险废物处理资质的单位进行处理。本项目生产</w:t>
            </w:r>
            <w:r>
              <w:rPr>
                <w:rFonts w:hint="eastAsia" w:ascii="Times New Roman" w:hAnsi="Times New Roman" w:eastAsia="宋体"/>
                <w:highlight w:val="none"/>
                <w:lang w:val="en-US" w:eastAsia="zh-CN"/>
              </w:rPr>
              <w:t>设备日常检修会产生废机油、废油桶，项目运行期间废机油产生量为1t/a，废</w:t>
            </w:r>
            <w:r>
              <w:rPr>
                <w:rFonts w:hint="eastAsia"/>
                <w:lang w:val="en-US" w:eastAsia="zh-CN"/>
              </w:rPr>
              <w:t>油桶产生量为0.06t/a。暂存于危险废物贮存库，委托本溪本色环保工程有限公司进行随时处理。危废分区存放，危废间面积可满足危废暂存情况。</w:t>
            </w:r>
          </w:p>
          <w:p w14:paraId="6F0F65BA">
            <w:pPr>
              <w:bidi w:val="0"/>
              <w:rPr>
                <w:rFonts w:hint="eastAsia"/>
                <w:lang w:val="en-US" w:eastAsia="zh-CN"/>
              </w:rPr>
            </w:pPr>
            <w:r>
              <w:rPr>
                <w:rFonts w:hint="eastAsia"/>
                <w:lang w:val="en-US" w:eastAsia="zh-CN"/>
              </w:rPr>
              <w:t>（6）生活污水排放情况说明</w:t>
            </w:r>
          </w:p>
          <w:p w14:paraId="283F79B1">
            <w:pPr>
              <w:bidi w:val="0"/>
              <w:rPr>
                <w:rFonts w:hint="default"/>
                <w:lang w:val="en-US" w:eastAsia="zh-CN"/>
              </w:rPr>
            </w:pPr>
            <w:r>
              <w:rPr>
                <w:rFonts w:hint="eastAsia"/>
                <w:lang w:eastAsia="zh-CN"/>
              </w:rPr>
              <w:t>①环评中情况</w:t>
            </w:r>
          </w:p>
          <w:p w14:paraId="510D4A0D">
            <w:pPr>
              <w:bidi w:val="0"/>
              <w:rPr>
                <w:rFonts w:hint="eastAsia"/>
                <w:lang w:val="en-US" w:eastAsia="zh-CN"/>
              </w:rPr>
            </w:pPr>
            <w:r>
              <w:rPr>
                <w:rFonts w:hint="eastAsia"/>
                <w:lang w:val="en-US" w:eastAsia="zh-CN"/>
              </w:rPr>
              <w:t>环评中生活污水排入化粪池处理后排入市政污水管网。</w:t>
            </w:r>
          </w:p>
          <w:p w14:paraId="2E55CFB7">
            <w:pPr>
              <w:bidi w:val="0"/>
              <w:rPr>
                <w:rFonts w:hint="default"/>
                <w:lang w:val="en-US" w:eastAsia="zh-CN"/>
              </w:rPr>
            </w:pPr>
            <w:r>
              <w:rPr>
                <w:rFonts w:hint="eastAsia"/>
                <w:lang w:val="en-US" w:eastAsia="zh-CN"/>
              </w:rPr>
              <w:t>②企业现实际情况</w:t>
            </w:r>
          </w:p>
          <w:p w14:paraId="463438A1">
            <w:pPr>
              <w:bidi w:val="0"/>
              <w:rPr>
                <w:rFonts w:hint="default"/>
                <w:lang w:val="en-US" w:eastAsia="zh-CN"/>
              </w:rPr>
            </w:pPr>
            <w:r>
              <w:rPr>
                <w:rFonts w:hint="eastAsia"/>
                <w:lang w:val="en-US" w:eastAsia="zh-CN"/>
              </w:rPr>
              <w:t>由于本项目所在区域无市政管网，且验收阶段，生活污水排入防渗旱厕定期清掏不外排。一旦布设管网，本项目生活污水排入化粪池处理后，在监测达标后方可排入市政管网。</w:t>
            </w:r>
          </w:p>
          <w:p w14:paraId="532DD661">
            <w:pPr>
              <w:pStyle w:val="3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黑体" w:hAnsi="黑体" w:eastAsia="黑体" w:cs="黑体"/>
                <w:sz w:val="21"/>
                <w:szCs w:val="21"/>
                <w:highlight w:val="none"/>
              </w:rPr>
            </w:pPr>
            <w:r>
              <w:rPr>
                <w:rFonts w:hint="eastAsia" w:eastAsia="黑体"/>
                <w:sz w:val="21"/>
                <w:szCs w:val="21"/>
                <w:highlight w:val="none"/>
              </w:rPr>
              <w:t>表</w:t>
            </w:r>
            <w:r>
              <w:rPr>
                <w:rFonts w:hint="eastAsia" w:eastAsia="黑体"/>
                <w:sz w:val="21"/>
                <w:szCs w:val="21"/>
                <w:highlight w:val="none"/>
                <w:lang w:val="en-US" w:eastAsia="zh-CN"/>
              </w:rPr>
              <w:t>2-4</w:t>
            </w:r>
            <w:r>
              <w:rPr>
                <w:rFonts w:hint="eastAsia" w:eastAsia="黑体"/>
                <w:sz w:val="21"/>
                <w:szCs w:val="21"/>
                <w:highlight w:val="none"/>
              </w:rPr>
              <w:t>项目变动情况</w:t>
            </w:r>
            <w:r>
              <w:rPr>
                <w:rFonts w:hint="eastAsia" w:ascii="黑体" w:hAnsi="黑体" w:eastAsia="黑体" w:cs="黑体"/>
                <w:sz w:val="21"/>
                <w:szCs w:val="21"/>
                <w:highlight w:val="none"/>
              </w:rPr>
              <w:t>对比一览表</w:t>
            </w:r>
          </w:p>
          <w:tbl>
            <w:tblPr>
              <w:tblStyle w:val="24"/>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23"/>
              <w:gridCol w:w="1158"/>
              <w:gridCol w:w="1854"/>
              <w:gridCol w:w="4766"/>
            </w:tblGrid>
            <w:tr w14:paraId="618198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dxa"/>
                  <w:noWrap w:val="0"/>
                  <w:vAlign w:val="center"/>
                </w:tcPr>
                <w:p w14:paraId="6F23077A">
                  <w:pPr>
                    <w:pStyle w:val="30"/>
                    <w:jc w:val="center"/>
                    <w:rPr>
                      <w:rFonts w:hint="eastAsia" w:eastAsia="宋体"/>
                      <w:sz w:val="21"/>
                      <w:highlight w:val="none"/>
                    </w:rPr>
                  </w:pPr>
                  <w:r>
                    <w:rPr>
                      <w:rFonts w:hint="eastAsia" w:eastAsia="宋体"/>
                      <w:sz w:val="21"/>
                      <w:highlight w:val="none"/>
                    </w:rPr>
                    <w:t>序号</w:t>
                  </w:r>
                </w:p>
              </w:tc>
              <w:tc>
                <w:tcPr>
                  <w:tcW w:w="1158" w:type="dxa"/>
                  <w:noWrap w:val="0"/>
                  <w:vAlign w:val="center"/>
                </w:tcPr>
                <w:p w14:paraId="2ACCC0CD">
                  <w:pPr>
                    <w:pStyle w:val="30"/>
                    <w:jc w:val="center"/>
                    <w:rPr>
                      <w:rFonts w:hint="eastAsia" w:eastAsia="宋体"/>
                      <w:sz w:val="21"/>
                      <w:highlight w:val="none"/>
                    </w:rPr>
                  </w:pPr>
                  <w:r>
                    <w:rPr>
                      <w:rFonts w:hint="eastAsia" w:eastAsia="宋体"/>
                      <w:sz w:val="21"/>
                      <w:highlight w:val="none"/>
                    </w:rPr>
                    <w:t>变动内容</w:t>
                  </w:r>
                </w:p>
              </w:tc>
              <w:tc>
                <w:tcPr>
                  <w:tcW w:w="1854" w:type="dxa"/>
                  <w:noWrap w:val="0"/>
                  <w:vAlign w:val="center"/>
                </w:tcPr>
                <w:p w14:paraId="44385478">
                  <w:pPr>
                    <w:pStyle w:val="30"/>
                    <w:jc w:val="center"/>
                    <w:rPr>
                      <w:rFonts w:hint="eastAsia" w:ascii="Times New Roman" w:hAnsi="Times New Roman" w:eastAsia="宋体" w:cs="Times New Roman"/>
                      <w:sz w:val="21"/>
                      <w:highlight w:val="none"/>
                    </w:rPr>
                  </w:pPr>
                  <w:r>
                    <w:rPr>
                      <w:rFonts w:hint="eastAsia" w:ascii="Times New Roman" w:hAnsi="Times New Roman" w:eastAsia="宋体" w:cs="Times New Roman"/>
                      <w:sz w:val="21"/>
                      <w:highlight w:val="none"/>
                    </w:rPr>
                    <w:t>环评中情况</w:t>
                  </w:r>
                </w:p>
              </w:tc>
              <w:tc>
                <w:tcPr>
                  <w:tcW w:w="4766" w:type="dxa"/>
                  <w:noWrap w:val="0"/>
                  <w:vAlign w:val="center"/>
                </w:tcPr>
                <w:p w14:paraId="712387AB">
                  <w:pPr>
                    <w:pStyle w:val="30"/>
                    <w:jc w:val="center"/>
                    <w:rPr>
                      <w:rFonts w:hint="eastAsia" w:ascii="Times New Roman" w:hAnsi="Times New Roman" w:eastAsia="宋体" w:cs="Times New Roman"/>
                      <w:sz w:val="21"/>
                      <w:highlight w:val="none"/>
                    </w:rPr>
                  </w:pPr>
                  <w:r>
                    <w:rPr>
                      <w:rFonts w:hint="eastAsia" w:ascii="Times New Roman" w:hAnsi="Times New Roman" w:eastAsia="宋体" w:cs="Times New Roman"/>
                      <w:sz w:val="21"/>
                      <w:highlight w:val="none"/>
                    </w:rPr>
                    <w:t>实际情况</w:t>
                  </w:r>
                </w:p>
              </w:tc>
            </w:tr>
            <w:tr w14:paraId="49384C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dxa"/>
                  <w:noWrap w:val="0"/>
                  <w:vAlign w:val="center"/>
                </w:tcPr>
                <w:p w14:paraId="271802AF">
                  <w:pPr>
                    <w:pStyle w:val="30"/>
                    <w:jc w:val="center"/>
                    <w:rPr>
                      <w:rFonts w:hint="eastAsia" w:eastAsia="宋体"/>
                      <w:sz w:val="21"/>
                      <w:highlight w:val="none"/>
                    </w:rPr>
                  </w:pPr>
                  <w:r>
                    <w:rPr>
                      <w:rFonts w:hint="eastAsia" w:eastAsia="宋体"/>
                      <w:sz w:val="21"/>
                      <w:highlight w:val="none"/>
                    </w:rPr>
                    <w:t>1</w:t>
                  </w:r>
                </w:p>
              </w:tc>
              <w:tc>
                <w:tcPr>
                  <w:tcW w:w="1158" w:type="dxa"/>
                  <w:noWrap w:val="0"/>
                  <w:vAlign w:val="center"/>
                </w:tcPr>
                <w:p w14:paraId="4FC34248">
                  <w:pPr>
                    <w:pStyle w:val="30"/>
                    <w:jc w:val="center"/>
                    <w:rPr>
                      <w:rFonts w:hint="eastAsia" w:eastAsia="宋体"/>
                      <w:sz w:val="21"/>
                      <w:highlight w:val="none"/>
                      <w:lang w:eastAsia="zh-CN"/>
                    </w:rPr>
                  </w:pPr>
                  <w:r>
                    <w:rPr>
                      <w:rFonts w:hint="eastAsia" w:eastAsia="宋体"/>
                      <w:sz w:val="21"/>
                      <w:highlight w:val="none"/>
                      <w:lang w:val="en-US" w:eastAsia="zh-CN"/>
                    </w:rPr>
                    <w:t>设备情况说明</w:t>
                  </w:r>
                </w:p>
              </w:tc>
              <w:tc>
                <w:tcPr>
                  <w:tcW w:w="1854" w:type="dxa"/>
                  <w:noWrap w:val="0"/>
                  <w:vAlign w:val="center"/>
                </w:tcPr>
                <w:p w14:paraId="1AFAB90F">
                  <w:pPr>
                    <w:pStyle w:val="30"/>
                    <w:jc w:val="center"/>
                    <w:rPr>
                      <w:rFonts w:hint="eastAsia" w:eastAsia="宋体"/>
                      <w:sz w:val="21"/>
                      <w:highlight w:val="none"/>
                    </w:rPr>
                  </w:pPr>
                  <w:r>
                    <w:rPr>
                      <w:rFonts w:hint="eastAsia" w:eastAsia="宋体"/>
                      <w:sz w:val="21"/>
                      <w:highlight w:val="none"/>
                      <w:lang w:val="en-US" w:eastAsia="zh-CN"/>
                    </w:rPr>
                    <w:t>环评中企业设有制动成型机、带锯、截锯等19种设备</w:t>
                  </w:r>
                </w:p>
              </w:tc>
              <w:tc>
                <w:tcPr>
                  <w:tcW w:w="4766" w:type="dxa"/>
                  <w:noWrap w:val="0"/>
                  <w:vAlign w:val="center"/>
                </w:tcPr>
                <w:p w14:paraId="43FD5B78">
                  <w:pPr>
                    <w:pStyle w:val="30"/>
                    <w:jc w:val="center"/>
                    <w:rPr>
                      <w:rFonts w:hint="default" w:eastAsia="宋体"/>
                      <w:sz w:val="21"/>
                      <w:highlight w:val="none"/>
                      <w:lang w:val="en-US" w:eastAsia="zh-CN"/>
                    </w:rPr>
                  </w:pPr>
                  <w:r>
                    <w:rPr>
                      <w:rFonts w:hint="eastAsia" w:eastAsia="宋体"/>
                      <w:sz w:val="21"/>
                      <w:highlight w:val="none"/>
                      <w:lang w:val="en-US" w:eastAsia="zh-CN"/>
                    </w:rPr>
                    <w:t>企业根据实际情况及工艺，将泡沫制品包装生产线中型号为SPZ100-180T型的全制动成型机由环评中的17台调整至8台，型号为SPZ100-140T型的全制动成型机由环评中的3台调整至4台。本项目决定生产能力的关键设备为</w:t>
                  </w:r>
                  <w:r>
                    <w:rPr>
                      <w:rFonts w:hint="default" w:eastAsia="宋体"/>
                      <w:sz w:val="21"/>
                      <w:highlight w:val="none"/>
                      <w:lang w:val="en-US" w:eastAsia="zh-CN"/>
                    </w:rPr>
                    <w:t>预发机</w:t>
                  </w:r>
                  <w:r>
                    <w:rPr>
                      <w:rFonts w:hint="eastAsia" w:eastAsia="宋体"/>
                      <w:sz w:val="21"/>
                      <w:highlight w:val="none"/>
                      <w:lang w:val="en-US" w:eastAsia="zh-CN"/>
                    </w:rPr>
                    <w:t>，经现场调查，</w:t>
                  </w:r>
                  <w:r>
                    <w:rPr>
                      <w:rFonts w:hint="default" w:eastAsia="宋体"/>
                      <w:sz w:val="21"/>
                      <w:highlight w:val="none"/>
                      <w:lang w:val="en-US" w:eastAsia="zh-CN"/>
                    </w:rPr>
                    <w:t>预发机</w:t>
                  </w:r>
                  <w:r>
                    <w:rPr>
                      <w:rFonts w:hint="eastAsia" w:eastAsia="宋体"/>
                      <w:sz w:val="21"/>
                      <w:highlight w:val="none"/>
                      <w:lang w:val="en-US" w:eastAsia="zh-CN"/>
                    </w:rPr>
                    <w:t>与环评报告要求一致，故成型机变动不会导致生产能力变动。</w:t>
                  </w:r>
                </w:p>
                <w:p w14:paraId="746E03F3">
                  <w:pPr>
                    <w:pStyle w:val="30"/>
                    <w:jc w:val="center"/>
                    <w:rPr>
                      <w:rFonts w:hint="default" w:eastAsia="宋体"/>
                      <w:sz w:val="21"/>
                      <w:highlight w:val="none"/>
                      <w:lang w:val="en-US" w:eastAsia="zh-CN"/>
                    </w:rPr>
                  </w:pPr>
                  <w:r>
                    <w:rPr>
                      <w:rFonts w:hint="eastAsia" w:eastAsia="宋体"/>
                      <w:sz w:val="21"/>
                      <w:highlight w:val="none"/>
                      <w:lang w:val="en-US" w:eastAsia="zh-CN"/>
                    </w:rPr>
                    <w:t>泡沫制品包装生产线中现场原因，仅在预发设备（发泡机）设有</w:t>
                  </w:r>
                  <w:r>
                    <w:rPr>
                      <w:rFonts w:hint="default" w:eastAsia="宋体"/>
                      <w:sz w:val="21"/>
                      <w:highlight w:val="none"/>
                      <w:lang w:val="en-US" w:eastAsia="zh-CN"/>
                    </w:rPr>
                    <w:t>局部密闭式集气罩</w:t>
                  </w:r>
                  <w:r>
                    <w:rPr>
                      <w:rFonts w:hint="eastAsia" w:eastAsia="宋体"/>
                      <w:sz w:val="21"/>
                      <w:highlight w:val="none"/>
                      <w:lang w:val="en-US" w:eastAsia="zh-CN"/>
                    </w:rPr>
                    <w:t>，经</w:t>
                  </w:r>
                  <w:r>
                    <w:rPr>
                      <w:rFonts w:hint="default" w:eastAsia="宋体"/>
                      <w:sz w:val="21"/>
                      <w:highlight w:val="none"/>
                      <w:lang w:val="en-US" w:eastAsia="zh-CN"/>
                    </w:rPr>
                    <w:t>活性炭吸附装置</w:t>
                  </w:r>
                  <w:r>
                    <w:rPr>
                      <w:rFonts w:hint="eastAsia" w:eastAsia="宋体"/>
                      <w:sz w:val="21"/>
                      <w:highlight w:val="none"/>
                      <w:lang w:val="en-US" w:eastAsia="zh-CN"/>
                    </w:rPr>
                    <w:t>及布袋除尘器</w:t>
                  </w:r>
                  <w:r>
                    <w:rPr>
                      <w:rFonts w:hint="default" w:eastAsia="宋体"/>
                      <w:sz w:val="21"/>
                      <w:highlight w:val="none"/>
                      <w:lang w:val="en-US" w:eastAsia="zh-CN"/>
                    </w:rPr>
                    <w:t>处理后通过1根15米高排气筒（DA001）排放</w:t>
                  </w:r>
                  <w:r>
                    <w:rPr>
                      <w:rFonts w:hint="eastAsia" w:eastAsia="宋体"/>
                      <w:sz w:val="21"/>
                      <w:highlight w:val="none"/>
                      <w:lang w:val="en-US" w:eastAsia="zh-CN"/>
                    </w:rPr>
                    <w:t>；</w:t>
                  </w:r>
                  <w:r>
                    <w:rPr>
                      <w:rFonts w:hint="default" w:eastAsia="宋体"/>
                      <w:sz w:val="21"/>
                      <w:highlight w:val="none"/>
                      <w:lang w:val="en-US" w:eastAsia="zh-CN"/>
                    </w:rPr>
                    <w:t>成型设备均密闭，熟化仓为密闭设置；干燥室为封闭</w:t>
                  </w:r>
                  <w:r>
                    <w:rPr>
                      <w:rFonts w:hint="eastAsia" w:eastAsia="宋体"/>
                      <w:sz w:val="21"/>
                      <w:highlight w:val="none"/>
                      <w:lang w:val="en-US" w:eastAsia="zh-CN"/>
                    </w:rPr>
                    <w:t>负压车间。各生产车间均为封闭负压车间，且内均设有集气管道收集各污染工序产生的废气，生产废气经收集后通过</w:t>
                  </w:r>
                  <w:r>
                    <w:rPr>
                      <w:rFonts w:hint="default" w:eastAsia="宋体"/>
                      <w:sz w:val="21"/>
                      <w:highlight w:val="none"/>
                      <w:lang w:val="en-US" w:eastAsia="zh-CN"/>
                    </w:rPr>
                    <w:t>活性炭吸附装置</w:t>
                  </w:r>
                  <w:r>
                    <w:rPr>
                      <w:rFonts w:hint="eastAsia" w:eastAsia="宋体"/>
                      <w:sz w:val="21"/>
                      <w:highlight w:val="none"/>
                      <w:lang w:val="en-US" w:eastAsia="zh-CN"/>
                    </w:rPr>
                    <w:t>及布袋除尘器</w:t>
                  </w:r>
                  <w:r>
                    <w:rPr>
                      <w:rFonts w:hint="default" w:eastAsia="宋体"/>
                      <w:sz w:val="21"/>
                      <w:highlight w:val="none"/>
                      <w:lang w:val="en-US" w:eastAsia="zh-CN"/>
                    </w:rPr>
                    <w:t>处理后通过1根15米高排气筒（DA001）排放</w:t>
                  </w:r>
                  <w:r>
                    <w:rPr>
                      <w:rFonts w:hint="eastAsia" w:eastAsia="宋体"/>
                      <w:sz w:val="21"/>
                      <w:highlight w:val="none"/>
                      <w:lang w:val="en-US" w:eastAsia="zh-CN"/>
                    </w:rPr>
                    <w:t>。因此局部密闭式集气罩由环评中的3套调整至1套。</w:t>
                  </w:r>
                </w:p>
                <w:p w14:paraId="527F9DAE">
                  <w:pPr>
                    <w:pStyle w:val="30"/>
                    <w:jc w:val="center"/>
                    <w:rPr>
                      <w:rFonts w:hint="eastAsia" w:eastAsia="宋体"/>
                      <w:sz w:val="21"/>
                      <w:highlight w:val="none"/>
                      <w:lang w:val="en-US" w:eastAsia="zh-CN"/>
                    </w:rPr>
                  </w:pPr>
                  <w:r>
                    <w:rPr>
                      <w:rFonts w:hint="eastAsia" w:eastAsia="宋体"/>
                      <w:sz w:val="21"/>
                      <w:highlight w:val="none"/>
                      <w:lang w:val="en-US" w:eastAsia="zh-CN"/>
                    </w:rPr>
                    <w:t>由于木制品生产线原料直接根据市场需求购买半成品，工艺流程不涉及带锯切割和截锯截尺工序，只通过钉枪固定后形成木制品成品外售，由于该工序颗粒物产生量较少，同时生产工序位于封闭厂房内，本项目木制品生产线工序未设置袋式除尘器，木制品生产工序产生的颗粒物为无组织排放。因此本条生产线未设置带锯及截锯设备，同时对应未设置木制品废气处理风机及该工序对应的布袋除尘器</w:t>
                  </w:r>
                </w:p>
              </w:tc>
            </w:tr>
            <w:tr w14:paraId="37E306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dxa"/>
                  <w:noWrap w:val="0"/>
                  <w:vAlign w:val="center"/>
                </w:tcPr>
                <w:p w14:paraId="1576CB97">
                  <w:pPr>
                    <w:pStyle w:val="30"/>
                    <w:jc w:val="center"/>
                    <w:rPr>
                      <w:rFonts w:hint="eastAsia" w:eastAsia="宋体"/>
                      <w:sz w:val="21"/>
                      <w:highlight w:val="none"/>
                    </w:rPr>
                  </w:pPr>
                  <w:r>
                    <w:rPr>
                      <w:rFonts w:hint="eastAsia" w:eastAsia="宋体"/>
                      <w:sz w:val="21"/>
                      <w:highlight w:val="none"/>
                    </w:rPr>
                    <w:t>2</w:t>
                  </w:r>
                </w:p>
              </w:tc>
              <w:tc>
                <w:tcPr>
                  <w:tcW w:w="1158" w:type="dxa"/>
                  <w:noWrap w:val="0"/>
                  <w:vAlign w:val="center"/>
                </w:tcPr>
                <w:p w14:paraId="752838D5">
                  <w:pPr>
                    <w:pStyle w:val="30"/>
                    <w:jc w:val="center"/>
                    <w:rPr>
                      <w:rFonts w:hint="eastAsia" w:eastAsia="宋体"/>
                      <w:sz w:val="21"/>
                      <w:highlight w:val="none"/>
                    </w:rPr>
                  </w:pPr>
                  <w:r>
                    <w:rPr>
                      <w:rFonts w:hint="eastAsia" w:eastAsia="宋体"/>
                      <w:sz w:val="21"/>
                      <w:highlight w:val="none"/>
                      <w:lang w:val="en-US" w:eastAsia="zh-CN"/>
                    </w:rPr>
                    <w:t>冷凝水收集池情况说明</w:t>
                  </w:r>
                </w:p>
              </w:tc>
              <w:tc>
                <w:tcPr>
                  <w:tcW w:w="1854" w:type="dxa"/>
                  <w:noWrap w:val="0"/>
                  <w:vAlign w:val="center"/>
                </w:tcPr>
                <w:p w14:paraId="6E16A52A">
                  <w:pPr>
                    <w:pStyle w:val="30"/>
                    <w:jc w:val="center"/>
                    <w:rPr>
                      <w:rFonts w:hint="eastAsia" w:eastAsia="宋体"/>
                      <w:sz w:val="21"/>
                      <w:highlight w:val="none"/>
                      <w:lang w:val="en-US" w:eastAsia="zh-CN"/>
                    </w:rPr>
                  </w:pPr>
                  <w:r>
                    <w:rPr>
                      <w:rFonts w:hint="eastAsia" w:eastAsia="宋体"/>
                      <w:sz w:val="21"/>
                      <w:highlight w:val="none"/>
                      <w:lang w:val="en-US" w:eastAsia="zh-CN"/>
                    </w:rPr>
                    <w:t>环评中企业设有1座10m3的冷凝水收集池</w:t>
                  </w:r>
                </w:p>
              </w:tc>
              <w:tc>
                <w:tcPr>
                  <w:tcW w:w="4766" w:type="dxa"/>
                  <w:noWrap w:val="0"/>
                  <w:vAlign w:val="center"/>
                </w:tcPr>
                <w:p w14:paraId="4EA0E5FE">
                  <w:pPr>
                    <w:pStyle w:val="30"/>
                    <w:jc w:val="center"/>
                    <w:rPr>
                      <w:rFonts w:hint="eastAsia" w:eastAsia="宋体"/>
                      <w:sz w:val="21"/>
                      <w:highlight w:val="none"/>
                      <w:lang w:val="en-US" w:eastAsia="zh-CN"/>
                    </w:rPr>
                  </w:pPr>
                  <w:r>
                    <w:rPr>
                      <w:rFonts w:hint="eastAsia" w:eastAsia="宋体"/>
                      <w:sz w:val="21"/>
                      <w:highlight w:val="none"/>
                      <w:lang w:val="en-US" w:eastAsia="zh-CN"/>
                    </w:rPr>
                    <w:t>企业实际设有4座容积为30m3的冷凝水收集池（4m*3m*2.5m）。冷凝水收集池仅收集本项目</w:t>
                  </w:r>
                  <w:r>
                    <w:rPr>
                      <w:rFonts w:hint="default" w:eastAsia="宋体"/>
                      <w:sz w:val="21"/>
                      <w:highlight w:val="none"/>
                      <w:lang w:val="en-US" w:eastAsia="zh-CN"/>
                    </w:rPr>
                    <w:t>高温蒸汽冷凝水</w:t>
                  </w:r>
                  <w:r>
                    <w:rPr>
                      <w:rFonts w:hint="eastAsia" w:eastAsia="宋体"/>
                      <w:sz w:val="21"/>
                      <w:highlight w:val="none"/>
                      <w:lang w:val="en-US" w:eastAsia="zh-CN"/>
                    </w:rPr>
                    <w:t>，冷凝水不与生产工序接触。冷凝水收集池容积变大可有效防止</w:t>
                  </w:r>
                  <w:r>
                    <w:rPr>
                      <w:rFonts w:hint="default" w:eastAsia="宋体"/>
                      <w:sz w:val="21"/>
                      <w:highlight w:val="none"/>
                      <w:lang w:val="en-US" w:eastAsia="zh-CN"/>
                    </w:rPr>
                    <w:t>高温蒸汽冷凝水</w:t>
                  </w:r>
                  <w:r>
                    <w:rPr>
                      <w:rFonts w:hint="eastAsia" w:eastAsia="宋体"/>
                      <w:sz w:val="21"/>
                      <w:highlight w:val="none"/>
                      <w:lang w:val="en-US" w:eastAsia="zh-CN"/>
                    </w:rPr>
                    <w:t>外溢的风险</w:t>
                  </w:r>
                </w:p>
              </w:tc>
            </w:tr>
            <w:tr w14:paraId="654B4F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dxa"/>
                  <w:noWrap w:val="0"/>
                  <w:vAlign w:val="center"/>
                </w:tcPr>
                <w:p w14:paraId="64D9808C">
                  <w:pPr>
                    <w:pStyle w:val="30"/>
                    <w:jc w:val="center"/>
                    <w:rPr>
                      <w:rFonts w:hint="eastAsia" w:eastAsia="宋体"/>
                      <w:sz w:val="21"/>
                      <w:highlight w:val="none"/>
                      <w:lang w:val="en-US" w:eastAsia="zh-CN"/>
                    </w:rPr>
                  </w:pPr>
                  <w:r>
                    <w:rPr>
                      <w:rFonts w:hint="eastAsia" w:eastAsia="宋体"/>
                      <w:sz w:val="21"/>
                      <w:highlight w:val="none"/>
                      <w:lang w:val="en-US" w:eastAsia="zh-CN"/>
                    </w:rPr>
                    <w:t>3</w:t>
                  </w:r>
                </w:p>
              </w:tc>
              <w:tc>
                <w:tcPr>
                  <w:tcW w:w="1158" w:type="dxa"/>
                  <w:noWrap w:val="0"/>
                  <w:vAlign w:val="center"/>
                </w:tcPr>
                <w:p w14:paraId="62978D99">
                  <w:pPr>
                    <w:pStyle w:val="30"/>
                    <w:jc w:val="center"/>
                    <w:rPr>
                      <w:rFonts w:hint="eastAsia" w:eastAsia="宋体"/>
                      <w:sz w:val="21"/>
                      <w:highlight w:val="none"/>
                      <w:lang w:val="en-US" w:eastAsia="zh-CN"/>
                    </w:rPr>
                  </w:pPr>
                  <w:r>
                    <w:rPr>
                      <w:rFonts w:hint="eastAsia" w:eastAsia="宋体"/>
                      <w:sz w:val="21"/>
                      <w:highlight w:val="none"/>
                      <w:lang w:val="en-US" w:eastAsia="zh-CN"/>
                    </w:rPr>
                    <w:t>生产区位置及面积调整情况说明</w:t>
                  </w:r>
                </w:p>
              </w:tc>
              <w:tc>
                <w:tcPr>
                  <w:tcW w:w="1854" w:type="dxa"/>
                  <w:noWrap w:val="0"/>
                  <w:vAlign w:val="center"/>
                </w:tcPr>
                <w:p w14:paraId="3D3B6EE7">
                  <w:pPr>
                    <w:pStyle w:val="30"/>
                    <w:jc w:val="center"/>
                    <w:rPr>
                      <w:rFonts w:hint="eastAsia" w:eastAsia="宋体"/>
                      <w:sz w:val="21"/>
                      <w:highlight w:val="none"/>
                      <w:lang w:val="en-US" w:eastAsia="zh-CN"/>
                    </w:rPr>
                  </w:pPr>
                  <w:r>
                    <w:rPr>
                      <w:rFonts w:hint="eastAsia" w:eastAsia="宋体"/>
                      <w:sz w:val="21"/>
                      <w:highlight w:val="none"/>
                      <w:lang w:val="en-US" w:eastAsia="zh-CN"/>
                    </w:rPr>
                    <w:t>环评中本项目生产区域位于厂址西南侧，厂址东北侧为预留区域</w:t>
                  </w:r>
                </w:p>
              </w:tc>
              <w:tc>
                <w:tcPr>
                  <w:tcW w:w="4766" w:type="dxa"/>
                  <w:noWrap w:val="0"/>
                  <w:vAlign w:val="center"/>
                </w:tcPr>
                <w:p w14:paraId="482FC297">
                  <w:pPr>
                    <w:pStyle w:val="30"/>
                    <w:jc w:val="center"/>
                    <w:rPr>
                      <w:rFonts w:hint="eastAsia" w:eastAsia="宋体"/>
                      <w:sz w:val="21"/>
                      <w:highlight w:val="none"/>
                      <w:lang w:val="en-US" w:eastAsia="zh-CN"/>
                    </w:rPr>
                  </w:pPr>
                  <w:r>
                    <w:rPr>
                      <w:rFonts w:hint="eastAsia" w:eastAsia="宋体"/>
                      <w:sz w:val="21"/>
                      <w:highlight w:val="none"/>
                      <w:lang w:val="en-US" w:eastAsia="zh-CN"/>
                    </w:rPr>
                    <w:t>由于本项目厂址为租赁，厂址原址为建筑材料加工厂，主要产品为聚苯乙烯泡沫板建筑材料，该厂于2005年停产至今，原定预留区域有部分原有厂房。本着节约人力，财力等原因，同时部分原有厂房可利用，满足生产所用条件，因此本项目生产区域调整至厂址东北侧，厂址西南侧空地为预留区域。同时调整部分生产车间的占地面积，调整后泡沫制品包装生产车间占地面积变为600m2，木制品生产车间占地面积为225m2，设置6个干燥室，每个干燥室占地面积为75m2（整体为450m2），泡沫制品包装成品库房占地面积为1800m2。由于木制品生产线工艺简化，木制品生产车间设备较少，木制品成品暂存区挪至生产车间，同时未设置原料木材仓库及木屑仓库</w:t>
                  </w:r>
                </w:p>
              </w:tc>
            </w:tr>
            <w:tr w14:paraId="6A87C3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dxa"/>
                  <w:noWrap w:val="0"/>
                  <w:vAlign w:val="center"/>
                </w:tcPr>
                <w:p w14:paraId="56B1E0D3">
                  <w:pPr>
                    <w:pStyle w:val="30"/>
                    <w:jc w:val="center"/>
                    <w:rPr>
                      <w:rFonts w:hint="eastAsia" w:eastAsia="宋体"/>
                      <w:sz w:val="21"/>
                      <w:highlight w:val="none"/>
                      <w:lang w:val="en-US" w:eastAsia="zh-CN"/>
                    </w:rPr>
                  </w:pPr>
                  <w:r>
                    <w:rPr>
                      <w:rFonts w:hint="eastAsia" w:eastAsia="宋体"/>
                      <w:sz w:val="21"/>
                      <w:highlight w:val="none"/>
                      <w:lang w:val="en-US" w:eastAsia="zh-CN"/>
                    </w:rPr>
                    <w:t>4</w:t>
                  </w:r>
                </w:p>
              </w:tc>
              <w:tc>
                <w:tcPr>
                  <w:tcW w:w="1158" w:type="dxa"/>
                  <w:noWrap w:val="0"/>
                  <w:vAlign w:val="center"/>
                </w:tcPr>
                <w:p w14:paraId="5DBDCFC3">
                  <w:pPr>
                    <w:pStyle w:val="30"/>
                    <w:jc w:val="center"/>
                    <w:rPr>
                      <w:rFonts w:hint="eastAsia" w:eastAsia="宋体"/>
                      <w:sz w:val="21"/>
                      <w:highlight w:val="none"/>
                      <w:lang w:val="en-US" w:eastAsia="zh-CN"/>
                    </w:rPr>
                  </w:pPr>
                  <w:r>
                    <w:rPr>
                      <w:rFonts w:hint="eastAsia" w:eastAsia="宋体"/>
                      <w:sz w:val="21"/>
                      <w:highlight w:val="none"/>
                      <w:lang w:val="en-US" w:eastAsia="zh-CN"/>
                    </w:rPr>
                    <w:t>木制品生产线情况说明</w:t>
                  </w:r>
                </w:p>
              </w:tc>
              <w:tc>
                <w:tcPr>
                  <w:tcW w:w="1854" w:type="dxa"/>
                  <w:noWrap w:val="0"/>
                  <w:vAlign w:val="center"/>
                </w:tcPr>
                <w:p w14:paraId="4B2F6326">
                  <w:pPr>
                    <w:pStyle w:val="30"/>
                    <w:jc w:val="center"/>
                    <w:rPr>
                      <w:rFonts w:hint="eastAsia" w:eastAsia="宋体"/>
                      <w:sz w:val="21"/>
                      <w:highlight w:val="none"/>
                      <w:lang w:val="en-US" w:eastAsia="zh-CN"/>
                    </w:rPr>
                  </w:pPr>
                  <w:r>
                    <w:rPr>
                      <w:rFonts w:hint="eastAsia" w:eastAsia="宋体"/>
                      <w:sz w:val="21"/>
                      <w:highlight w:val="none"/>
                      <w:lang w:val="en-US" w:eastAsia="zh-CN"/>
                    </w:rPr>
                    <w:t>环评中企业木制品生产线工艺主要为进购原料木材，经过带锯加工、截锯加工、钉枪固定后成品入库</w:t>
                  </w:r>
                </w:p>
              </w:tc>
              <w:tc>
                <w:tcPr>
                  <w:tcW w:w="4766" w:type="dxa"/>
                  <w:noWrap w:val="0"/>
                  <w:vAlign w:val="center"/>
                </w:tcPr>
                <w:p w14:paraId="4AA69E2E">
                  <w:pPr>
                    <w:pStyle w:val="30"/>
                    <w:jc w:val="center"/>
                    <w:rPr>
                      <w:rFonts w:hint="eastAsia" w:eastAsia="宋体"/>
                      <w:sz w:val="21"/>
                      <w:highlight w:val="none"/>
                      <w:lang w:val="en-US" w:eastAsia="zh-CN"/>
                    </w:rPr>
                  </w:pPr>
                  <w:r>
                    <w:rPr>
                      <w:rFonts w:hint="eastAsia" w:eastAsia="宋体"/>
                      <w:sz w:val="21"/>
                      <w:highlight w:val="none"/>
                      <w:lang w:val="en-US" w:eastAsia="zh-CN"/>
                    </w:rPr>
                    <w:t>企业木制品生产线原料直接根据市场需求购买半成品，工艺流程不涉及带锯切割和截锯截尺工序，只通过钉枪固定后形成木制品成品外售。企业实际木制品生产工艺简化，比照环评，颗粒物产生量明显减少。由于该工序颗粒物产生量较少，同时生产工序位于封闭厂房内，本项目木制品生产线工序未设置袋式除尘器，木制品生产工序产生的颗粒物为无组织排放</w:t>
                  </w:r>
                </w:p>
              </w:tc>
            </w:tr>
            <w:tr w14:paraId="1B86B7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dxa"/>
                  <w:noWrap w:val="0"/>
                  <w:vAlign w:val="center"/>
                </w:tcPr>
                <w:p w14:paraId="52A1608F">
                  <w:pPr>
                    <w:pStyle w:val="30"/>
                    <w:jc w:val="center"/>
                    <w:rPr>
                      <w:rFonts w:hint="eastAsia" w:eastAsia="宋体"/>
                      <w:sz w:val="21"/>
                      <w:highlight w:val="none"/>
                      <w:lang w:val="en-US" w:eastAsia="zh-CN"/>
                    </w:rPr>
                  </w:pPr>
                  <w:r>
                    <w:rPr>
                      <w:rFonts w:hint="eastAsia" w:eastAsia="宋体"/>
                      <w:sz w:val="21"/>
                      <w:highlight w:val="none"/>
                      <w:lang w:val="en-US" w:eastAsia="zh-CN"/>
                    </w:rPr>
                    <w:t>5</w:t>
                  </w:r>
                </w:p>
              </w:tc>
              <w:tc>
                <w:tcPr>
                  <w:tcW w:w="1158" w:type="dxa"/>
                  <w:noWrap w:val="0"/>
                  <w:vAlign w:val="center"/>
                </w:tcPr>
                <w:p w14:paraId="46B5818A">
                  <w:pPr>
                    <w:pStyle w:val="30"/>
                    <w:jc w:val="center"/>
                    <w:rPr>
                      <w:rFonts w:hint="eastAsia" w:eastAsia="宋体"/>
                      <w:sz w:val="21"/>
                      <w:highlight w:val="none"/>
                      <w:lang w:val="en-US" w:eastAsia="zh-CN"/>
                    </w:rPr>
                  </w:pPr>
                  <w:r>
                    <w:rPr>
                      <w:rFonts w:hint="eastAsia" w:eastAsia="宋体"/>
                      <w:sz w:val="21"/>
                      <w:highlight w:val="none"/>
                      <w:lang w:val="en-US" w:eastAsia="zh-CN"/>
                    </w:rPr>
                    <w:t>危废暂存间情况说明</w:t>
                  </w:r>
                </w:p>
              </w:tc>
              <w:tc>
                <w:tcPr>
                  <w:tcW w:w="1854" w:type="dxa"/>
                  <w:noWrap w:val="0"/>
                  <w:vAlign w:val="center"/>
                </w:tcPr>
                <w:p w14:paraId="07BDC9D2">
                  <w:pPr>
                    <w:pStyle w:val="30"/>
                    <w:jc w:val="center"/>
                    <w:rPr>
                      <w:rFonts w:hint="eastAsia" w:eastAsia="宋体"/>
                      <w:sz w:val="21"/>
                      <w:highlight w:val="none"/>
                      <w:lang w:val="en-US" w:eastAsia="zh-CN"/>
                    </w:rPr>
                  </w:pPr>
                  <w:r>
                    <w:rPr>
                      <w:rFonts w:hint="eastAsia" w:eastAsia="宋体"/>
                      <w:sz w:val="21"/>
                      <w:highlight w:val="none"/>
                      <w:lang w:val="en-US" w:eastAsia="zh-CN"/>
                    </w:rPr>
                    <w:t>环评中企业在厂区南侧设置</w:t>
                  </w:r>
                  <w:r>
                    <w:rPr>
                      <w:rFonts w:hint="default" w:eastAsia="宋体"/>
                      <w:sz w:val="21"/>
                      <w:highlight w:val="none"/>
                      <w:lang w:val="en-US" w:eastAsia="zh-CN"/>
                    </w:rPr>
                    <w:t>占地面积</w:t>
                  </w:r>
                  <w:r>
                    <w:rPr>
                      <w:rFonts w:hint="eastAsia" w:eastAsia="宋体"/>
                      <w:sz w:val="21"/>
                      <w:highlight w:val="none"/>
                      <w:lang w:val="en-US" w:eastAsia="zh-CN"/>
                    </w:rPr>
                    <w:t>50</w:t>
                  </w:r>
                  <w:r>
                    <w:rPr>
                      <w:rFonts w:hint="default" w:eastAsia="宋体"/>
                      <w:sz w:val="21"/>
                      <w:highlight w:val="none"/>
                      <w:lang w:val="en-US" w:eastAsia="zh-CN"/>
                    </w:rPr>
                    <w:t>m2</w:t>
                  </w:r>
                  <w:r>
                    <w:rPr>
                      <w:rFonts w:hint="eastAsia" w:eastAsia="宋体"/>
                      <w:sz w:val="21"/>
                      <w:highlight w:val="none"/>
                      <w:lang w:val="en-US" w:eastAsia="zh-CN"/>
                    </w:rPr>
                    <w:t>的一座危废间</w:t>
                  </w:r>
                </w:p>
              </w:tc>
              <w:tc>
                <w:tcPr>
                  <w:tcW w:w="4766" w:type="dxa"/>
                  <w:noWrap w:val="0"/>
                  <w:vAlign w:val="center"/>
                </w:tcPr>
                <w:p w14:paraId="7013A66B">
                  <w:pPr>
                    <w:pStyle w:val="30"/>
                    <w:jc w:val="center"/>
                    <w:rPr>
                      <w:rFonts w:hint="eastAsia" w:eastAsia="宋体"/>
                      <w:sz w:val="21"/>
                      <w:highlight w:val="none"/>
                      <w:lang w:val="en-US" w:eastAsia="zh-CN"/>
                    </w:rPr>
                  </w:pPr>
                  <w:r>
                    <w:rPr>
                      <w:rFonts w:hint="eastAsia" w:eastAsia="宋体"/>
                      <w:sz w:val="21"/>
                      <w:highlight w:val="none"/>
                      <w:lang w:val="en-US" w:eastAsia="zh-CN"/>
                    </w:rPr>
                    <w:t>企业根据实际情况将危废暂存间设置在厂区西南侧，占地面积为50</w:t>
                  </w:r>
                  <w:r>
                    <w:rPr>
                      <w:rFonts w:hint="default" w:eastAsia="宋体"/>
                      <w:sz w:val="21"/>
                      <w:highlight w:val="none"/>
                      <w:lang w:val="en-US" w:eastAsia="zh-CN"/>
                    </w:rPr>
                    <w:t>m2</w:t>
                  </w:r>
                  <w:r>
                    <w:rPr>
                      <w:rFonts w:hint="eastAsia" w:eastAsia="宋体"/>
                      <w:sz w:val="21"/>
                      <w:highlight w:val="none"/>
                      <w:lang w:val="en-US" w:eastAsia="zh-CN"/>
                    </w:rPr>
                    <w:t>。本项目危险废物主要为废活性炭、废机油及废油桶。根据环评，废活性炭产生量约为26.8t/a，存于危险废物贮存库，定期委托有危险废物处理资质的单位进行处理。本项目生产设备日常检修会产生废机油、废油桶，项目运行期间废机油产生量为1t/a，废油桶产生量为0.06t/a。暂存于危险废物贮存库，委托本溪本色环保工程有限公司进行随时处理。危废分区存放，危废间面积可满足危废暂存情况。</w:t>
                  </w:r>
                </w:p>
              </w:tc>
            </w:tr>
            <w:tr w14:paraId="65ACB0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dxa"/>
                  <w:noWrap w:val="0"/>
                  <w:vAlign w:val="center"/>
                </w:tcPr>
                <w:p w14:paraId="087A16A0">
                  <w:pPr>
                    <w:pStyle w:val="30"/>
                    <w:jc w:val="center"/>
                    <w:rPr>
                      <w:rFonts w:hint="default" w:ascii="Times New Roman" w:hAnsi="Times New Roman" w:eastAsia="宋体" w:cs="Times New Roman"/>
                      <w:sz w:val="21"/>
                      <w:highlight w:val="none"/>
                      <w:lang w:val="en-US" w:eastAsia="zh-CN"/>
                    </w:rPr>
                  </w:pPr>
                  <w:r>
                    <w:rPr>
                      <w:rFonts w:hint="eastAsia" w:ascii="Times New Roman" w:hAnsi="Times New Roman" w:eastAsia="宋体" w:cs="Times New Roman"/>
                      <w:sz w:val="21"/>
                      <w:highlight w:val="none"/>
                      <w:lang w:val="en-US" w:eastAsia="zh-CN"/>
                    </w:rPr>
                    <w:t>6</w:t>
                  </w:r>
                </w:p>
              </w:tc>
              <w:tc>
                <w:tcPr>
                  <w:tcW w:w="1158" w:type="dxa"/>
                  <w:noWrap w:val="0"/>
                  <w:vAlign w:val="center"/>
                </w:tcPr>
                <w:p w14:paraId="55F18BBD">
                  <w:pPr>
                    <w:pStyle w:val="30"/>
                    <w:jc w:val="center"/>
                    <w:rPr>
                      <w:rFonts w:hint="eastAsia" w:ascii="Times New Roman" w:hAnsi="Times New Roman" w:eastAsia="宋体" w:cs="Times New Roman"/>
                      <w:sz w:val="21"/>
                      <w:highlight w:val="none"/>
                      <w:lang w:val="en-US" w:eastAsia="zh-CN"/>
                    </w:rPr>
                  </w:pPr>
                  <w:r>
                    <w:rPr>
                      <w:rFonts w:hint="eastAsia" w:ascii="Times New Roman" w:hAnsi="Times New Roman" w:eastAsia="宋体" w:cs="Times New Roman"/>
                      <w:sz w:val="21"/>
                      <w:highlight w:val="none"/>
                      <w:lang w:val="en-US" w:eastAsia="zh-CN"/>
                    </w:rPr>
                    <w:t>生活污水排放情况</w:t>
                  </w:r>
                </w:p>
              </w:tc>
              <w:tc>
                <w:tcPr>
                  <w:tcW w:w="1854" w:type="dxa"/>
                  <w:noWrap w:val="0"/>
                  <w:vAlign w:val="center"/>
                </w:tcPr>
                <w:p w14:paraId="2B8FEC6F">
                  <w:pPr>
                    <w:pStyle w:val="30"/>
                    <w:jc w:val="center"/>
                    <w:rPr>
                      <w:rFonts w:hint="eastAsia" w:eastAsia="宋体"/>
                      <w:sz w:val="21"/>
                      <w:highlight w:val="none"/>
                      <w:lang w:val="en-US" w:eastAsia="zh-CN"/>
                    </w:rPr>
                  </w:pPr>
                  <w:r>
                    <w:rPr>
                      <w:rFonts w:hint="eastAsia" w:eastAsia="宋体"/>
                      <w:sz w:val="21"/>
                      <w:highlight w:val="none"/>
                      <w:lang w:val="en-US" w:eastAsia="zh-CN"/>
                    </w:rPr>
                    <w:t>环评中生活污水排入化粪池处理后排入市政污水管网</w:t>
                  </w:r>
                </w:p>
              </w:tc>
              <w:tc>
                <w:tcPr>
                  <w:tcW w:w="4766" w:type="dxa"/>
                  <w:noWrap w:val="0"/>
                  <w:vAlign w:val="center"/>
                </w:tcPr>
                <w:p w14:paraId="502C3514">
                  <w:pPr>
                    <w:pStyle w:val="30"/>
                    <w:jc w:val="center"/>
                    <w:rPr>
                      <w:rFonts w:hint="eastAsia" w:eastAsia="宋体"/>
                      <w:sz w:val="21"/>
                      <w:highlight w:val="none"/>
                      <w:lang w:val="en-US" w:eastAsia="zh-CN"/>
                    </w:rPr>
                  </w:pPr>
                  <w:r>
                    <w:rPr>
                      <w:rFonts w:hint="eastAsia" w:eastAsia="宋体"/>
                      <w:sz w:val="21"/>
                      <w:highlight w:val="none"/>
                      <w:lang w:val="en-US" w:eastAsia="zh-CN"/>
                    </w:rPr>
                    <w:t>由于本项目所在区域无市政管网，且验收阶段，生活污水排入防渗旱厕定期清掏不外排。一旦布设管网，本项目生活污水排入化粪池处理后，在监测达标后方可排入市政管网</w:t>
                  </w:r>
                </w:p>
              </w:tc>
            </w:tr>
          </w:tbl>
          <w:p w14:paraId="0F7F30F0">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eastAsia" w:eastAsia="宋体"/>
                <w:sz w:val="24"/>
                <w:szCs w:val="24"/>
                <w:highlight w:val="none"/>
                <w:lang w:val="en-US" w:eastAsia="zh-CN"/>
              </w:rPr>
            </w:pPr>
            <w:r>
              <w:rPr>
                <w:rFonts w:hint="eastAsia" w:eastAsia="宋体"/>
                <w:sz w:val="24"/>
                <w:szCs w:val="24"/>
                <w:highlight w:val="none"/>
                <w:lang w:val="en-US" w:eastAsia="zh-CN"/>
              </w:rPr>
              <w:t>根据《关于印发环评管理中部分行业建设项目重大变动清单的通知》（环办﹝2015〕52号）中“《环境影响评价法》和《建设项目环境保护管理条例》有关规定以及《关于印发污染影响类建设项目重大变动清单（试行）的通知》（环办环评函[2020]688号），建设项目的性质、规模、地点、生产工艺或者环保措施发生重大变动，且可能导致环境影响显著变化（特别是不利环境影响加重）的，界定为重大变动。属于重大变动的应当重新报批环境影响评价文件，不属于重大变动的纳入竣工环境保护验收管理。”</w:t>
            </w:r>
          </w:p>
          <w:p w14:paraId="6CFC4B80">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textAlignment w:val="auto"/>
              <w:rPr>
                <w:rFonts w:hint="eastAsia" w:eastAsia="宋体"/>
                <w:sz w:val="24"/>
                <w:szCs w:val="24"/>
                <w:highlight w:val="none"/>
                <w:lang w:val="en-US" w:eastAsia="zh-CN"/>
              </w:rPr>
            </w:pPr>
            <w:r>
              <w:rPr>
                <w:rFonts w:hint="eastAsia" w:eastAsia="宋体"/>
                <w:sz w:val="24"/>
                <w:szCs w:val="24"/>
                <w:highlight w:val="none"/>
                <w:lang w:val="en-US" w:eastAsia="zh-CN"/>
              </w:rPr>
              <w:t>本项目变动情况主要为设备情况、冷凝水收集池情况、生产区位置及面积调整情况、木制品生产线情况及危废间情况的变动。其中生产区位置调整未新增敏感点，且本项目敏感目标为南侧490m的</w:t>
            </w:r>
            <w:r>
              <w:rPr>
                <w:rFonts w:hint="default" w:eastAsia="宋体"/>
                <w:sz w:val="24"/>
                <w:szCs w:val="24"/>
                <w:highlight w:val="none"/>
                <w:lang w:val="en-US" w:eastAsia="zh-CN"/>
              </w:rPr>
              <w:t>惠群养老院</w:t>
            </w:r>
            <w:r>
              <w:rPr>
                <w:rFonts w:hint="eastAsia" w:eastAsia="宋体"/>
                <w:sz w:val="24"/>
                <w:szCs w:val="24"/>
                <w:highlight w:val="none"/>
                <w:lang w:val="en-US" w:eastAsia="zh-CN"/>
              </w:rPr>
              <w:t>，本项目生产区由原来西南侧调整至东北侧，远离了敏感目标，对敏感目标的影响降低。木制品生产线工艺简化，不涉及带锯切割和截锯截尺工序，只通过钉枪固定后形成木制品成品外售，对比环评，减少了污染物的排放。本项目决定生产能力的关键设备为</w:t>
            </w:r>
            <w:r>
              <w:rPr>
                <w:rFonts w:hint="default" w:eastAsia="宋体"/>
                <w:sz w:val="24"/>
                <w:szCs w:val="24"/>
                <w:highlight w:val="none"/>
                <w:lang w:val="en-US" w:eastAsia="zh-CN"/>
              </w:rPr>
              <w:t>间歇式预发机</w:t>
            </w:r>
            <w:r>
              <w:rPr>
                <w:rFonts w:hint="eastAsia" w:eastAsia="宋体"/>
                <w:sz w:val="24"/>
                <w:szCs w:val="24"/>
                <w:highlight w:val="none"/>
                <w:lang w:val="en-US" w:eastAsia="zh-CN"/>
              </w:rPr>
              <w:t>，经现场调查，间歇</w:t>
            </w:r>
            <w:r>
              <w:rPr>
                <w:rFonts w:hint="default" w:eastAsia="宋体"/>
                <w:sz w:val="24"/>
                <w:szCs w:val="24"/>
                <w:highlight w:val="none"/>
                <w:lang w:val="en-US" w:eastAsia="zh-CN"/>
              </w:rPr>
              <w:t>式预发机</w:t>
            </w:r>
            <w:r>
              <w:rPr>
                <w:rFonts w:hint="eastAsia" w:eastAsia="宋体"/>
                <w:sz w:val="24"/>
                <w:szCs w:val="24"/>
                <w:highlight w:val="none"/>
                <w:lang w:val="en-US" w:eastAsia="zh-CN"/>
              </w:rPr>
              <w:t>与环评报告要求一致，故成型机变动不会导致生产能力变动。生活污水排入防渗旱厕不外排，本项目无外排废水。综上所述，本项目的变动不会导致不利环境影响加重，因此本项目不属于重大变动。</w:t>
            </w:r>
          </w:p>
          <w:p w14:paraId="4A75B1A9">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5 环境管理</w:t>
            </w:r>
          </w:p>
          <w:p w14:paraId="4CCA020B">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5.1执行国家建设项目环境管理制度的情况</w:t>
            </w:r>
          </w:p>
          <w:p w14:paraId="78A52AA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本项目严格执行“三同时”制度，建设项目环境影响报告表于20</w:t>
            </w:r>
            <w:r>
              <w:rPr>
                <w:rFonts w:hint="eastAsia" w:ascii="Times New Roman" w:hAnsi="Times New Roman" w:eastAsia="宋体" w:cs="Times New Roman"/>
                <w:bCs/>
                <w:color w:val="auto"/>
                <w:kern w:val="2"/>
                <w:sz w:val="24"/>
                <w:szCs w:val="24"/>
                <w:highlight w:val="none"/>
                <w:lang w:val="en-US" w:eastAsia="zh-CN" w:bidi="ar-SA"/>
              </w:rPr>
              <w:t>24</w:t>
            </w:r>
            <w:r>
              <w:rPr>
                <w:rFonts w:hint="default" w:ascii="Times New Roman" w:hAnsi="Times New Roman" w:eastAsia="宋体" w:cs="Times New Roman"/>
                <w:bCs/>
                <w:color w:val="auto"/>
                <w:kern w:val="2"/>
                <w:sz w:val="24"/>
                <w:szCs w:val="24"/>
                <w:highlight w:val="none"/>
                <w:lang w:val="en-US" w:eastAsia="zh-CN" w:bidi="ar-SA"/>
              </w:rPr>
              <w:t>年</w:t>
            </w:r>
            <w:r>
              <w:rPr>
                <w:rFonts w:hint="eastAsia" w:ascii="Times New Roman" w:hAnsi="Times New Roman" w:eastAsia="宋体" w:cs="Times New Roman"/>
                <w:bCs/>
                <w:color w:val="auto"/>
                <w:kern w:val="2"/>
                <w:sz w:val="24"/>
                <w:szCs w:val="24"/>
                <w:highlight w:val="none"/>
                <w:lang w:val="en-US" w:eastAsia="zh-CN" w:bidi="ar-SA"/>
              </w:rPr>
              <w:t>9</w:t>
            </w:r>
            <w:r>
              <w:rPr>
                <w:rFonts w:hint="default" w:ascii="Times New Roman" w:hAnsi="Times New Roman" w:eastAsia="宋体" w:cs="Times New Roman"/>
                <w:bCs/>
                <w:color w:val="auto"/>
                <w:kern w:val="2"/>
                <w:sz w:val="24"/>
                <w:szCs w:val="24"/>
                <w:highlight w:val="none"/>
                <w:lang w:val="en-US" w:eastAsia="zh-CN" w:bidi="ar-SA"/>
              </w:rPr>
              <w:t>月由</w:t>
            </w:r>
            <w:r>
              <w:rPr>
                <w:rFonts w:hint="eastAsia" w:ascii="Times New Roman" w:hAnsi="Times New Roman" w:eastAsia="宋体" w:cs="Times New Roman"/>
                <w:bCs/>
                <w:color w:val="auto"/>
                <w:kern w:val="2"/>
                <w:sz w:val="24"/>
                <w:szCs w:val="24"/>
                <w:highlight w:val="none"/>
                <w:lang w:val="en-US" w:eastAsia="zh-CN" w:bidi="ar-SA"/>
              </w:rPr>
              <w:t>辽宁碧辉科技有限公司</w:t>
            </w:r>
            <w:r>
              <w:rPr>
                <w:rFonts w:hint="default" w:ascii="Times New Roman" w:hAnsi="Times New Roman" w:eastAsia="宋体" w:cs="Times New Roman"/>
                <w:bCs/>
                <w:color w:val="auto"/>
                <w:kern w:val="2"/>
                <w:sz w:val="24"/>
                <w:szCs w:val="24"/>
                <w:highlight w:val="none"/>
                <w:lang w:val="en-US" w:eastAsia="zh-CN" w:bidi="ar-SA"/>
              </w:rPr>
              <w:t>编制完成，</w:t>
            </w:r>
            <w:r>
              <w:rPr>
                <w:rFonts w:hint="eastAsia" w:ascii="Times New Roman" w:hAnsi="Times New Roman" w:eastAsia="宋体" w:cs="Times New Roman"/>
                <w:bCs/>
                <w:color w:val="auto"/>
                <w:kern w:val="2"/>
                <w:sz w:val="24"/>
                <w:szCs w:val="24"/>
                <w:highlight w:val="none"/>
                <w:lang w:val="en-US" w:eastAsia="zh-CN" w:bidi="ar-SA"/>
              </w:rPr>
              <w:t>2024年9月本溪市生态环境局出具《关于本溪市华宇木业有限公司木制品及泡沫制品包装生产线建设项目环境影响报告表的批复》（本环建表字[2024]75号）（见附件2）</w:t>
            </w:r>
            <w:r>
              <w:rPr>
                <w:rFonts w:hint="default" w:ascii="Times New Roman" w:hAnsi="Times New Roman" w:eastAsia="宋体" w:cs="Times New Roman"/>
                <w:bCs/>
                <w:color w:val="auto"/>
                <w:kern w:val="2"/>
                <w:sz w:val="24"/>
                <w:szCs w:val="24"/>
                <w:highlight w:val="none"/>
                <w:lang w:val="en-US" w:eastAsia="zh-CN" w:bidi="ar-SA"/>
              </w:rPr>
              <w:t>。</w:t>
            </w:r>
          </w:p>
          <w:p w14:paraId="391DEE17">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5.2环境保护档案管理</w:t>
            </w:r>
          </w:p>
          <w:p w14:paraId="1ACD859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为确实做好本项目环境管理工作，建设单位设置</w:t>
            </w:r>
            <w:r>
              <w:rPr>
                <w:rFonts w:hint="eastAsia" w:ascii="Times New Roman" w:hAnsi="Times New Roman" w:eastAsia="宋体" w:cs="Times New Roman"/>
                <w:bCs/>
                <w:color w:val="auto"/>
                <w:kern w:val="2"/>
                <w:sz w:val="24"/>
                <w:szCs w:val="24"/>
                <w:highlight w:val="none"/>
                <w:lang w:val="en-US" w:eastAsia="zh-CN" w:bidi="ar-SA"/>
              </w:rPr>
              <w:t>兼职</w:t>
            </w:r>
            <w:r>
              <w:rPr>
                <w:rFonts w:hint="default" w:ascii="Times New Roman" w:hAnsi="Times New Roman" w:eastAsia="宋体" w:cs="Times New Roman"/>
                <w:bCs/>
                <w:color w:val="auto"/>
                <w:kern w:val="2"/>
                <w:sz w:val="24"/>
                <w:szCs w:val="24"/>
                <w:highlight w:val="none"/>
                <w:lang w:val="en-US" w:eastAsia="zh-CN" w:bidi="ar-SA"/>
              </w:rPr>
              <w:t>环境管理人员。该环境管理人员主要职责为：</w:t>
            </w:r>
          </w:p>
          <w:p w14:paraId="4554DBC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（1）贯彻执行国家和地方颁布的环境保护法规、政策和环境保护标准，协助领导确定</w:t>
            </w:r>
            <w:r>
              <w:rPr>
                <w:rFonts w:hint="eastAsia" w:ascii="Times New Roman" w:hAnsi="Times New Roman" w:eastAsia="宋体" w:cs="Times New Roman"/>
                <w:bCs/>
                <w:color w:val="auto"/>
                <w:kern w:val="2"/>
                <w:sz w:val="24"/>
                <w:szCs w:val="24"/>
                <w:highlight w:val="none"/>
                <w:lang w:val="en-US" w:eastAsia="zh-CN" w:bidi="ar-SA"/>
              </w:rPr>
              <w:t>站内</w:t>
            </w:r>
            <w:r>
              <w:rPr>
                <w:rFonts w:hint="default" w:ascii="Times New Roman" w:hAnsi="Times New Roman" w:eastAsia="宋体" w:cs="Times New Roman"/>
                <w:bCs/>
                <w:color w:val="auto"/>
                <w:kern w:val="2"/>
                <w:sz w:val="24"/>
                <w:szCs w:val="24"/>
                <w:highlight w:val="none"/>
                <w:lang w:val="en-US" w:eastAsia="zh-CN" w:bidi="ar-SA"/>
              </w:rPr>
              <w:t>环境保护方针、目标。</w:t>
            </w:r>
          </w:p>
          <w:p w14:paraId="7047801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（2）制订环境保护管理规章、制度和实施办法，并监督检查执行情况；组织制订</w:t>
            </w:r>
            <w:r>
              <w:rPr>
                <w:rFonts w:hint="eastAsia" w:ascii="Times New Roman" w:hAnsi="Times New Roman" w:eastAsia="宋体" w:cs="Times New Roman"/>
                <w:bCs/>
                <w:color w:val="auto"/>
                <w:kern w:val="2"/>
                <w:sz w:val="24"/>
                <w:szCs w:val="24"/>
                <w:highlight w:val="none"/>
                <w:lang w:val="en-US" w:eastAsia="zh-CN" w:bidi="ar-SA"/>
              </w:rPr>
              <w:t>站</w:t>
            </w:r>
            <w:r>
              <w:rPr>
                <w:rFonts w:hint="default" w:ascii="Times New Roman" w:hAnsi="Times New Roman" w:eastAsia="宋体" w:cs="Times New Roman"/>
                <w:bCs/>
                <w:color w:val="auto"/>
                <w:kern w:val="2"/>
                <w:sz w:val="24"/>
                <w:szCs w:val="24"/>
                <w:highlight w:val="none"/>
                <w:lang w:val="en-US" w:eastAsia="zh-CN" w:bidi="ar-SA"/>
              </w:rPr>
              <w:t>内环境保护规划。</w:t>
            </w:r>
          </w:p>
          <w:p w14:paraId="3FB2118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（3）掌握“三废”排放状况，建立污染物排污档案和台账，按规定向地方环保部门汇报排污情况。</w:t>
            </w:r>
          </w:p>
          <w:p w14:paraId="0E0DE9E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（4）监督检查环境保护设施的运行情况，并建立运行档案。</w:t>
            </w:r>
          </w:p>
          <w:p w14:paraId="682C321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（5）检查监督</w:t>
            </w:r>
            <w:r>
              <w:rPr>
                <w:rFonts w:hint="eastAsia" w:ascii="Times New Roman" w:hAnsi="Times New Roman" w:eastAsia="宋体" w:cs="Times New Roman"/>
                <w:bCs/>
                <w:color w:val="auto"/>
                <w:kern w:val="2"/>
                <w:sz w:val="24"/>
                <w:szCs w:val="24"/>
                <w:highlight w:val="none"/>
                <w:lang w:val="en-US" w:eastAsia="zh-CN" w:bidi="ar-SA"/>
              </w:rPr>
              <w:t>站</w:t>
            </w:r>
            <w:r>
              <w:rPr>
                <w:rFonts w:hint="default" w:ascii="Times New Roman" w:hAnsi="Times New Roman" w:eastAsia="宋体" w:cs="Times New Roman"/>
                <w:bCs/>
                <w:color w:val="auto"/>
                <w:kern w:val="2"/>
                <w:sz w:val="24"/>
                <w:szCs w:val="24"/>
                <w:highlight w:val="none"/>
                <w:lang w:val="en-US" w:eastAsia="zh-CN" w:bidi="ar-SA"/>
              </w:rPr>
              <w:t>内各项环保设备的运行、维修和管理情况。</w:t>
            </w:r>
          </w:p>
          <w:p w14:paraId="375999C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（6）组织开展有关环境保护的宣传教育、培训工作。</w:t>
            </w:r>
          </w:p>
          <w:p w14:paraId="20208DCC">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5.3环保设施运行及维修情况</w:t>
            </w:r>
          </w:p>
          <w:p w14:paraId="4803DF1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建设单位</w:t>
            </w:r>
            <w:r>
              <w:rPr>
                <w:rFonts w:hint="default" w:ascii="Times New Roman" w:hAnsi="Times New Roman" w:eastAsia="宋体" w:cs="Times New Roman"/>
                <w:bCs/>
                <w:color w:val="auto"/>
                <w:kern w:val="2"/>
                <w:sz w:val="24"/>
                <w:szCs w:val="24"/>
                <w:highlight w:val="none"/>
                <w:lang w:val="en-US" w:eastAsia="zh-CN" w:bidi="ar-SA"/>
              </w:rPr>
              <w:t>环保设施由环保专职人员操作维护，目前均运行正常。环保</w:t>
            </w:r>
            <w:r>
              <w:rPr>
                <w:rFonts w:hint="eastAsia" w:ascii="Times New Roman" w:hAnsi="Times New Roman" w:eastAsia="宋体" w:cs="Times New Roman"/>
                <w:bCs/>
                <w:color w:val="auto"/>
                <w:kern w:val="2"/>
                <w:sz w:val="24"/>
                <w:szCs w:val="24"/>
                <w:highlight w:val="none"/>
                <w:lang w:val="en-US" w:eastAsia="zh-CN" w:bidi="ar-SA"/>
              </w:rPr>
              <w:t>兼职</w:t>
            </w:r>
            <w:r>
              <w:rPr>
                <w:rFonts w:hint="default" w:ascii="Times New Roman" w:hAnsi="Times New Roman" w:eastAsia="宋体" w:cs="Times New Roman"/>
                <w:bCs/>
                <w:color w:val="auto"/>
                <w:kern w:val="2"/>
                <w:sz w:val="24"/>
                <w:szCs w:val="24"/>
                <w:highlight w:val="none"/>
                <w:lang w:val="en-US" w:eastAsia="zh-CN" w:bidi="ar-SA"/>
              </w:rPr>
              <w:t>人员对环保设施进行日常监测，发现运行状态异常，将及时维修。</w:t>
            </w:r>
          </w:p>
          <w:p w14:paraId="2C608A44">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5.4消防器材</w:t>
            </w:r>
          </w:p>
          <w:p w14:paraId="6A18D47F">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jc w:val="center"/>
              <w:textAlignment w:val="auto"/>
              <w:rPr>
                <w:rFonts w:hint="default" w:eastAsia="宋体"/>
                <w:sz w:val="24"/>
                <w:szCs w:val="24"/>
                <w:highlight w:val="none"/>
                <w:lang w:val="en-US" w:eastAsia="zh-CN"/>
              </w:rPr>
            </w:pPr>
            <w:r>
              <w:rPr>
                <w:rFonts w:hint="eastAsia" w:eastAsia="黑体"/>
                <w:sz w:val="21"/>
                <w:szCs w:val="21"/>
                <w:highlight w:val="none"/>
              </w:rPr>
              <w:t>表</w:t>
            </w:r>
            <w:r>
              <w:rPr>
                <w:rFonts w:hint="eastAsia" w:eastAsia="黑体"/>
                <w:sz w:val="21"/>
                <w:szCs w:val="21"/>
                <w:highlight w:val="none"/>
                <w:lang w:val="en-US" w:eastAsia="zh-CN"/>
              </w:rPr>
              <w:t>2-5消防器材</w:t>
            </w:r>
            <w:r>
              <w:rPr>
                <w:rFonts w:hint="eastAsia" w:ascii="黑体" w:hAnsi="黑体" w:eastAsia="黑体" w:cs="黑体"/>
                <w:sz w:val="21"/>
                <w:szCs w:val="21"/>
                <w:highlight w:val="none"/>
              </w:rPr>
              <w:t>一览表</w:t>
            </w:r>
          </w:p>
          <w:tbl>
            <w:tblPr>
              <w:tblStyle w:val="25"/>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3823"/>
              <w:gridCol w:w="3477"/>
            </w:tblGrid>
            <w:tr w14:paraId="15F39B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6" w:type="dxa"/>
                </w:tcPr>
                <w:p w14:paraId="3AA45DC8">
                  <w:pPr>
                    <w:pStyle w:val="30"/>
                    <w:jc w:val="center"/>
                    <w:rPr>
                      <w:rFonts w:hint="default" w:eastAsia="宋体"/>
                      <w:sz w:val="21"/>
                      <w:highlight w:val="none"/>
                      <w:lang w:val="en-US" w:eastAsia="zh-CN"/>
                    </w:rPr>
                  </w:pPr>
                  <w:r>
                    <w:rPr>
                      <w:rFonts w:hint="eastAsia" w:eastAsia="宋体"/>
                      <w:sz w:val="21"/>
                      <w:highlight w:val="none"/>
                      <w:lang w:val="en-US" w:eastAsia="zh-CN"/>
                    </w:rPr>
                    <w:t>序号</w:t>
                  </w:r>
                </w:p>
              </w:tc>
              <w:tc>
                <w:tcPr>
                  <w:tcW w:w="3823" w:type="dxa"/>
                </w:tcPr>
                <w:p w14:paraId="3CC44B96">
                  <w:pPr>
                    <w:pStyle w:val="30"/>
                    <w:jc w:val="center"/>
                    <w:rPr>
                      <w:rFonts w:hint="default" w:eastAsia="宋体"/>
                      <w:sz w:val="21"/>
                      <w:highlight w:val="none"/>
                      <w:lang w:val="en-US" w:eastAsia="zh-CN"/>
                    </w:rPr>
                  </w:pPr>
                  <w:r>
                    <w:rPr>
                      <w:rFonts w:hint="eastAsia" w:eastAsia="宋体"/>
                      <w:sz w:val="21"/>
                      <w:highlight w:val="none"/>
                      <w:lang w:val="en-US" w:eastAsia="zh-CN"/>
                    </w:rPr>
                    <w:t>器材名称</w:t>
                  </w:r>
                </w:p>
              </w:tc>
              <w:tc>
                <w:tcPr>
                  <w:tcW w:w="3477" w:type="dxa"/>
                </w:tcPr>
                <w:p w14:paraId="158AF8BF">
                  <w:pPr>
                    <w:pStyle w:val="30"/>
                    <w:jc w:val="center"/>
                    <w:rPr>
                      <w:rFonts w:hint="default" w:eastAsia="宋体"/>
                      <w:sz w:val="21"/>
                      <w:highlight w:val="none"/>
                      <w:lang w:val="en-US" w:eastAsia="zh-CN"/>
                    </w:rPr>
                  </w:pPr>
                  <w:r>
                    <w:rPr>
                      <w:rFonts w:hint="eastAsia" w:eastAsia="宋体"/>
                      <w:sz w:val="21"/>
                      <w:highlight w:val="none"/>
                      <w:lang w:val="en-US" w:eastAsia="zh-CN"/>
                    </w:rPr>
                    <w:t>数量（具）</w:t>
                  </w:r>
                </w:p>
              </w:tc>
            </w:tr>
            <w:tr w14:paraId="3D0629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6" w:type="dxa"/>
                  <w:vAlign w:val="center"/>
                </w:tcPr>
                <w:p w14:paraId="322AED3C">
                  <w:pPr>
                    <w:pStyle w:val="30"/>
                    <w:jc w:val="center"/>
                    <w:rPr>
                      <w:rFonts w:hint="default" w:eastAsia="宋体"/>
                      <w:sz w:val="21"/>
                      <w:highlight w:val="none"/>
                      <w:lang w:val="en-US" w:eastAsia="zh-CN"/>
                    </w:rPr>
                  </w:pPr>
                  <w:r>
                    <w:rPr>
                      <w:rFonts w:hint="eastAsia" w:eastAsia="宋体"/>
                      <w:sz w:val="21"/>
                      <w:highlight w:val="none"/>
                      <w:lang w:val="en-US" w:eastAsia="zh-CN"/>
                    </w:rPr>
                    <w:t>1</w:t>
                  </w:r>
                </w:p>
              </w:tc>
              <w:tc>
                <w:tcPr>
                  <w:tcW w:w="3823" w:type="dxa"/>
                  <w:vAlign w:val="center"/>
                </w:tcPr>
                <w:p w14:paraId="0F90DEE1">
                  <w:pPr>
                    <w:pStyle w:val="30"/>
                    <w:jc w:val="center"/>
                    <w:rPr>
                      <w:rFonts w:hint="default" w:eastAsia="宋体"/>
                      <w:sz w:val="21"/>
                      <w:highlight w:val="none"/>
                      <w:lang w:val="en-US" w:eastAsia="zh-CN"/>
                    </w:rPr>
                  </w:pPr>
                  <w:r>
                    <w:rPr>
                      <w:rFonts w:hint="eastAsia" w:eastAsia="宋体"/>
                      <w:sz w:val="21"/>
                      <w:highlight w:val="none"/>
                      <w:lang w:val="en-US" w:eastAsia="zh-CN"/>
                    </w:rPr>
                    <w:t>推车式干粉灭火器</w:t>
                  </w:r>
                </w:p>
              </w:tc>
              <w:tc>
                <w:tcPr>
                  <w:tcW w:w="3477" w:type="dxa"/>
                  <w:vAlign w:val="center"/>
                </w:tcPr>
                <w:p w14:paraId="5C2FEE13">
                  <w:pPr>
                    <w:pStyle w:val="30"/>
                    <w:jc w:val="center"/>
                    <w:rPr>
                      <w:rFonts w:hint="default" w:eastAsia="宋体"/>
                      <w:sz w:val="21"/>
                      <w:highlight w:val="none"/>
                      <w:lang w:val="en-US" w:eastAsia="zh-CN"/>
                    </w:rPr>
                  </w:pPr>
                  <w:r>
                    <w:rPr>
                      <w:rFonts w:hint="eastAsia" w:eastAsia="宋体"/>
                      <w:sz w:val="21"/>
                      <w:highlight w:val="none"/>
                      <w:lang w:val="en-US" w:eastAsia="zh-CN"/>
                    </w:rPr>
                    <w:t>20</w:t>
                  </w:r>
                </w:p>
              </w:tc>
            </w:tr>
            <w:tr w14:paraId="227DE3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6" w:type="dxa"/>
                  <w:vAlign w:val="center"/>
                </w:tcPr>
                <w:p w14:paraId="24034323">
                  <w:pPr>
                    <w:pStyle w:val="30"/>
                    <w:jc w:val="center"/>
                    <w:rPr>
                      <w:rFonts w:hint="default" w:eastAsia="宋体"/>
                      <w:sz w:val="21"/>
                      <w:highlight w:val="none"/>
                      <w:lang w:val="en-US" w:eastAsia="zh-CN"/>
                    </w:rPr>
                  </w:pPr>
                  <w:r>
                    <w:rPr>
                      <w:rFonts w:hint="eastAsia" w:eastAsia="宋体"/>
                      <w:sz w:val="21"/>
                      <w:highlight w:val="none"/>
                      <w:lang w:val="en-US" w:eastAsia="zh-CN"/>
                    </w:rPr>
                    <w:t>2</w:t>
                  </w:r>
                </w:p>
              </w:tc>
              <w:tc>
                <w:tcPr>
                  <w:tcW w:w="3823" w:type="dxa"/>
                  <w:vAlign w:val="center"/>
                </w:tcPr>
                <w:p w14:paraId="7851DAA1">
                  <w:pPr>
                    <w:pStyle w:val="30"/>
                    <w:jc w:val="center"/>
                    <w:rPr>
                      <w:rFonts w:hint="default" w:eastAsia="宋体"/>
                      <w:sz w:val="21"/>
                      <w:highlight w:val="none"/>
                      <w:lang w:val="en-US" w:eastAsia="zh-CN"/>
                    </w:rPr>
                  </w:pPr>
                  <w:r>
                    <w:rPr>
                      <w:rFonts w:hint="eastAsia" w:eastAsia="宋体"/>
                      <w:sz w:val="21"/>
                      <w:highlight w:val="none"/>
                      <w:lang w:val="en-US" w:eastAsia="zh-CN"/>
                    </w:rPr>
                    <w:t>手提式干粉灭火器</w:t>
                  </w:r>
                </w:p>
              </w:tc>
              <w:tc>
                <w:tcPr>
                  <w:tcW w:w="3477" w:type="dxa"/>
                  <w:vAlign w:val="center"/>
                </w:tcPr>
                <w:p w14:paraId="555EDBE1">
                  <w:pPr>
                    <w:pStyle w:val="30"/>
                    <w:jc w:val="center"/>
                    <w:rPr>
                      <w:rFonts w:hint="default" w:eastAsia="宋体"/>
                      <w:sz w:val="21"/>
                      <w:highlight w:val="none"/>
                      <w:lang w:val="en-US" w:eastAsia="zh-CN"/>
                    </w:rPr>
                  </w:pPr>
                  <w:r>
                    <w:rPr>
                      <w:rFonts w:hint="eastAsia" w:eastAsia="宋体"/>
                      <w:sz w:val="21"/>
                      <w:highlight w:val="none"/>
                      <w:lang w:val="en-US" w:eastAsia="zh-CN"/>
                    </w:rPr>
                    <w:t>30</w:t>
                  </w:r>
                </w:p>
              </w:tc>
            </w:tr>
          </w:tbl>
          <w:p w14:paraId="7ECB872F">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left="0" w:leftChars="0" w:firstLine="0" w:firstLineChars="0"/>
              <w:textAlignment w:val="auto"/>
              <w:rPr>
                <w:rFonts w:hint="default" w:eastAsia="宋体"/>
                <w:sz w:val="24"/>
                <w:szCs w:val="24"/>
                <w:highlight w:val="none"/>
                <w:lang w:val="en-US" w:eastAsia="zh-CN"/>
              </w:rPr>
            </w:pPr>
            <w:r>
              <w:rPr>
                <w:rFonts w:hint="default" w:eastAsia="宋体"/>
                <w:sz w:val="24"/>
                <w:szCs w:val="24"/>
                <w:highlight w:val="none"/>
                <w:lang w:val="en-US" w:eastAsia="zh-CN"/>
              </w:rPr>
              <w:drawing>
                <wp:inline distT="0" distB="0" distL="114300" distR="114300">
                  <wp:extent cx="5267325" cy="4072255"/>
                  <wp:effectExtent l="0" t="0" r="9525" b="4445"/>
                  <wp:docPr id="3" name="图片 3" descr="173450435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734504350274"/>
                          <pic:cNvPicPr>
                            <a:picLocks noChangeAspect="1"/>
                          </pic:cNvPicPr>
                        </pic:nvPicPr>
                        <pic:blipFill>
                          <a:blip r:embed="rId19"/>
                          <a:stretch>
                            <a:fillRect/>
                          </a:stretch>
                        </pic:blipFill>
                        <pic:spPr>
                          <a:xfrm>
                            <a:off x="0" y="0"/>
                            <a:ext cx="5267325" cy="4072255"/>
                          </a:xfrm>
                          <a:prstGeom prst="rect">
                            <a:avLst/>
                          </a:prstGeom>
                        </pic:spPr>
                      </pic:pic>
                    </a:graphicData>
                  </a:graphic>
                </wp:inline>
              </w:drawing>
            </w:r>
          </w:p>
          <w:p w14:paraId="74106531">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jc w:val="center"/>
              <w:textAlignment w:val="auto"/>
              <w:rPr>
                <w:rFonts w:hint="eastAsia"/>
                <w:b/>
                <w:bCs/>
                <w:sz w:val="21"/>
                <w:szCs w:val="21"/>
                <w:highlight w:val="none"/>
                <w:lang w:val="en-US" w:eastAsia="zh-CN"/>
              </w:rPr>
            </w:pPr>
            <w:r>
              <w:rPr>
                <w:rFonts w:hint="eastAsia"/>
                <w:b/>
                <w:bCs/>
                <w:sz w:val="21"/>
                <w:szCs w:val="21"/>
                <w:highlight w:val="none"/>
                <w:lang w:val="en-US" w:eastAsia="zh-CN"/>
              </w:rPr>
              <w:drawing>
                <wp:inline distT="0" distB="0" distL="114300" distR="114300">
                  <wp:extent cx="3185795" cy="3867785"/>
                  <wp:effectExtent l="0" t="0" r="14605" b="18415"/>
                  <wp:docPr id="4" name="图片 4" descr="173450437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734504370504"/>
                          <pic:cNvPicPr>
                            <a:picLocks noChangeAspect="1"/>
                          </pic:cNvPicPr>
                        </pic:nvPicPr>
                        <pic:blipFill>
                          <a:blip r:embed="rId20"/>
                          <a:stretch>
                            <a:fillRect/>
                          </a:stretch>
                        </pic:blipFill>
                        <pic:spPr>
                          <a:xfrm>
                            <a:off x="0" y="0"/>
                            <a:ext cx="3185795" cy="3867785"/>
                          </a:xfrm>
                          <a:prstGeom prst="rect">
                            <a:avLst/>
                          </a:prstGeom>
                        </pic:spPr>
                      </pic:pic>
                    </a:graphicData>
                  </a:graphic>
                </wp:inline>
              </w:drawing>
            </w:r>
          </w:p>
          <w:p w14:paraId="01858BC8">
            <w:pPr>
              <w:pStyle w:val="13"/>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360" w:lineRule="auto"/>
              <w:ind w:left="0" w:leftChars="0" w:firstLine="0" w:firstLineChars="0"/>
              <w:jc w:val="center"/>
              <w:textAlignment w:val="auto"/>
              <w:rPr>
                <w:rFonts w:hint="default" w:eastAsia="宋体"/>
                <w:sz w:val="24"/>
                <w:szCs w:val="24"/>
                <w:highlight w:val="yellow"/>
                <w:lang w:val="en-US" w:eastAsia="zh-CN"/>
              </w:rPr>
            </w:pPr>
            <w:r>
              <w:rPr>
                <w:rFonts w:hint="eastAsia"/>
                <w:b/>
                <w:bCs/>
                <w:sz w:val="21"/>
                <w:szCs w:val="21"/>
                <w:highlight w:val="none"/>
                <w:lang w:val="en-US" w:eastAsia="zh-CN"/>
              </w:rPr>
              <w:t>灭火器</w:t>
            </w:r>
          </w:p>
        </w:tc>
      </w:tr>
    </w:tbl>
    <w:p w14:paraId="00FCDEA9">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b/>
          <w:bCs/>
          <w:color w:val="auto"/>
          <w:sz w:val="28"/>
          <w:highlight w:val="yellow"/>
          <w:vertAlign w:val="baseline"/>
          <w:lang w:val="en-US" w:eastAsia="zh-CN"/>
        </w:rPr>
      </w:pPr>
      <w:r>
        <w:rPr>
          <w:rFonts w:hint="eastAsia" w:ascii="Times New Roman" w:hAnsi="Times New Roman"/>
          <w:b/>
          <w:bCs/>
          <w:color w:val="auto"/>
          <w:sz w:val="28"/>
          <w:highlight w:val="yellow"/>
          <w:vertAlign w:val="baseline"/>
          <w:lang w:val="en-US" w:eastAsia="zh-CN"/>
        </w:rPr>
        <w:br w:type="page"/>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01EC6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23" w:hRule="atLeast"/>
        </w:trPr>
        <w:tc>
          <w:tcPr>
            <w:tcW w:w="8522" w:type="dxa"/>
          </w:tcPr>
          <w:p w14:paraId="5EBBF77F">
            <w:pPr>
              <w:keepNext w:val="0"/>
              <w:keepLines w:val="0"/>
              <w:pageBreakBefore w:val="0"/>
              <w:widowControl w:val="0"/>
              <w:kinsoku/>
              <w:wordWrap w:val="0"/>
              <w:overflowPunct/>
              <w:topLinePunct w:val="0"/>
              <w:autoSpaceDE/>
              <w:autoSpaceDN/>
              <w:bidi w:val="0"/>
              <w:adjustRightInd/>
              <w:snapToGrid/>
              <w:spacing w:line="360" w:lineRule="auto"/>
              <w:ind w:firstLine="0" w:firstLineChars="0"/>
              <w:textAlignment w:val="auto"/>
              <w:rPr>
                <w:rFonts w:hint="eastAsia" w:ascii="Times New Roman" w:hAnsi="Times New Roman" w:cs="Times New Roman"/>
                <w:sz w:val="24"/>
                <w:highlight w:val="none"/>
              </w:rPr>
            </w:pPr>
            <w:r>
              <w:rPr>
                <w:rFonts w:hint="eastAsia" w:ascii="Times New Roman" w:hAnsi="Times New Roman" w:cs="Times New Roman"/>
                <w:sz w:val="24"/>
                <w:highlight w:val="none"/>
              </w:rPr>
              <w:t>原辅材料消耗及水平衡：</w:t>
            </w:r>
          </w:p>
          <w:p w14:paraId="524AAAEA">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b/>
                <w:bCs w:val="0"/>
                <w:color w:val="auto"/>
                <w:sz w:val="28"/>
                <w:szCs w:val="28"/>
                <w:highlight w:val="none"/>
                <w:vertAlign w:val="baseline"/>
                <w:lang w:val="en-US" w:eastAsia="zh-CN"/>
              </w:rPr>
            </w:pPr>
            <w:r>
              <w:rPr>
                <w:rFonts w:hint="eastAsia" w:ascii="Times New Roman" w:hAnsi="Times New Roman"/>
                <w:b/>
                <w:bCs w:val="0"/>
                <w:color w:val="auto"/>
                <w:sz w:val="28"/>
                <w:szCs w:val="28"/>
                <w:highlight w:val="none"/>
                <w:vertAlign w:val="baseline"/>
                <w:lang w:val="en-US" w:eastAsia="zh-CN"/>
              </w:rPr>
              <w:t>1主要原辅材料及能源消耗</w:t>
            </w:r>
          </w:p>
          <w:p w14:paraId="4D2647EC">
            <w:pPr>
              <w:pStyle w:val="6"/>
              <w:keepNext w:val="0"/>
              <w:keepLines w:val="0"/>
              <w:pageBreakBefore w:val="0"/>
              <w:widowControl w:val="0"/>
              <w:kinsoku/>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b/>
                <w:bCs w:val="0"/>
                <w:sz w:val="24"/>
                <w:highlight w:val="none"/>
                <w:lang w:val="en-US" w:eastAsia="zh-CN"/>
              </w:rPr>
            </w:pPr>
            <w:r>
              <w:rPr>
                <w:rFonts w:hint="eastAsia" w:ascii="Times New Roman" w:hAnsi="Times New Roman" w:cs="Times New Roman"/>
                <w:b/>
                <w:bCs w:val="0"/>
                <w:sz w:val="24"/>
                <w:highlight w:val="none"/>
                <w:lang w:val="en-US" w:eastAsia="zh-CN"/>
              </w:rPr>
              <w:t>1.1主要产品及产能</w:t>
            </w:r>
          </w:p>
          <w:p w14:paraId="4811AD3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b/>
                <w:bCs/>
                <w:color w:val="auto"/>
                <w:sz w:val="28"/>
                <w:highlight w:val="none"/>
                <w:vertAlign w:val="baseline"/>
                <w:lang w:val="en-US" w:eastAsia="zh-CN"/>
              </w:rPr>
            </w:pPr>
            <w:r>
              <w:rPr>
                <w:rFonts w:hint="eastAsia"/>
                <w:sz w:val="24"/>
                <w:szCs w:val="24"/>
                <w:highlight w:val="none"/>
                <w:lang w:val="en-US" w:eastAsia="zh-CN"/>
              </w:rPr>
              <w:t>本项目产品及产能详见下表。</w:t>
            </w:r>
          </w:p>
          <w:p w14:paraId="5930B214">
            <w:pPr>
              <w:pStyle w:val="6"/>
              <w:spacing w:line="240" w:lineRule="auto"/>
              <w:ind w:left="0" w:leftChars="0" w:firstLine="0" w:firstLineChars="0"/>
              <w:jc w:val="center"/>
              <w:rPr>
                <w:rFonts w:hint="eastAsia" w:ascii="黑体" w:hAnsi="黑体" w:eastAsia="黑体" w:cs="黑体"/>
                <w:b w:val="0"/>
                <w:bCs/>
                <w:color w:val="auto"/>
                <w:kern w:val="2"/>
                <w:sz w:val="21"/>
                <w:szCs w:val="24"/>
                <w:highlight w:val="none"/>
                <w:lang w:val="en-US" w:eastAsia="zh-CN" w:bidi="ar-SA"/>
              </w:rPr>
            </w:pPr>
            <w:r>
              <w:rPr>
                <w:rFonts w:hint="eastAsia" w:ascii="黑体" w:hAnsi="黑体" w:eastAsia="黑体" w:cs="黑体"/>
                <w:b w:val="0"/>
                <w:bCs/>
                <w:color w:val="auto"/>
                <w:kern w:val="2"/>
                <w:sz w:val="21"/>
                <w:szCs w:val="24"/>
                <w:highlight w:val="none"/>
                <w:lang w:val="en-US" w:eastAsia="zh-CN" w:bidi="ar-SA"/>
              </w:rPr>
              <w:t>表2-5产品方案一览表</w:t>
            </w:r>
          </w:p>
          <w:tbl>
            <w:tblPr>
              <w:tblStyle w:val="24"/>
              <w:tblW w:w="815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7"/>
              <w:gridCol w:w="2179"/>
              <w:gridCol w:w="846"/>
              <w:gridCol w:w="2145"/>
              <w:gridCol w:w="2294"/>
            </w:tblGrid>
            <w:tr w14:paraId="1BF135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687" w:type="dxa"/>
                  <w:tcBorders>
                    <w:tl2br w:val="nil"/>
                    <w:tr2bl w:val="nil"/>
                  </w:tcBorders>
                  <w:noWrap w:val="0"/>
                  <w:vAlign w:val="center"/>
                </w:tcPr>
                <w:p w14:paraId="71CFE4E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2179" w:type="dxa"/>
                  <w:tcBorders>
                    <w:tl2br w:val="nil"/>
                    <w:tr2bl w:val="nil"/>
                  </w:tcBorders>
                  <w:noWrap w:val="0"/>
                  <w:vAlign w:val="center"/>
                </w:tcPr>
                <w:p w14:paraId="5A1B710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产品名称</w:t>
                  </w:r>
                </w:p>
              </w:tc>
              <w:tc>
                <w:tcPr>
                  <w:tcW w:w="846" w:type="dxa"/>
                  <w:tcBorders>
                    <w:tl2br w:val="nil"/>
                    <w:tr2bl w:val="nil"/>
                  </w:tcBorders>
                  <w:noWrap w:val="0"/>
                  <w:vAlign w:val="center"/>
                </w:tcPr>
                <w:p w14:paraId="5990631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产量</w:t>
                  </w:r>
                </w:p>
              </w:tc>
              <w:tc>
                <w:tcPr>
                  <w:tcW w:w="2145" w:type="dxa"/>
                  <w:tcBorders>
                    <w:tl2br w:val="nil"/>
                    <w:tr2bl w:val="nil"/>
                  </w:tcBorders>
                  <w:noWrap w:val="0"/>
                  <w:vAlign w:val="center"/>
                </w:tcPr>
                <w:p w14:paraId="2F5C1A7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规格</w:t>
                  </w:r>
                </w:p>
              </w:tc>
              <w:tc>
                <w:tcPr>
                  <w:tcW w:w="2294" w:type="dxa"/>
                  <w:tcBorders>
                    <w:tl2br w:val="nil"/>
                    <w:tr2bl w:val="nil"/>
                  </w:tcBorders>
                  <w:noWrap w:val="0"/>
                  <w:vAlign w:val="center"/>
                </w:tcPr>
                <w:p w14:paraId="4BFB904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备注</w:t>
                  </w:r>
                </w:p>
              </w:tc>
            </w:tr>
            <w:tr w14:paraId="33EFC6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687" w:type="dxa"/>
                  <w:tcBorders>
                    <w:tl2br w:val="nil"/>
                    <w:tr2bl w:val="nil"/>
                  </w:tcBorders>
                  <w:noWrap w:val="0"/>
                  <w:vAlign w:val="center"/>
                </w:tcPr>
                <w:p w14:paraId="51BB49D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179" w:type="dxa"/>
                  <w:tcBorders>
                    <w:tl2br w:val="nil"/>
                    <w:tr2bl w:val="nil"/>
                  </w:tcBorders>
                  <w:noWrap w:val="0"/>
                  <w:vAlign w:val="center"/>
                </w:tcPr>
                <w:p w14:paraId="5393A9E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eastAsia="zh-CN"/>
                    </w:rPr>
                    <w:t>木制</w:t>
                  </w:r>
                  <w:r>
                    <w:rPr>
                      <w:rFonts w:hint="default" w:ascii="Times New Roman" w:hAnsi="Times New Roman" w:eastAsia="宋体" w:cs="Times New Roman"/>
                      <w:color w:val="auto"/>
                      <w:sz w:val="21"/>
                      <w:szCs w:val="21"/>
                      <w:highlight w:val="none"/>
                    </w:rPr>
                    <w:t>包装箱</w:t>
                  </w:r>
                </w:p>
              </w:tc>
              <w:tc>
                <w:tcPr>
                  <w:tcW w:w="846" w:type="dxa"/>
                  <w:tcBorders>
                    <w:tl2br w:val="nil"/>
                    <w:tr2bl w:val="nil"/>
                  </w:tcBorders>
                  <w:noWrap w:val="0"/>
                  <w:vAlign w:val="center"/>
                </w:tcPr>
                <w:p w14:paraId="7DF2EF2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500m</w:t>
                  </w:r>
                  <w:r>
                    <w:rPr>
                      <w:rFonts w:hint="default" w:ascii="Times New Roman" w:hAnsi="Times New Roman" w:cs="Times New Roman"/>
                      <w:color w:val="auto"/>
                      <w:sz w:val="21"/>
                      <w:szCs w:val="21"/>
                      <w:highlight w:val="none"/>
                      <w:vertAlign w:val="superscript"/>
                      <w:lang w:val="en-US" w:eastAsia="zh-CN"/>
                    </w:rPr>
                    <w:t>3</w:t>
                  </w:r>
                </w:p>
              </w:tc>
              <w:tc>
                <w:tcPr>
                  <w:tcW w:w="2145" w:type="dxa"/>
                  <w:tcBorders>
                    <w:tl2br w:val="nil"/>
                    <w:tr2bl w:val="nil"/>
                  </w:tcBorders>
                  <w:noWrap w:val="0"/>
                  <w:vAlign w:val="center"/>
                </w:tcPr>
                <w:p w14:paraId="5465D99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1m×1m</w:t>
                  </w:r>
                </w:p>
              </w:tc>
              <w:tc>
                <w:tcPr>
                  <w:tcW w:w="2294" w:type="dxa"/>
                  <w:vMerge w:val="restart"/>
                  <w:tcBorders>
                    <w:tl2br w:val="nil"/>
                    <w:tr2bl w:val="nil"/>
                  </w:tcBorders>
                  <w:noWrap w:val="0"/>
                  <w:vAlign w:val="center"/>
                </w:tcPr>
                <w:p w14:paraId="36981A2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本项目木制品加工仅为钉枪固定工序。</w:t>
                  </w:r>
                </w:p>
              </w:tc>
            </w:tr>
            <w:tr w14:paraId="13C091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687" w:type="dxa"/>
                  <w:tcBorders>
                    <w:tl2br w:val="nil"/>
                    <w:tr2bl w:val="nil"/>
                  </w:tcBorders>
                  <w:noWrap w:val="0"/>
                  <w:vAlign w:val="center"/>
                </w:tcPr>
                <w:p w14:paraId="3704C18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179" w:type="dxa"/>
                  <w:tcBorders>
                    <w:tl2br w:val="nil"/>
                    <w:tr2bl w:val="nil"/>
                  </w:tcBorders>
                  <w:noWrap w:val="0"/>
                  <w:vAlign w:val="center"/>
                </w:tcPr>
                <w:p w14:paraId="65D8A0C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eastAsia="zh-CN"/>
                    </w:rPr>
                    <w:t>木制</w:t>
                  </w:r>
                  <w:r>
                    <w:rPr>
                      <w:rFonts w:hint="default" w:ascii="Times New Roman" w:hAnsi="Times New Roman" w:eastAsia="宋体" w:cs="Times New Roman"/>
                      <w:color w:val="auto"/>
                      <w:sz w:val="21"/>
                      <w:szCs w:val="21"/>
                      <w:highlight w:val="none"/>
                    </w:rPr>
                    <w:t>托盘</w:t>
                  </w:r>
                </w:p>
              </w:tc>
              <w:tc>
                <w:tcPr>
                  <w:tcW w:w="846" w:type="dxa"/>
                  <w:tcBorders>
                    <w:tl2br w:val="nil"/>
                    <w:tr2bl w:val="nil"/>
                  </w:tcBorders>
                  <w:noWrap w:val="0"/>
                  <w:vAlign w:val="center"/>
                </w:tcPr>
                <w:p w14:paraId="18895B1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500m</w:t>
                  </w:r>
                  <w:r>
                    <w:rPr>
                      <w:rFonts w:hint="default" w:ascii="Times New Roman" w:hAnsi="Times New Roman" w:cs="Times New Roman"/>
                      <w:color w:val="auto"/>
                      <w:sz w:val="21"/>
                      <w:szCs w:val="21"/>
                      <w:highlight w:val="none"/>
                      <w:vertAlign w:val="superscript"/>
                      <w:lang w:val="en-US" w:eastAsia="zh-CN"/>
                    </w:rPr>
                    <w:t>3</w:t>
                  </w:r>
                </w:p>
              </w:tc>
              <w:tc>
                <w:tcPr>
                  <w:tcW w:w="2145" w:type="dxa"/>
                  <w:tcBorders>
                    <w:tl2br w:val="nil"/>
                    <w:tr2bl w:val="nil"/>
                  </w:tcBorders>
                  <w:noWrap w:val="0"/>
                  <w:vAlign w:val="center"/>
                </w:tcPr>
                <w:p w14:paraId="4374175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1m×1m</w:t>
                  </w:r>
                </w:p>
                <w:p w14:paraId="64B6D44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0.6m×0.6m</w:t>
                  </w:r>
                </w:p>
              </w:tc>
              <w:tc>
                <w:tcPr>
                  <w:tcW w:w="2294" w:type="dxa"/>
                  <w:vMerge w:val="continue"/>
                  <w:tcBorders>
                    <w:tl2br w:val="nil"/>
                    <w:tr2bl w:val="nil"/>
                  </w:tcBorders>
                  <w:noWrap w:val="0"/>
                  <w:vAlign w:val="center"/>
                </w:tcPr>
                <w:p w14:paraId="3920E70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p>
              </w:tc>
            </w:tr>
            <w:tr w14:paraId="313EF1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87" w:type="dxa"/>
                  <w:tcBorders>
                    <w:tl2br w:val="nil"/>
                    <w:tr2bl w:val="nil"/>
                  </w:tcBorders>
                  <w:noWrap w:val="0"/>
                  <w:vAlign w:val="center"/>
                </w:tcPr>
                <w:p w14:paraId="750AFEA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2179" w:type="dxa"/>
                  <w:tcBorders>
                    <w:tl2br w:val="nil"/>
                    <w:tr2bl w:val="nil"/>
                  </w:tcBorders>
                  <w:noWrap w:val="0"/>
                  <w:vAlign w:val="center"/>
                </w:tcPr>
                <w:p w14:paraId="2DE2A5D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泡沫制品包装</w:t>
                  </w:r>
                </w:p>
              </w:tc>
              <w:tc>
                <w:tcPr>
                  <w:tcW w:w="846" w:type="dxa"/>
                  <w:tcBorders>
                    <w:tl2br w:val="nil"/>
                    <w:tr2bl w:val="nil"/>
                  </w:tcBorders>
                  <w:noWrap w:val="0"/>
                  <w:vAlign w:val="center"/>
                </w:tcPr>
                <w:p w14:paraId="63C9792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500t/a</w:t>
                  </w:r>
                </w:p>
              </w:tc>
              <w:tc>
                <w:tcPr>
                  <w:tcW w:w="2145" w:type="dxa"/>
                  <w:tcBorders>
                    <w:tl2br w:val="nil"/>
                    <w:tr2bl w:val="nil"/>
                  </w:tcBorders>
                  <w:noWrap w:val="0"/>
                  <w:vAlign w:val="center"/>
                </w:tcPr>
                <w:p w14:paraId="16F395B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根据客户订单规格要求生产</w:t>
                  </w:r>
                </w:p>
              </w:tc>
              <w:tc>
                <w:tcPr>
                  <w:tcW w:w="2294" w:type="dxa"/>
                  <w:tcBorders>
                    <w:tl2br w:val="nil"/>
                    <w:tr2bl w:val="nil"/>
                  </w:tcBorders>
                  <w:noWrap w:val="0"/>
                  <w:vAlign w:val="center"/>
                </w:tcPr>
                <w:p w14:paraId="4029808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微软雅黑"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满足《聚苯乙烯泡沫塑料包装材料》（QB/T1649-1992）标准要求</w:t>
                  </w:r>
                </w:p>
              </w:tc>
            </w:tr>
          </w:tbl>
          <w:p w14:paraId="3F0E246F">
            <w:pPr>
              <w:pStyle w:val="6"/>
              <w:keepNext w:val="0"/>
              <w:keepLines w:val="0"/>
              <w:pageBreakBefore w:val="0"/>
              <w:widowControl w:val="0"/>
              <w:kinsoku/>
              <w:overflowPunct/>
              <w:topLinePunct w:val="0"/>
              <w:autoSpaceDE/>
              <w:autoSpaceDN/>
              <w:bidi w:val="0"/>
              <w:adjustRightInd/>
              <w:snapToGrid/>
              <w:spacing w:line="360" w:lineRule="auto"/>
              <w:ind w:left="0" w:leftChars="0" w:firstLine="0" w:firstLineChars="0"/>
              <w:textAlignment w:val="auto"/>
              <w:rPr>
                <w:rFonts w:hint="eastAsia" w:ascii="Times New Roman" w:hAnsi="Times New Roman" w:eastAsia="宋体" w:cs="Times New Roman"/>
                <w:b/>
                <w:bCs w:val="0"/>
                <w:sz w:val="24"/>
                <w:highlight w:val="none"/>
                <w:lang w:val="en-US" w:eastAsia="zh-CN"/>
              </w:rPr>
            </w:pPr>
          </w:p>
          <w:p w14:paraId="5F73D48B">
            <w:pPr>
              <w:pStyle w:val="6"/>
              <w:keepNext w:val="0"/>
              <w:keepLines w:val="0"/>
              <w:pageBreakBefore w:val="0"/>
              <w:widowControl w:val="0"/>
              <w:kinsoku/>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b/>
                <w:bCs w:val="0"/>
                <w:sz w:val="24"/>
                <w:highlight w:val="none"/>
                <w:lang w:val="en-US" w:eastAsia="zh-CN"/>
              </w:rPr>
            </w:pPr>
            <w:r>
              <w:rPr>
                <w:rFonts w:hint="eastAsia" w:ascii="Times New Roman" w:hAnsi="Times New Roman" w:eastAsia="宋体" w:cs="Times New Roman"/>
                <w:b/>
                <w:bCs w:val="0"/>
                <w:sz w:val="24"/>
                <w:highlight w:val="none"/>
                <w:lang w:val="en-US" w:eastAsia="zh-CN"/>
              </w:rPr>
              <w:t>1.2主要原辅材料及能源消耗</w:t>
            </w:r>
          </w:p>
          <w:p w14:paraId="1539DD27">
            <w:pPr>
              <w:widowControl w:val="0"/>
              <w:numPr>
                <w:ilvl w:val="0"/>
                <w:numId w:val="0"/>
              </w:numPr>
              <w:wordWrap/>
              <w:adjustRightInd/>
              <w:snapToGrid/>
              <w:spacing w:line="360" w:lineRule="auto"/>
              <w:ind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本项目主要能源及原辅材料消耗见下表。</w:t>
            </w:r>
          </w:p>
          <w:p w14:paraId="57A6E401">
            <w:pPr>
              <w:pStyle w:val="15"/>
              <w:keepNext w:val="0"/>
              <w:keepLines w:val="0"/>
              <w:pageBreakBefore w:val="0"/>
              <w:widowControl w:val="0"/>
              <w:kinsoku/>
              <w:wordWrap/>
              <w:overflowPunct/>
              <w:topLinePunct w:val="0"/>
              <w:autoSpaceDE/>
              <w:autoSpaceDN/>
              <w:bidi w:val="0"/>
              <w:adjustRightInd w:val="0"/>
              <w:snapToGrid w:val="0"/>
              <w:spacing w:after="0" w:line="240" w:lineRule="auto"/>
              <w:ind w:left="0"/>
              <w:jc w:val="center"/>
              <w:textAlignment w:val="auto"/>
              <w:rPr>
                <w:rFonts w:hint="eastAsia" w:ascii="Times New Roman" w:hAnsi="Times New Roman" w:eastAsia="黑体" w:cs="Times New Roman"/>
                <w:highlight w:val="none"/>
                <w:lang w:val="en-US" w:eastAsia="zh-CN"/>
              </w:rPr>
            </w:pPr>
            <w:r>
              <w:rPr>
                <w:rFonts w:hint="eastAsia" w:ascii="Times New Roman" w:hAnsi="Times New Roman" w:eastAsia="黑体" w:cs="Times New Roman"/>
                <w:sz w:val="21"/>
                <w:szCs w:val="21"/>
                <w:highlight w:val="none"/>
              </w:rPr>
              <w:t>表</w:t>
            </w:r>
            <w:r>
              <w:rPr>
                <w:rFonts w:hint="eastAsia" w:ascii="Times New Roman" w:hAnsi="Times New Roman" w:eastAsia="黑体" w:cs="Times New Roman"/>
                <w:sz w:val="21"/>
                <w:szCs w:val="21"/>
                <w:highlight w:val="none"/>
                <w:lang w:val="en-US" w:eastAsia="zh-CN"/>
              </w:rPr>
              <w:t>2-6 能源及原辅材料消耗</w:t>
            </w:r>
            <w:r>
              <w:rPr>
                <w:rFonts w:hint="eastAsia" w:ascii="Times New Roman" w:hAnsi="Times New Roman" w:eastAsia="黑体" w:cs="Times New Roman"/>
                <w:sz w:val="21"/>
                <w:szCs w:val="21"/>
                <w:highlight w:val="none"/>
              </w:rPr>
              <w:t>表</w:t>
            </w:r>
          </w:p>
          <w:tbl>
            <w:tblPr>
              <w:tblStyle w:val="24"/>
              <w:tblW w:w="8103"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3"/>
              <w:gridCol w:w="1257"/>
              <w:gridCol w:w="1207"/>
              <w:gridCol w:w="1214"/>
              <w:gridCol w:w="1384"/>
              <w:gridCol w:w="2578"/>
            </w:tblGrid>
            <w:tr w14:paraId="6AB85A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3" w:type="dxa"/>
                  <w:tcBorders>
                    <w:tl2br w:val="nil"/>
                    <w:tr2bl w:val="nil"/>
                  </w:tcBorders>
                  <w:noWrap/>
                  <w:vAlign w:val="center"/>
                </w:tcPr>
                <w:p w14:paraId="4CF703C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257" w:type="dxa"/>
                  <w:tcBorders>
                    <w:tl2br w:val="nil"/>
                    <w:tr2bl w:val="nil"/>
                  </w:tcBorders>
                  <w:noWrap/>
                  <w:vAlign w:val="center"/>
                </w:tcPr>
                <w:p w14:paraId="5FC0B02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207" w:type="dxa"/>
                  <w:tcBorders>
                    <w:tl2br w:val="nil"/>
                    <w:tr2bl w:val="nil"/>
                  </w:tcBorders>
                  <w:noWrap/>
                  <w:vAlign w:val="center"/>
                </w:tcPr>
                <w:p w14:paraId="122CF5C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消耗量</w:t>
                  </w:r>
                </w:p>
              </w:tc>
              <w:tc>
                <w:tcPr>
                  <w:tcW w:w="1214" w:type="dxa"/>
                  <w:tcBorders>
                    <w:tl2br w:val="nil"/>
                    <w:tr2bl w:val="nil"/>
                  </w:tcBorders>
                  <w:noWrap/>
                  <w:vAlign w:val="center"/>
                </w:tcPr>
                <w:p w14:paraId="53B8B0E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包装方式</w:t>
                  </w:r>
                </w:p>
              </w:tc>
              <w:tc>
                <w:tcPr>
                  <w:tcW w:w="1384" w:type="dxa"/>
                  <w:tcBorders>
                    <w:tl2br w:val="nil"/>
                    <w:tr2bl w:val="nil"/>
                  </w:tcBorders>
                  <w:noWrap/>
                  <w:vAlign w:val="center"/>
                </w:tcPr>
                <w:p w14:paraId="44DAAB0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厂内存</w:t>
                  </w:r>
                </w:p>
                <w:p w14:paraId="11540D2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放区域</w:t>
                  </w:r>
                </w:p>
              </w:tc>
              <w:tc>
                <w:tcPr>
                  <w:tcW w:w="2578" w:type="dxa"/>
                  <w:tcBorders>
                    <w:tl2br w:val="nil"/>
                    <w:tr2bl w:val="nil"/>
                  </w:tcBorders>
                  <w:noWrap/>
                  <w:vAlign w:val="center"/>
                </w:tcPr>
                <w:p w14:paraId="754DDCA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来源</w:t>
                  </w:r>
                </w:p>
              </w:tc>
            </w:tr>
            <w:tr w14:paraId="09CC28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3" w:type="dxa"/>
                  <w:tcBorders>
                    <w:tl2br w:val="nil"/>
                    <w:tr2bl w:val="nil"/>
                  </w:tcBorders>
                  <w:noWrap/>
                  <w:vAlign w:val="center"/>
                </w:tcPr>
                <w:p w14:paraId="6ADD9C4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257" w:type="dxa"/>
                  <w:tcBorders>
                    <w:tl2br w:val="nil"/>
                    <w:tr2bl w:val="nil"/>
                  </w:tcBorders>
                  <w:noWrap/>
                  <w:vAlign w:val="center"/>
                </w:tcPr>
                <w:p w14:paraId="1268152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木材半成品</w:t>
                  </w:r>
                </w:p>
              </w:tc>
              <w:tc>
                <w:tcPr>
                  <w:tcW w:w="1207" w:type="dxa"/>
                  <w:tcBorders>
                    <w:tl2br w:val="nil"/>
                    <w:tr2bl w:val="nil"/>
                  </w:tcBorders>
                  <w:noWrap/>
                  <w:vAlign w:val="center"/>
                </w:tcPr>
                <w:p w14:paraId="6CED453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10</w:t>
                  </w:r>
                  <w:r>
                    <w:rPr>
                      <w:rFonts w:hint="eastAsia" w:cs="Times New Roman"/>
                      <w:color w:val="auto"/>
                      <w:sz w:val="21"/>
                      <w:szCs w:val="21"/>
                      <w:highlight w:val="none"/>
                      <w:lang w:val="en-US" w:eastAsia="zh-CN"/>
                    </w:rPr>
                    <w:t>00</w:t>
                  </w:r>
                  <w:r>
                    <w:rPr>
                      <w:rFonts w:hint="default" w:ascii="Times New Roman" w:hAnsi="Times New Roman" w:eastAsia="宋体" w:cs="Times New Roman"/>
                      <w:color w:val="auto"/>
                      <w:sz w:val="21"/>
                      <w:szCs w:val="21"/>
                      <w:highlight w:val="none"/>
                      <w:lang w:val="en-US" w:eastAsia="zh-CN"/>
                    </w:rPr>
                    <w:t>m3/a</w:t>
                  </w:r>
                </w:p>
              </w:tc>
              <w:tc>
                <w:tcPr>
                  <w:tcW w:w="1214" w:type="dxa"/>
                  <w:tcBorders>
                    <w:tl2br w:val="nil"/>
                    <w:tr2bl w:val="nil"/>
                  </w:tcBorders>
                  <w:noWrap/>
                  <w:vAlign w:val="center"/>
                </w:tcPr>
                <w:p w14:paraId="0DD8C6B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384" w:type="dxa"/>
                  <w:tcBorders>
                    <w:tl2br w:val="nil"/>
                    <w:tr2bl w:val="nil"/>
                  </w:tcBorders>
                  <w:noWrap/>
                  <w:vAlign w:val="center"/>
                </w:tcPr>
                <w:p w14:paraId="4734C3E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不暂存，现用现运</w:t>
                  </w:r>
                </w:p>
              </w:tc>
              <w:tc>
                <w:tcPr>
                  <w:tcW w:w="2578" w:type="dxa"/>
                  <w:tcBorders>
                    <w:tl2br w:val="nil"/>
                    <w:tr2bl w:val="nil"/>
                  </w:tcBorders>
                  <w:noWrap/>
                  <w:vAlign w:val="center"/>
                </w:tcPr>
                <w:p w14:paraId="6C2AE22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外购，根据市场行情</w:t>
                  </w:r>
                  <w:r>
                    <w:rPr>
                      <w:rFonts w:hint="default" w:ascii="Times New Roman" w:hAnsi="Times New Roman" w:eastAsia="宋体" w:cs="Times New Roman"/>
                      <w:color w:val="auto"/>
                      <w:sz w:val="21"/>
                      <w:szCs w:val="21"/>
                      <w:highlight w:val="none"/>
                      <w:lang w:val="en-US" w:eastAsia="zh-CN"/>
                    </w:rPr>
                    <w:t>由项目所在地</w:t>
                  </w:r>
                  <w:r>
                    <w:rPr>
                      <w:rFonts w:hint="eastAsia" w:cs="Times New Roman"/>
                      <w:color w:val="auto"/>
                      <w:sz w:val="21"/>
                      <w:szCs w:val="21"/>
                      <w:highlight w:val="none"/>
                      <w:lang w:val="en-US" w:eastAsia="zh-CN"/>
                    </w:rPr>
                    <w:t>零散客户</w:t>
                  </w:r>
                  <w:r>
                    <w:rPr>
                      <w:rFonts w:hint="default" w:ascii="Times New Roman" w:hAnsi="Times New Roman" w:eastAsia="宋体" w:cs="Times New Roman"/>
                      <w:color w:val="auto"/>
                      <w:sz w:val="21"/>
                      <w:szCs w:val="21"/>
                      <w:highlight w:val="none"/>
                      <w:lang w:val="en-US" w:eastAsia="zh-CN"/>
                    </w:rPr>
                    <w:t>购入</w:t>
                  </w:r>
                </w:p>
              </w:tc>
            </w:tr>
            <w:tr w14:paraId="11A270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3" w:type="dxa"/>
                  <w:tcBorders>
                    <w:tl2br w:val="nil"/>
                    <w:tr2bl w:val="nil"/>
                  </w:tcBorders>
                  <w:noWrap/>
                  <w:vAlign w:val="center"/>
                </w:tcPr>
                <w:p w14:paraId="060DC97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257" w:type="dxa"/>
                  <w:tcBorders>
                    <w:tl2br w:val="nil"/>
                    <w:tr2bl w:val="nil"/>
                  </w:tcBorders>
                  <w:noWrap/>
                  <w:vAlign w:val="center"/>
                </w:tcPr>
                <w:p w14:paraId="6552AD0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EPS</w:t>
                  </w:r>
                  <w:r>
                    <w:rPr>
                      <w:rFonts w:hint="default" w:ascii="Times New Roman" w:hAnsi="Times New Roman" w:eastAsia="宋体" w:cs="Times New Roman"/>
                      <w:color w:val="auto"/>
                      <w:sz w:val="21"/>
                      <w:szCs w:val="21"/>
                      <w:highlight w:val="none"/>
                      <w:lang w:eastAsia="zh-CN"/>
                    </w:rPr>
                    <w:t>聚苯乙烯颗粒</w:t>
                  </w:r>
                </w:p>
              </w:tc>
              <w:tc>
                <w:tcPr>
                  <w:tcW w:w="1207" w:type="dxa"/>
                  <w:tcBorders>
                    <w:tl2br w:val="nil"/>
                    <w:tr2bl w:val="nil"/>
                  </w:tcBorders>
                  <w:noWrap/>
                  <w:vAlign w:val="center"/>
                </w:tcPr>
                <w:p w14:paraId="63A764C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510.65t/a</w:t>
                  </w:r>
                </w:p>
              </w:tc>
              <w:tc>
                <w:tcPr>
                  <w:tcW w:w="1214" w:type="dxa"/>
                  <w:tcBorders>
                    <w:tl2br w:val="nil"/>
                    <w:tr2bl w:val="nil"/>
                  </w:tcBorders>
                  <w:noWrap/>
                  <w:vAlign w:val="center"/>
                </w:tcPr>
                <w:p w14:paraId="5DEE126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袋装850kg/袋</w:t>
                  </w:r>
                </w:p>
              </w:tc>
              <w:tc>
                <w:tcPr>
                  <w:tcW w:w="1384" w:type="dxa"/>
                  <w:tcBorders>
                    <w:tl2br w:val="nil"/>
                    <w:tr2bl w:val="nil"/>
                  </w:tcBorders>
                  <w:noWrap/>
                  <w:vAlign w:val="center"/>
                </w:tcPr>
                <w:p w14:paraId="2481D92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聚苯乙烯原料仓库</w:t>
                  </w:r>
                </w:p>
              </w:tc>
              <w:tc>
                <w:tcPr>
                  <w:tcW w:w="2578" w:type="dxa"/>
                  <w:tcBorders>
                    <w:tl2br w:val="nil"/>
                    <w:tr2bl w:val="nil"/>
                  </w:tcBorders>
                  <w:noWrap/>
                  <w:vAlign w:val="center"/>
                </w:tcPr>
                <w:p w14:paraId="6C5D768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由大连嘉盛新材料有限公司供给</w:t>
                  </w:r>
                </w:p>
              </w:tc>
            </w:tr>
            <w:tr w14:paraId="2CCBDB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463" w:type="dxa"/>
                  <w:tcBorders>
                    <w:tl2br w:val="nil"/>
                    <w:tr2bl w:val="nil"/>
                  </w:tcBorders>
                  <w:noWrap/>
                  <w:vAlign w:val="center"/>
                </w:tcPr>
                <w:p w14:paraId="0CA8651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257" w:type="dxa"/>
                  <w:tcBorders>
                    <w:tl2br w:val="nil"/>
                    <w:tr2bl w:val="nil"/>
                  </w:tcBorders>
                  <w:noWrap/>
                  <w:vAlign w:val="center"/>
                </w:tcPr>
                <w:p w14:paraId="06FAEC8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电</w:t>
                  </w:r>
                </w:p>
              </w:tc>
              <w:tc>
                <w:tcPr>
                  <w:tcW w:w="1207" w:type="dxa"/>
                  <w:tcBorders>
                    <w:tl2br w:val="nil"/>
                    <w:tr2bl w:val="nil"/>
                  </w:tcBorders>
                  <w:noWrap/>
                  <w:vAlign w:val="center"/>
                </w:tcPr>
                <w:p w14:paraId="6C2E320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00Kwh/a</w:t>
                  </w:r>
                </w:p>
              </w:tc>
              <w:tc>
                <w:tcPr>
                  <w:tcW w:w="1214" w:type="dxa"/>
                  <w:tcBorders>
                    <w:tl2br w:val="nil"/>
                    <w:tr2bl w:val="nil"/>
                  </w:tcBorders>
                  <w:noWrap/>
                  <w:vAlign w:val="center"/>
                </w:tcPr>
                <w:p w14:paraId="5AE793A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384" w:type="dxa"/>
                  <w:tcBorders>
                    <w:tl2br w:val="nil"/>
                    <w:tr2bl w:val="nil"/>
                  </w:tcBorders>
                  <w:noWrap/>
                  <w:vAlign w:val="center"/>
                </w:tcPr>
                <w:p w14:paraId="5906629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2578" w:type="dxa"/>
                  <w:tcBorders>
                    <w:tl2br w:val="nil"/>
                    <w:tr2bl w:val="nil"/>
                  </w:tcBorders>
                  <w:noWrap/>
                  <w:vAlign w:val="center"/>
                </w:tcPr>
                <w:p w14:paraId="7A3A511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当地电网</w:t>
                  </w:r>
                </w:p>
              </w:tc>
            </w:tr>
            <w:tr w14:paraId="7A60DE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463" w:type="dxa"/>
                  <w:tcBorders>
                    <w:tl2br w:val="nil"/>
                    <w:tr2bl w:val="nil"/>
                  </w:tcBorders>
                  <w:noWrap/>
                  <w:vAlign w:val="center"/>
                </w:tcPr>
                <w:p w14:paraId="451B2F9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1257" w:type="dxa"/>
                  <w:tcBorders>
                    <w:tl2br w:val="nil"/>
                    <w:tr2bl w:val="nil"/>
                  </w:tcBorders>
                  <w:noWrap/>
                  <w:vAlign w:val="center"/>
                </w:tcPr>
                <w:p w14:paraId="512E4E4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蒸汽</w:t>
                  </w:r>
                </w:p>
              </w:tc>
              <w:tc>
                <w:tcPr>
                  <w:tcW w:w="1207" w:type="dxa"/>
                  <w:tcBorders>
                    <w:tl2br w:val="nil"/>
                    <w:tr2bl w:val="nil"/>
                  </w:tcBorders>
                  <w:noWrap/>
                  <w:vAlign w:val="center"/>
                </w:tcPr>
                <w:p w14:paraId="25C501F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000t/a</w:t>
                  </w:r>
                </w:p>
              </w:tc>
              <w:tc>
                <w:tcPr>
                  <w:tcW w:w="1214" w:type="dxa"/>
                  <w:tcBorders>
                    <w:tl2br w:val="nil"/>
                    <w:tr2bl w:val="nil"/>
                  </w:tcBorders>
                  <w:noWrap/>
                  <w:vAlign w:val="center"/>
                </w:tcPr>
                <w:p w14:paraId="2CFC634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管道</w:t>
                  </w:r>
                </w:p>
              </w:tc>
              <w:tc>
                <w:tcPr>
                  <w:tcW w:w="1384" w:type="dxa"/>
                  <w:tcBorders>
                    <w:tl2br w:val="nil"/>
                    <w:tr2bl w:val="nil"/>
                  </w:tcBorders>
                  <w:noWrap/>
                  <w:vAlign w:val="center"/>
                </w:tcPr>
                <w:p w14:paraId="1DE34F2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78" w:type="dxa"/>
                  <w:tcBorders>
                    <w:tl2br w:val="nil"/>
                    <w:tr2bl w:val="nil"/>
                  </w:tcBorders>
                  <w:noWrap/>
                  <w:vAlign w:val="center"/>
                </w:tcPr>
                <w:p w14:paraId="0BA7175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本溪热电分公司</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外购</w:t>
                  </w:r>
                  <w:r>
                    <w:rPr>
                      <w:rFonts w:hint="default" w:ascii="Times New Roman" w:hAnsi="Times New Roman" w:eastAsia="宋体" w:cs="Times New Roman"/>
                      <w:color w:val="auto"/>
                      <w:sz w:val="21"/>
                      <w:szCs w:val="21"/>
                      <w:highlight w:val="none"/>
                      <w:lang w:eastAsia="zh-CN"/>
                    </w:rPr>
                    <w:t>蒸汽通过管道输送的方式输送至厂区内</w:t>
                  </w:r>
                </w:p>
              </w:tc>
            </w:tr>
            <w:tr w14:paraId="54D581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463" w:type="dxa"/>
                  <w:tcBorders>
                    <w:tl2br w:val="nil"/>
                    <w:tr2bl w:val="nil"/>
                  </w:tcBorders>
                  <w:noWrap/>
                  <w:vAlign w:val="center"/>
                </w:tcPr>
                <w:p w14:paraId="60B2FB4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1257" w:type="dxa"/>
                  <w:tcBorders>
                    <w:tl2br w:val="nil"/>
                    <w:tr2bl w:val="nil"/>
                  </w:tcBorders>
                  <w:noWrap/>
                  <w:vAlign w:val="center"/>
                </w:tcPr>
                <w:p w14:paraId="1A099EA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w:t>
                  </w:r>
                </w:p>
              </w:tc>
              <w:tc>
                <w:tcPr>
                  <w:tcW w:w="1207" w:type="dxa"/>
                  <w:tcBorders>
                    <w:tl2br w:val="nil"/>
                    <w:tr2bl w:val="nil"/>
                  </w:tcBorders>
                  <w:noWrap/>
                  <w:vAlign w:val="center"/>
                </w:tcPr>
                <w:p w14:paraId="6724462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w:t>
                  </w:r>
                  <w:r>
                    <w:rPr>
                      <w:rFonts w:hint="default" w:ascii="Times New Roman" w:hAnsi="Times New Roman" w:eastAsia="宋体" w:cs="Times New Roman"/>
                      <w:color w:val="auto"/>
                      <w:sz w:val="21"/>
                      <w:szCs w:val="21"/>
                      <w:highlight w:val="none"/>
                      <w:lang w:val="en-US" w:eastAsia="zh-CN"/>
                    </w:rPr>
                    <w:t>t/a</w:t>
                  </w:r>
                </w:p>
              </w:tc>
              <w:tc>
                <w:tcPr>
                  <w:tcW w:w="1214" w:type="dxa"/>
                  <w:tcBorders>
                    <w:tl2br w:val="nil"/>
                    <w:tr2bl w:val="nil"/>
                  </w:tcBorders>
                  <w:noWrap/>
                  <w:vAlign w:val="center"/>
                </w:tcPr>
                <w:p w14:paraId="5FEE001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纸壳包装</w:t>
                  </w:r>
                </w:p>
              </w:tc>
              <w:tc>
                <w:tcPr>
                  <w:tcW w:w="1384" w:type="dxa"/>
                  <w:tcBorders>
                    <w:tl2br w:val="nil"/>
                    <w:tr2bl w:val="nil"/>
                  </w:tcBorders>
                  <w:noWrap/>
                  <w:vAlign w:val="center"/>
                </w:tcPr>
                <w:p w14:paraId="3D15F7F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78" w:type="dxa"/>
                  <w:tcBorders>
                    <w:tl2br w:val="nil"/>
                    <w:tr2bl w:val="nil"/>
                  </w:tcBorders>
                  <w:noWrap/>
                  <w:vAlign w:val="center"/>
                </w:tcPr>
                <w:p w14:paraId="76543D5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活性炭定期更换次</w:t>
                  </w:r>
                </w:p>
              </w:tc>
            </w:tr>
            <w:tr w14:paraId="689FE0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463" w:type="dxa"/>
                  <w:tcBorders>
                    <w:tl2br w:val="nil"/>
                    <w:tr2bl w:val="nil"/>
                  </w:tcBorders>
                  <w:noWrap/>
                  <w:vAlign w:val="center"/>
                </w:tcPr>
                <w:p w14:paraId="2C3258C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1257" w:type="dxa"/>
                  <w:tcBorders>
                    <w:tl2br w:val="nil"/>
                    <w:tr2bl w:val="nil"/>
                  </w:tcBorders>
                  <w:noWrap/>
                  <w:vAlign w:val="center"/>
                </w:tcPr>
                <w:p w14:paraId="72CC153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新鲜</w:t>
                  </w:r>
                  <w:r>
                    <w:rPr>
                      <w:rFonts w:hint="default" w:ascii="Times New Roman" w:hAnsi="Times New Roman" w:eastAsia="宋体" w:cs="Times New Roman"/>
                      <w:color w:val="auto"/>
                      <w:sz w:val="21"/>
                      <w:szCs w:val="21"/>
                      <w:highlight w:val="none"/>
                      <w:lang w:eastAsia="zh-CN"/>
                    </w:rPr>
                    <w:t>水</w:t>
                  </w:r>
                </w:p>
              </w:tc>
              <w:tc>
                <w:tcPr>
                  <w:tcW w:w="1207" w:type="dxa"/>
                  <w:tcBorders>
                    <w:tl2br w:val="nil"/>
                    <w:tr2bl w:val="nil"/>
                  </w:tcBorders>
                  <w:noWrap/>
                  <w:vAlign w:val="center"/>
                </w:tcPr>
                <w:p w14:paraId="190119C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351.13</w:t>
                  </w:r>
                  <w:r>
                    <w:rPr>
                      <w:rFonts w:hint="default" w:ascii="Times New Roman" w:hAnsi="Times New Roman" w:eastAsia="宋体" w:cs="Times New Roman"/>
                      <w:color w:val="auto"/>
                      <w:sz w:val="21"/>
                      <w:szCs w:val="21"/>
                      <w:highlight w:val="none"/>
                      <w:lang w:val="en-US" w:eastAsia="zh-CN"/>
                    </w:rPr>
                    <w:t>t/a</w:t>
                  </w:r>
                </w:p>
              </w:tc>
              <w:tc>
                <w:tcPr>
                  <w:tcW w:w="1214" w:type="dxa"/>
                  <w:tcBorders>
                    <w:tl2br w:val="nil"/>
                    <w:tr2bl w:val="nil"/>
                  </w:tcBorders>
                  <w:noWrap/>
                  <w:vAlign w:val="center"/>
                </w:tcPr>
                <w:p w14:paraId="0BEB8C1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384" w:type="dxa"/>
                  <w:tcBorders>
                    <w:tl2br w:val="nil"/>
                    <w:tr2bl w:val="nil"/>
                  </w:tcBorders>
                  <w:noWrap/>
                  <w:vAlign w:val="center"/>
                </w:tcPr>
                <w:p w14:paraId="6AF32C7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78" w:type="dxa"/>
                  <w:tcBorders>
                    <w:tl2br w:val="nil"/>
                    <w:tr2bl w:val="nil"/>
                  </w:tcBorders>
                  <w:noWrap/>
                  <w:vAlign w:val="center"/>
                </w:tcPr>
                <w:p w14:paraId="7953B57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市政供水管网供给</w:t>
                  </w:r>
                </w:p>
              </w:tc>
            </w:tr>
          </w:tbl>
          <w:p w14:paraId="4912E858">
            <w:pPr>
              <w:widowControl w:val="0"/>
              <w:numPr>
                <w:ilvl w:val="0"/>
                <w:numId w:val="0"/>
              </w:numPr>
              <w:wordWrap/>
              <w:adjustRightInd/>
              <w:snapToGrid/>
              <w:spacing w:line="360" w:lineRule="auto"/>
              <w:textAlignment w:val="auto"/>
              <w:rPr>
                <w:rFonts w:hint="default" w:ascii="Times New Roman" w:hAnsi="Times New Roman" w:eastAsia="宋体" w:cs="Times New Roman"/>
                <w:color w:val="auto"/>
                <w:kern w:val="2"/>
                <w:sz w:val="24"/>
                <w:szCs w:val="24"/>
                <w:highlight w:val="yellow"/>
                <w:lang w:val="en-US" w:eastAsia="zh-CN" w:bidi="ar-SA"/>
              </w:rPr>
            </w:pPr>
          </w:p>
          <w:p w14:paraId="4F696FF4">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b/>
                <w:bCs w:val="0"/>
                <w:color w:val="auto"/>
                <w:sz w:val="28"/>
                <w:szCs w:val="28"/>
                <w:highlight w:val="none"/>
                <w:vertAlign w:val="baseline"/>
                <w:lang w:val="en-US" w:eastAsia="zh-CN"/>
              </w:rPr>
            </w:pPr>
            <w:r>
              <w:rPr>
                <w:rFonts w:hint="eastAsia" w:ascii="Times New Roman" w:hAnsi="Times New Roman"/>
                <w:b/>
                <w:bCs w:val="0"/>
                <w:color w:val="auto"/>
                <w:sz w:val="28"/>
                <w:szCs w:val="28"/>
                <w:highlight w:val="none"/>
                <w:vertAlign w:val="baseline"/>
                <w:lang w:val="en-US" w:eastAsia="zh-CN"/>
              </w:rPr>
              <w:t>2水源及水平衡</w:t>
            </w:r>
          </w:p>
          <w:p w14:paraId="06FA9E19">
            <w:pPr>
              <w:pStyle w:val="15"/>
              <w:spacing w:after="0" w:line="360" w:lineRule="auto"/>
              <w:ind w:left="0" w:leftChars="0" w:firstLine="480" w:firstLineChars="200"/>
              <w:rPr>
                <w:rFonts w:hint="default" w:ascii="Times New Roman" w:hAnsi="Times New Roman" w:eastAsia="宋体" w:cstheme="minorBidi"/>
                <w:kern w:val="2"/>
                <w:sz w:val="24"/>
                <w:szCs w:val="24"/>
                <w:highlight w:val="none"/>
                <w:lang w:val="en-US" w:eastAsia="zh-CN" w:bidi="ar-SA"/>
              </w:rPr>
            </w:pPr>
            <w:r>
              <w:rPr>
                <w:rFonts w:hint="eastAsia" w:ascii="Times New Roman" w:hAnsi="Times New Roman" w:eastAsia="宋体" w:cstheme="minorBidi"/>
                <w:kern w:val="2"/>
                <w:sz w:val="24"/>
                <w:szCs w:val="24"/>
                <w:highlight w:val="none"/>
                <w:lang w:val="en-US" w:eastAsia="zh-CN" w:bidi="ar-SA"/>
              </w:rPr>
              <w:t>（1）供水：本项目生产过程中用水环节主要为员工生活用水及成型机间接冷却过程用水。</w:t>
            </w:r>
          </w:p>
          <w:p w14:paraId="7702BD3E">
            <w:pPr>
              <w:pStyle w:val="15"/>
              <w:spacing w:after="0" w:line="360" w:lineRule="auto"/>
              <w:ind w:left="0" w:leftChars="0" w:firstLine="480" w:firstLineChars="200"/>
              <w:rPr>
                <w:rFonts w:hint="default" w:ascii="Times New Roman" w:hAnsi="Times New Roman" w:eastAsia="宋体" w:cstheme="minorBidi"/>
                <w:kern w:val="2"/>
                <w:sz w:val="24"/>
                <w:szCs w:val="24"/>
                <w:highlight w:val="none"/>
                <w:lang w:val="en-US" w:eastAsia="zh-CN" w:bidi="ar-SA"/>
              </w:rPr>
            </w:pPr>
            <w:r>
              <w:rPr>
                <w:rFonts w:hint="default" w:ascii="Times New Roman" w:hAnsi="Times New Roman" w:eastAsia="宋体" w:cstheme="minorBidi"/>
                <w:kern w:val="2"/>
                <w:sz w:val="24"/>
                <w:szCs w:val="24"/>
                <w:highlight w:val="none"/>
                <w:lang w:val="en-US" w:eastAsia="zh-CN" w:bidi="ar-SA"/>
              </w:rPr>
              <w:t>①</w:t>
            </w:r>
            <w:r>
              <w:rPr>
                <w:rFonts w:hint="eastAsia" w:ascii="Times New Roman" w:hAnsi="Times New Roman" w:eastAsia="宋体" w:cstheme="minorBidi"/>
                <w:kern w:val="2"/>
                <w:sz w:val="24"/>
                <w:szCs w:val="24"/>
                <w:highlight w:val="none"/>
                <w:lang w:val="en-US" w:eastAsia="zh-CN" w:bidi="ar-SA"/>
              </w:rPr>
              <w:t>员工生活用水</w:t>
            </w:r>
          </w:p>
          <w:p w14:paraId="7CB7B62A">
            <w:pPr>
              <w:pStyle w:val="15"/>
              <w:spacing w:after="0" w:line="360" w:lineRule="auto"/>
              <w:ind w:left="0" w:leftChars="0" w:firstLine="480" w:firstLineChars="200"/>
              <w:rPr>
                <w:rFonts w:hint="eastAsia" w:ascii="Times New Roman" w:hAnsi="Times New Roman" w:eastAsia="宋体" w:cstheme="minorBidi"/>
                <w:kern w:val="2"/>
                <w:sz w:val="24"/>
                <w:szCs w:val="24"/>
                <w:highlight w:val="none"/>
                <w:lang w:val="en-US" w:eastAsia="zh-CN" w:bidi="ar-SA"/>
              </w:rPr>
            </w:pPr>
            <w:r>
              <w:rPr>
                <w:rFonts w:hint="eastAsia" w:ascii="Times New Roman" w:hAnsi="Times New Roman" w:eastAsia="宋体" w:cstheme="minorBidi"/>
                <w:kern w:val="2"/>
                <w:sz w:val="24"/>
                <w:szCs w:val="24"/>
                <w:highlight w:val="none"/>
                <w:lang w:val="en-US" w:eastAsia="zh-CN" w:bidi="ar-SA"/>
              </w:rPr>
              <w:t>本项目用水来自当地市政供水管网供给，本项目共设置员工12人，本项目年工作365天，生活用水量约为0.9m3/d（328.5m3/a）。</w:t>
            </w:r>
          </w:p>
          <w:p w14:paraId="3A390FB5">
            <w:pPr>
              <w:pStyle w:val="15"/>
              <w:spacing w:after="0" w:line="360" w:lineRule="auto"/>
              <w:ind w:left="0" w:leftChars="0" w:firstLine="480" w:firstLineChars="200"/>
              <w:rPr>
                <w:rFonts w:hint="eastAsia" w:ascii="Times New Roman" w:hAnsi="Times New Roman" w:eastAsia="宋体" w:cstheme="minorBidi"/>
                <w:kern w:val="2"/>
                <w:sz w:val="24"/>
                <w:szCs w:val="24"/>
                <w:highlight w:val="none"/>
                <w:lang w:val="en-US" w:eastAsia="zh-CN" w:bidi="ar-SA"/>
              </w:rPr>
            </w:pPr>
            <w:r>
              <w:rPr>
                <w:rFonts w:hint="default" w:ascii="Times New Roman" w:hAnsi="Times New Roman" w:eastAsia="宋体" w:cstheme="minorBidi"/>
                <w:kern w:val="2"/>
                <w:sz w:val="24"/>
                <w:szCs w:val="24"/>
                <w:highlight w:val="none"/>
                <w:lang w:val="en-US" w:eastAsia="zh-CN" w:bidi="ar-SA"/>
              </w:rPr>
              <w:t>②</w:t>
            </w:r>
            <w:r>
              <w:rPr>
                <w:rFonts w:hint="eastAsia" w:ascii="Times New Roman" w:hAnsi="Times New Roman" w:eastAsia="宋体" w:cstheme="minorBidi"/>
                <w:kern w:val="2"/>
                <w:sz w:val="24"/>
                <w:szCs w:val="24"/>
                <w:highlight w:val="none"/>
                <w:lang w:val="en-US" w:eastAsia="zh-CN" w:bidi="ar-SA"/>
              </w:rPr>
              <w:t>设备冷却用水</w:t>
            </w:r>
          </w:p>
          <w:p w14:paraId="4869AB18">
            <w:pPr>
              <w:pStyle w:val="15"/>
              <w:spacing w:after="0" w:line="360" w:lineRule="auto"/>
              <w:ind w:left="0" w:leftChars="0" w:firstLine="480" w:firstLineChars="200"/>
              <w:rPr>
                <w:rFonts w:hint="eastAsia" w:ascii="Times New Roman" w:hAnsi="Times New Roman" w:eastAsia="宋体" w:cstheme="minorBidi"/>
                <w:kern w:val="2"/>
                <w:sz w:val="24"/>
                <w:szCs w:val="24"/>
                <w:highlight w:val="none"/>
                <w:lang w:val="en-US" w:eastAsia="zh-CN" w:bidi="ar-SA"/>
              </w:rPr>
            </w:pPr>
            <w:r>
              <w:rPr>
                <w:rFonts w:hint="eastAsia" w:ascii="Times New Roman" w:hAnsi="Times New Roman" w:eastAsia="宋体" w:cstheme="minorBidi"/>
                <w:kern w:val="2"/>
                <w:sz w:val="24"/>
                <w:szCs w:val="24"/>
                <w:highlight w:val="none"/>
                <w:lang w:val="en-US" w:eastAsia="zh-CN" w:bidi="ar-SA"/>
              </w:rPr>
              <w:t>聚苯乙烯泡沫制品包装成型后需进行冷却（用水冷却成型机夹套模具），水冷过程中冷却用水为间接冷却</w:t>
            </w:r>
            <w:r>
              <w:rPr>
                <w:rFonts w:hint="eastAsia" w:ascii="Times New Roman" w:hAnsi="Times New Roman" w:eastAsia="宋体" w:cs="Times New Roman"/>
                <w:highlight w:val="none"/>
                <w:lang w:eastAsia="zh-CN"/>
              </w:rPr>
              <w:t>（单独存在管道中，不与生产工序接触）</w:t>
            </w:r>
            <w:r>
              <w:rPr>
                <w:rFonts w:hint="eastAsia" w:ascii="Times New Roman" w:hAnsi="Times New Roman" w:eastAsia="宋体" w:cstheme="minorBidi"/>
                <w:kern w:val="2"/>
                <w:sz w:val="24"/>
                <w:szCs w:val="24"/>
                <w:highlight w:val="none"/>
                <w:lang w:val="en-US" w:eastAsia="zh-CN" w:bidi="ar-SA"/>
              </w:rPr>
              <w:t>，本项目共设置12台成型机，根据企业提供设计资料，单台成型机冷却用水为7.5m3/台</w:t>
            </w:r>
            <w:r>
              <w:rPr>
                <w:rFonts w:hint="default" w:ascii="Times New Roman" w:hAnsi="Times New Roman" w:eastAsia="宋体" w:cstheme="minorBidi"/>
                <w:kern w:val="2"/>
                <w:sz w:val="24"/>
                <w:szCs w:val="24"/>
                <w:highlight w:val="none"/>
                <w:lang w:val="en-US" w:eastAsia="zh-CN" w:bidi="ar-SA"/>
              </w:rPr>
              <w:t>·</w:t>
            </w:r>
            <w:r>
              <w:rPr>
                <w:rFonts w:hint="eastAsia" w:ascii="Times New Roman" w:hAnsi="Times New Roman" w:eastAsia="宋体" w:cstheme="minorBidi"/>
                <w:kern w:val="2"/>
                <w:sz w:val="24"/>
                <w:szCs w:val="24"/>
                <w:highlight w:val="none"/>
                <w:lang w:val="en-US" w:eastAsia="zh-CN" w:bidi="ar-SA"/>
              </w:rPr>
              <w:t>d，项目设置冷却循环系统，日循环水量为90m3/d，损耗率按5%计，则项目冷却水循系统补充水量为4.5m3/d（1642.55m3/a）。</w:t>
            </w:r>
          </w:p>
          <w:p w14:paraId="1FEBF8DF">
            <w:pPr>
              <w:pStyle w:val="15"/>
              <w:spacing w:after="0" w:line="360" w:lineRule="auto"/>
              <w:ind w:left="0" w:leftChars="0" w:firstLine="480" w:firstLineChars="200"/>
              <w:rPr>
                <w:rFonts w:hint="eastAsia" w:ascii="Times New Roman" w:hAnsi="Times New Roman" w:eastAsia="宋体" w:cstheme="minorBidi"/>
                <w:kern w:val="2"/>
                <w:sz w:val="24"/>
                <w:szCs w:val="24"/>
                <w:highlight w:val="none"/>
                <w:lang w:val="en-US" w:eastAsia="zh-CN" w:bidi="ar-SA"/>
              </w:rPr>
            </w:pPr>
            <w:r>
              <w:rPr>
                <w:rFonts w:hint="eastAsia" w:ascii="Times New Roman" w:hAnsi="Times New Roman" w:eastAsia="宋体" w:cstheme="minorBidi"/>
                <w:kern w:val="2"/>
                <w:sz w:val="24"/>
                <w:szCs w:val="24"/>
                <w:highlight w:val="none"/>
                <w:lang w:val="en-US" w:eastAsia="zh-CN" w:bidi="ar-SA"/>
              </w:rPr>
              <w:t>（2）排水</w:t>
            </w:r>
          </w:p>
          <w:p w14:paraId="3C6A4A9C">
            <w:pPr>
              <w:pStyle w:val="15"/>
              <w:spacing w:after="0" w:line="360" w:lineRule="auto"/>
              <w:ind w:left="0" w:leftChars="0" w:firstLine="480" w:firstLineChars="200"/>
              <w:rPr>
                <w:rFonts w:hint="default" w:ascii="Times New Roman" w:hAnsi="Times New Roman" w:eastAsia="宋体" w:cstheme="minorBidi"/>
                <w:kern w:val="2"/>
                <w:sz w:val="24"/>
                <w:szCs w:val="24"/>
                <w:highlight w:val="none"/>
                <w:lang w:val="en-US" w:eastAsia="zh-CN" w:bidi="ar-SA"/>
              </w:rPr>
            </w:pPr>
            <w:r>
              <w:rPr>
                <w:rFonts w:hint="default" w:ascii="Times New Roman" w:hAnsi="Times New Roman" w:eastAsia="宋体" w:cstheme="minorBidi"/>
                <w:kern w:val="2"/>
                <w:sz w:val="24"/>
                <w:szCs w:val="24"/>
                <w:highlight w:val="none"/>
                <w:lang w:val="en-US" w:eastAsia="zh-CN" w:bidi="ar-SA"/>
              </w:rPr>
              <w:t>①</w:t>
            </w:r>
            <w:r>
              <w:rPr>
                <w:rFonts w:hint="eastAsia" w:ascii="Times New Roman" w:hAnsi="Times New Roman" w:eastAsia="宋体" w:cstheme="minorBidi"/>
                <w:kern w:val="2"/>
                <w:sz w:val="24"/>
                <w:szCs w:val="24"/>
                <w:highlight w:val="none"/>
                <w:lang w:val="en-US" w:eastAsia="zh-CN" w:bidi="ar-SA"/>
              </w:rPr>
              <w:t>生活污水</w:t>
            </w:r>
          </w:p>
          <w:p w14:paraId="43A0FD30">
            <w:pPr>
              <w:pStyle w:val="15"/>
              <w:spacing w:after="0" w:line="360" w:lineRule="auto"/>
              <w:ind w:left="0" w:leftChars="0" w:firstLine="480" w:firstLineChars="200"/>
              <w:rPr>
                <w:rFonts w:hint="default" w:ascii="Times New Roman" w:hAnsi="Times New Roman" w:eastAsia="宋体" w:cstheme="minorBidi"/>
                <w:kern w:val="2"/>
                <w:sz w:val="24"/>
                <w:szCs w:val="24"/>
                <w:highlight w:val="none"/>
                <w:lang w:val="en-US" w:eastAsia="zh-CN" w:bidi="ar-SA"/>
              </w:rPr>
            </w:pPr>
            <w:r>
              <w:rPr>
                <w:rFonts w:hint="eastAsia" w:ascii="Times New Roman" w:hAnsi="Times New Roman" w:eastAsia="宋体" w:cstheme="minorBidi"/>
                <w:kern w:val="2"/>
                <w:sz w:val="24"/>
                <w:szCs w:val="24"/>
                <w:highlight w:val="none"/>
                <w:lang w:val="en-US" w:eastAsia="zh-CN" w:bidi="ar-SA"/>
              </w:rPr>
              <w:t>本项目生活污水产生量为0.72m3/d（262.8m3/a）。生活污水排入防渗旱厕定期清掏不外排。</w:t>
            </w:r>
          </w:p>
          <w:p w14:paraId="49D780F4">
            <w:pPr>
              <w:pStyle w:val="15"/>
              <w:spacing w:after="0" w:line="360" w:lineRule="auto"/>
              <w:ind w:left="0" w:leftChars="0" w:firstLine="480" w:firstLineChars="200"/>
              <w:rPr>
                <w:rFonts w:hint="eastAsia" w:ascii="Times New Roman" w:hAnsi="Times New Roman" w:eastAsia="宋体" w:cstheme="minorBidi"/>
                <w:kern w:val="2"/>
                <w:sz w:val="24"/>
                <w:szCs w:val="24"/>
                <w:highlight w:val="none"/>
                <w:lang w:val="en-US" w:eastAsia="zh-CN" w:bidi="ar-SA"/>
              </w:rPr>
            </w:pPr>
            <w:r>
              <w:rPr>
                <w:rFonts w:hint="default" w:ascii="Times New Roman" w:hAnsi="Times New Roman" w:eastAsia="宋体" w:cstheme="minorBidi"/>
                <w:kern w:val="2"/>
                <w:sz w:val="24"/>
                <w:szCs w:val="24"/>
                <w:highlight w:val="none"/>
                <w:lang w:val="en-US" w:eastAsia="zh-CN" w:bidi="ar-SA"/>
              </w:rPr>
              <w:t>②</w:t>
            </w:r>
            <w:r>
              <w:rPr>
                <w:rFonts w:hint="eastAsia" w:ascii="Times New Roman" w:hAnsi="Times New Roman" w:eastAsia="宋体" w:cstheme="minorBidi"/>
                <w:kern w:val="2"/>
                <w:sz w:val="24"/>
                <w:szCs w:val="24"/>
                <w:highlight w:val="none"/>
                <w:lang w:val="en-US" w:eastAsia="zh-CN" w:bidi="ar-SA"/>
              </w:rPr>
              <w:t>蒸汽冷凝水</w:t>
            </w:r>
          </w:p>
          <w:p w14:paraId="3AD2B1EB">
            <w:pPr>
              <w:pStyle w:val="15"/>
              <w:spacing w:after="0" w:line="360" w:lineRule="auto"/>
              <w:ind w:left="0" w:leftChars="0" w:firstLine="480" w:firstLineChars="200"/>
              <w:rPr>
                <w:rFonts w:hint="eastAsia" w:ascii="Times New Roman" w:hAnsi="Times New Roman" w:eastAsia="宋体" w:cstheme="minorBidi"/>
                <w:kern w:val="2"/>
                <w:sz w:val="24"/>
                <w:szCs w:val="24"/>
                <w:highlight w:val="none"/>
                <w:lang w:val="en-US" w:eastAsia="zh-CN" w:bidi="ar-SA"/>
              </w:rPr>
            </w:pPr>
            <w:r>
              <w:rPr>
                <w:rFonts w:hint="eastAsia" w:ascii="Times New Roman" w:hAnsi="Times New Roman" w:eastAsia="宋体" w:cstheme="minorBidi"/>
                <w:kern w:val="2"/>
                <w:sz w:val="24"/>
                <w:szCs w:val="24"/>
                <w:highlight w:val="none"/>
                <w:lang w:val="en-US" w:eastAsia="zh-CN" w:bidi="ar-SA"/>
              </w:rPr>
              <w:t>本项目聚苯乙烯泡沫制品生产过程中使用蒸汽，生产过程中预发机蒸汽使用量占整体蒸汽使用量的30%，成型机蒸汽使用量占整体蒸汽使用量的50%，烘干工序蒸汽使用量占整体蒸汽使用量的20%。</w:t>
            </w:r>
          </w:p>
          <w:p w14:paraId="4A891028">
            <w:pPr>
              <w:pStyle w:val="15"/>
              <w:spacing w:after="0" w:line="360" w:lineRule="auto"/>
              <w:ind w:left="0" w:leftChars="0" w:firstLine="480" w:firstLineChars="200"/>
              <w:rPr>
                <w:rFonts w:hint="default" w:ascii="Times New Roman" w:hAnsi="Times New Roman" w:eastAsia="宋体" w:cstheme="minorBidi"/>
                <w:kern w:val="2"/>
                <w:sz w:val="24"/>
                <w:szCs w:val="24"/>
                <w:highlight w:val="none"/>
                <w:lang w:val="en-US" w:eastAsia="zh-CN" w:bidi="ar-SA"/>
              </w:rPr>
            </w:pPr>
            <w:r>
              <w:rPr>
                <w:rFonts w:hint="eastAsia" w:ascii="Times New Roman" w:hAnsi="Times New Roman" w:eastAsia="宋体" w:cstheme="minorBidi"/>
                <w:kern w:val="2"/>
                <w:sz w:val="24"/>
                <w:szCs w:val="24"/>
                <w:highlight w:val="none"/>
                <w:lang w:val="en-US" w:eastAsia="zh-CN" w:bidi="ar-SA"/>
              </w:rPr>
              <w:t>其中预发机发泡为直接加热，蒸汽在EPS颗粒内冷凝，释放出热量以软化EPS；成型、烘干采用间接加热形式。本项目冷凝水通过管道排入厂区冷凝水收集池（4个，每个容积为30m3），收集后送入冷却水循环系统，作为冷却补充水使用，不外排。</w:t>
            </w:r>
          </w:p>
          <w:p w14:paraId="62F536E8">
            <w:pPr>
              <w:pStyle w:val="15"/>
              <w:spacing w:after="0" w:line="360" w:lineRule="auto"/>
              <w:ind w:left="0" w:leftChars="0" w:firstLine="480" w:firstLineChars="200"/>
              <w:rPr>
                <w:rFonts w:hint="eastAsia"/>
                <w:sz w:val="24"/>
                <w:szCs w:val="24"/>
                <w:highlight w:val="none"/>
                <w:lang w:val="en-US" w:eastAsia="zh-CN"/>
              </w:rPr>
            </w:pPr>
            <w:r>
              <w:rPr>
                <w:rFonts w:hint="eastAsia" w:ascii="Times New Roman" w:hAnsi="Times New Roman" w:eastAsia="宋体" w:cstheme="minorBidi"/>
                <w:kern w:val="2"/>
                <w:sz w:val="24"/>
                <w:szCs w:val="24"/>
                <w:highlight w:val="none"/>
                <w:lang w:val="en-US" w:eastAsia="zh-CN" w:bidi="ar-SA"/>
              </w:rPr>
              <w:t>本项目蒸汽使用量为3000t/a，蒸汽水份损耗量约40%，进入气体蒸汽量1800t/a，冷凝器冷凝效率取90%，则项目冷凝水产生量为1620t/a（4.438t/d）该部分冷凝水作为冷却系统补充水，不外排。</w:t>
            </w:r>
          </w:p>
          <w:p w14:paraId="7181E8E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本项目水平衡图见下图。</w:t>
            </w:r>
          </w:p>
          <w:p w14:paraId="6FC886CC">
            <w:pPr>
              <w:pStyle w:val="30"/>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eastAsia="宋体" w:cs="Times New Roman"/>
                <w:kern w:val="0"/>
                <w:szCs w:val="24"/>
                <w:highlight w:val="none"/>
                <w:lang w:eastAsia="zh-CN"/>
              </w:rPr>
            </w:pPr>
            <w:r>
              <w:rPr>
                <w:rFonts w:hint="eastAsia" w:ascii="Times New Roman" w:hAnsi="Times New Roman" w:eastAsia="宋体" w:cs="Times New Roman"/>
                <w:kern w:val="0"/>
                <w:szCs w:val="24"/>
                <w:highlight w:val="none"/>
                <w:lang w:eastAsia="zh-CN"/>
              </w:rPr>
              <w:drawing>
                <wp:inline distT="0" distB="0" distL="114300" distR="114300">
                  <wp:extent cx="5269230" cy="3108325"/>
                  <wp:effectExtent l="0" t="0" r="7620" b="15875"/>
                  <wp:docPr id="21" name="图片 21" descr="1741761777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741761777401"/>
                          <pic:cNvPicPr>
                            <a:picLocks noChangeAspect="1"/>
                          </pic:cNvPicPr>
                        </pic:nvPicPr>
                        <pic:blipFill>
                          <a:blip r:embed="rId21"/>
                          <a:stretch>
                            <a:fillRect/>
                          </a:stretch>
                        </pic:blipFill>
                        <pic:spPr>
                          <a:xfrm>
                            <a:off x="0" y="0"/>
                            <a:ext cx="5269230" cy="3108325"/>
                          </a:xfrm>
                          <a:prstGeom prst="rect">
                            <a:avLst/>
                          </a:prstGeom>
                        </pic:spPr>
                      </pic:pic>
                    </a:graphicData>
                  </a:graphic>
                </wp:inline>
              </w:drawing>
            </w:r>
          </w:p>
          <w:p w14:paraId="298B98D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黑体" w:cs="Times New Roman"/>
                <w:kern w:val="0"/>
                <w:sz w:val="21"/>
                <w:szCs w:val="21"/>
                <w:highlight w:val="none"/>
                <w:lang w:val="en-US" w:eastAsia="zh-CN"/>
              </w:rPr>
            </w:pPr>
            <w:r>
              <w:rPr>
                <w:rFonts w:hint="eastAsia" w:ascii="Times New Roman" w:hAnsi="Times New Roman" w:eastAsia="黑体" w:cs="Times New Roman"/>
                <w:kern w:val="0"/>
                <w:sz w:val="21"/>
                <w:szCs w:val="21"/>
                <w:highlight w:val="none"/>
              </w:rPr>
              <w:t>图</w:t>
            </w:r>
            <w:r>
              <w:rPr>
                <w:rFonts w:hint="eastAsia" w:ascii="Times New Roman" w:hAnsi="Times New Roman" w:eastAsia="黑体" w:cs="Times New Roman"/>
                <w:kern w:val="0"/>
                <w:sz w:val="21"/>
                <w:szCs w:val="21"/>
                <w:highlight w:val="none"/>
                <w:lang w:val="en-US" w:eastAsia="zh-CN"/>
              </w:rPr>
              <w:t>2-</w:t>
            </w:r>
            <w:r>
              <w:rPr>
                <w:rFonts w:hint="eastAsia" w:ascii="Times New Roman" w:hAnsi="Times New Roman" w:eastAsia="黑体" w:cs="Times New Roman"/>
                <w:kern w:val="0"/>
                <w:sz w:val="21"/>
                <w:szCs w:val="21"/>
                <w:highlight w:val="none"/>
              </w:rPr>
              <w:t>1 水平衡图</w:t>
            </w:r>
            <w:r>
              <w:rPr>
                <w:rFonts w:hint="eastAsia" w:ascii="Times New Roman" w:hAnsi="Times New Roman" w:eastAsia="黑体" w:cs="Times New Roman"/>
                <w:kern w:val="0"/>
                <w:sz w:val="21"/>
                <w:szCs w:val="21"/>
                <w:highlight w:val="none"/>
                <w:lang w:val="en-US" w:eastAsia="zh-CN"/>
              </w:rPr>
              <w:t xml:space="preserve"> </w:t>
            </w:r>
            <w:r>
              <w:rPr>
                <w:rFonts w:hint="eastAsia" w:ascii="Times New Roman" w:hAnsi="Times New Roman" w:eastAsia="黑体" w:cs="Times New Roman"/>
                <w:kern w:val="0"/>
                <w:sz w:val="21"/>
                <w:szCs w:val="21"/>
                <w:highlight w:val="none"/>
              </w:rPr>
              <w:t>单位：m3/</w:t>
            </w:r>
            <w:r>
              <w:rPr>
                <w:rFonts w:hint="eastAsia" w:ascii="Times New Roman" w:hAnsi="Times New Roman" w:eastAsia="黑体" w:cs="Times New Roman"/>
                <w:kern w:val="0"/>
                <w:sz w:val="21"/>
                <w:szCs w:val="21"/>
                <w:highlight w:val="none"/>
                <w:lang w:val="en-US" w:eastAsia="zh-CN"/>
              </w:rPr>
              <w:t>d</w:t>
            </w:r>
          </w:p>
          <w:p w14:paraId="5A871718">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b/>
                <w:bCs/>
                <w:color w:val="auto"/>
                <w:sz w:val="28"/>
                <w:highlight w:val="yellow"/>
                <w:vertAlign w:val="baseline"/>
                <w:lang w:val="en-US" w:eastAsia="zh-CN"/>
              </w:rPr>
            </w:pPr>
          </w:p>
          <w:p w14:paraId="65917393">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b/>
                <w:bCs/>
                <w:color w:val="auto"/>
                <w:sz w:val="28"/>
                <w:highlight w:val="yellow"/>
                <w:vertAlign w:val="baseline"/>
                <w:lang w:val="en-US" w:eastAsia="zh-CN"/>
              </w:rPr>
            </w:pPr>
          </w:p>
          <w:p w14:paraId="50777B5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color w:val="auto"/>
                <w:highlight w:val="yellow"/>
                <w:vertAlign w:val="baseline"/>
                <w:lang w:val="en-US" w:eastAsia="zh-CN"/>
              </w:rPr>
            </w:pPr>
          </w:p>
        </w:tc>
      </w:tr>
      <w:tr w14:paraId="0133C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0235C19C">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b w:val="0"/>
                <w:bCs w:val="0"/>
                <w:color w:val="auto"/>
                <w:sz w:val="24"/>
                <w:szCs w:val="24"/>
                <w:highlight w:val="none"/>
                <w:vertAlign w:val="baseline"/>
                <w:lang w:val="en-US" w:eastAsia="zh-CN"/>
              </w:rPr>
            </w:pPr>
            <w:r>
              <w:rPr>
                <w:rFonts w:hint="eastAsia" w:ascii="宋体" w:hAnsi="宋体" w:eastAsia="宋体" w:cs="Times New Roman"/>
                <w:b w:val="0"/>
                <w:bCs w:val="0"/>
                <w:color w:val="auto"/>
                <w:sz w:val="24"/>
                <w:szCs w:val="24"/>
                <w:highlight w:val="none"/>
                <w:lang w:val="en-US" w:eastAsia="zh-CN"/>
              </w:rPr>
              <w:t>主要工艺流程及产污环节（附处理工艺流程图，标出产污节点）</w:t>
            </w:r>
          </w:p>
          <w:p w14:paraId="157E39D9">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工艺流程</w:t>
            </w:r>
          </w:p>
          <w:p w14:paraId="2E036BB1">
            <w:pPr>
              <w:pStyle w:val="4"/>
              <w:bidi w:val="0"/>
              <w:rPr>
                <w:rFonts w:hint="eastAsia"/>
                <w:color w:val="auto"/>
                <w:highlight w:val="none"/>
                <w:lang w:val="en-US" w:eastAsia="zh-CN"/>
              </w:rPr>
            </w:pPr>
            <w:r>
              <w:rPr>
                <w:rFonts w:hint="eastAsia"/>
                <w:color w:val="auto"/>
                <w:highlight w:val="none"/>
                <w:lang w:val="en-US" w:eastAsia="zh-CN"/>
              </w:rPr>
              <w:t>1木制品生产线工艺流程简述</w:t>
            </w:r>
          </w:p>
          <w:p w14:paraId="7A17AF7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2"/>
                <w:highlight w:val="none"/>
                <w:lang w:val="en-US" w:eastAsia="zh-CN"/>
              </w:rPr>
            </w:pPr>
            <w:r>
              <w:rPr>
                <w:rFonts w:hint="eastAsia" w:ascii="Times New Roman" w:hAnsi="Times New Roman" w:eastAsia="宋体" w:cs="Times New Roman"/>
                <w:color w:val="auto"/>
                <w:sz w:val="24"/>
                <w:szCs w:val="22"/>
                <w:highlight w:val="none"/>
                <w:lang w:val="en-US" w:eastAsia="zh-CN"/>
              </w:rPr>
              <w:t>本项目木制品加工仅为钉枪</w:t>
            </w:r>
            <w:r>
              <w:rPr>
                <w:rFonts w:hint="eastAsia" w:eastAsia="宋体" w:cs="Times New Roman"/>
                <w:color w:val="auto"/>
                <w:sz w:val="24"/>
                <w:szCs w:val="22"/>
                <w:highlight w:val="none"/>
                <w:lang w:val="en-US" w:eastAsia="zh-CN"/>
              </w:rPr>
              <w:t>固定</w:t>
            </w:r>
            <w:r>
              <w:rPr>
                <w:rFonts w:hint="eastAsia" w:ascii="Times New Roman" w:hAnsi="Times New Roman" w:eastAsia="宋体" w:cs="Times New Roman"/>
                <w:color w:val="auto"/>
                <w:sz w:val="24"/>
                <w:szCs w:val="22"/>
                <w:highlight w:val="none"/>
                <w:lang w:val="en-US" w:eastAsia="zh-CN"/>
              </w:rPr>
              <w:t>工序，无烘干、涂刷等加工过程。</w:t>
            </w:r>
          </w:p>
          <w:p w14:paraId="17DD2F2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2"/>
                <w:highlight w:val="none"/>
                <w:lang w:val="en-US" w:eastAsia="zh-CN"/>
              </w:rPr>
            </w:pPr>
            <w:r>
              <w:rPr>
                <w:rFonts w:hint="eastAsia" w:ascii="Times New Roman" w:hAnsi="Times New Roman" w:eastAsia="宋体" w:cs="Times New Roman"/>
                <w:color w:val="auto"/>
                <w:sz w:val="24"/>
                <w:szCs w:val="22"/>
                <w:highlight w:val="none"/>
                <w:lang w:val="en-US" w:eastAsia="zh-CN"/>
              </w:rPr>
              <w:t>1.1木材进场</w:t>
            </w:r>
          </w:p>
          <w:p w14:paraId="7965EA7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2"/>
                <w:highlight w:val="none"/>
                <w:lang w:val="en-US" w:eastAsia="zh-CN"/>
              </w:rPr>
            </w:pPr>
            <w:r>
              <w:rPr>
                <w:rFonts w:hint="eastAsia" w:ascii="Times New Roman" w:hAnsi="Times New Roman" w:eastAsia="宋体" w:cs="Times New Roman"/>
                <w:color w:val="auto"/>
                <w:sz w:val="24"/>
                <w:szCs w:val="22"/>
                <w:highlight w:val="none"/>
                <w:lang w:val="en-US" w:eastAsia="zh-CN"/>
              </w:rPr>
              <w:t>本项目根据市场行情购入木材半成品，木材半成品</w:t>
            </w:r>
            <w:r>
              <w:rPr>
                <w:rFonts w:hint="eastAsia" w:cs="Times New Roman"/>
                <w:color w:val="auto"/>
                <w:sz w:val="24"/>
                <w:szCs w:val="22"/>
                <w:highlight w:val="none"/>
                <w:lang w:val="en-US" w:eastAsia="zh-CN"/>
              </w:rPr>
              <w:t>由</w:t>
            </w:r>
            <w:r>
              <w:rPr>
                <w:rFonts w:hint="eastAsia" w:ascii="Times New Roman" w:hAnsi="Times New Roman" w:eastAsia="宋体" w:cs="Times New Roman"/>
                <w:color w:val="auto"/>
                <w:sz w:val="24"/>
                <w:szCs w:val="22"/>
                <w:highlight w:val="none"/>
                <w:lang w:val="en-US" w:eastAsia="zh-CN"/>
              </w:rPr>
              <w:t>车货运入场，</w:t>
            </w:r>
            <w:r>
              <w:rPr>
                <w:rFonts w:hint="eastAsia" w:cs="Times New Roman"/>
                <w:color w:val="auto"/>
                <w:sz w:val="24"/>
                <w:szCs w:val="22"/>
                <w:highlight w:val="none"/>
                <w:lang w:val="en-US" w:eastAsia="zh-CN"/>
              </w:rPr>
              <w:t>现用现运，不在厂内贮存</w:t>
            </w:r>
          </w:p>
          <w:p w14:paraId="34FFEF3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2"/>
                <w:highlight w:val="none"/>
                <w:lang w:val="en-US" w:eastAsia="zh-CN"/>
              </w:rPr>
            </w:pPr>
            <w:r>
              <w:rPr>
                <w:rFonts w:hint="eastAsia" w:ascii="Calibri" w:hAnsi="Calibri" w:cs="Calibri"/>
                <w:color w:val="auto"/>
                <w:sz w:val="24"/>
                <w:szCs w:val="22"/>
                <w:highlight w:val="none"/>
                <w:lang w:val="en-US" w:eastAsia="zh-CN"/>
              </w:rPr>
              <w:t>1.2</w:t>
            </w:r>
            <w:r>
              <w:rPr>
                <w:rFonts w:hint="eastAsia" w:ascii="Times New Roman" w:hAnsi="Times New Roman" w:eastAsia="宋体" w:cs="Times New Roman"/>
                <w:color w:val="auto"/>
                <w:sz w:val="24"/>
                <w:szCs w:val="22"/>
                <w:highlight w:val="none"/>
                <w:lang w:val="en-US" w:eastAsia="zh-CN"/>
              </w:rPr>
              <w:t>木材加工</w:t>
            </w:r>
          </w:p>
          <w:p w14:paraId="1491210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2"/>
                <w:highlight w:val="none"/>
                <w:lang w:val="en-US" w:eastAsia="zh-CN"/>
              </w:rPr>
            </w:pPr>
            <w:r>
              <w:rPr>
                <w:rFonts w:hint="eastAsia" w:ascii="Times New Roman" w:hAnsi="Times New Roman" w:eastAsia="宋体" w:cs="Times New Roman"/>
                <w:color w:val="auto"/>
                <w:sz w:val="24"/>
                <w:szCs w:val="22"/>
                <w:highlight w:val="none"/>
                <w:lang w:val="en-US" w:eastAsia="zh-CN"/>
              </w:rPr>
              <w:t>钉枪固定</w:t>
            </w:r>
          </w:p>
          <w:p w14:paraId="26DD49D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2"/>
                <w:highlight w:val="none"/>
                <w:lang w:val="en-US" w:eastAsia="zh-CN"/>
              </w:rPr>
            </w:pPr>
            <w:r>
              <w:rPr>
                <w:rFonts w:hint="eastAsia" w:ascii="Times New Roman" w:hAnsi="Times New Roman" w:eastAsia="宋体" w:cs="Times New Roman"/>
                <w:color w:val="auto"/>
                <w:sz w:val="24"/>
                <w:szCs w:val="22"/>
                <w:highlight w:val="none"/>
                <w:lang w:val="en-US" w:eastAsia="zh-CN"/>
              </w:rPr>
              <w:t>木材半成品用钉枪进行固定，制作完成成品。</w:t>
            </w:r>
          </w:p>
          <w:p w14:paraId="4A4D707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2"/>
                <w:highlight w:val="none"/>
                <w:lang w:val="en-US" w:eastAsia="zh-CN"/>
              </w:rPr>
            </w:pPr>
            <w:r>
              <w:rPr>
                <w:rFonts w:hint="eastAsia" w:ascii="Times New Roman" w:hAnsi="Times New Roman" w:eastAsia="宋体" w:cs="Times New Roman"/>
                <w:color w:val="auto"/>
                <w:sz w:val="24"/>
                <w:szCs w:val="22"/>
                <w:highlight w:val="none"/>
                <w:lang w:val="en-US" w:eastAsia="zh-CN"/>
              </w:rPr>
              <w:t>1.3入库</w:t>
            </w:r>
          </w:p>
          <w:p w14:paraId="655562D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2"/>
                <w:highlight w:val="none"/>
                <w:lang w:val="en-US" w:eastAsia="zh-CN"/>
              </w:rPr>
            </w:pPr>
            <w:r>
              <w:rPr>
                <w:rFonts w:hint="eastAsia" w:ascii="Times New Roman" w:hAnsi="Times New Roman" w:eastAsia="宋体" w:cs="Times New Roman"/>
                <w:color w:val="auto"/>
                <w:sz w:val="24"/>
                <w:szCs w:val="22"/>
                <w:highlight w:val="none"/>
                <w:lang w:val="en-US" w:eastAsia="zh-CN"/>
              </w:rPr>
              <w:t>制作完成成品暂存于成品区域，由买方运输出厂。</w:t>
            </w:r>
          </w:p>
          <w:p w14:paraId="4B6A5D8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2"/>
                <w:highlight w:val="none"/>
                <w:lang w:val="en-US" w:eastAsia="zh-CN"/>
              </w:rPr>
            </w:pPr>
            <w:r>
              <w:rPr>
                <w:rFonts w:hint="eastAsia" w:ascii="Times New Roman" w:hAnsi="Times New Roman" w:eastAsia="宋体" w:cs="Times New Roman"/>
                <w:color w:val="auto"/>
                <w:sz w:val="24"/>
                <w:szCs w:val="22"/>
                <w:highlight w:val="none"/>
                <w:lang w:val="en-US" w:eastAsia="zh-CN"/>
              </w:rPr>
              <w:t>工艺流程及产排污节点图如下图所示。</w:t>
            </w:r>
          </w:p>
          <w:p w14:paraId="786153D9">
            <w:pPr>
              <w:keepNext w:val="0"/>
              <w:keepLines w:val="0"/>
              <w:pageBreakBefore w:val="0"/>
              <w:numPr>
                <w:ilvl w:val="0"/>
                <w:numId w:val="0"/>
              </w:numPr>
              <w:kinsoku/>
              <w:wordWrap/>
              <w:overflowPunct/>
              <w:topLinePunct w:val="0"/>
              <w:autoSpaceDE/>
              <w:autoSpaceDN/>
              <w:bidi w:val="0"/>
              <w:spacing w:line="360" w:lineRule="auto"/>
              <w:ind w:right="0"/>
              <w:jc w:val="center"/>
              <w:textAlignment w:val="auto"/>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drawing>
                <wp:inline distT="0" distB="0" distL="114300" distR="114300">
                  <wp:extent cx="4933950" cy="1562100"/>
                  <wp:effectExtent l="0" t="0" r="0" b="0"/>
                  <wp:docPr id="15" name="图片 15" descr="173457734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734577349646"/>
                          <pic:cNvPicPr>
                            <a:picLocks noChangeAspect="1"/>
                          </pic:cNvPicPr>
                        </pic:nvPicPr>
                        <pic:blipFill>
                          <a:blip r:embed="rId22"/>
                          <a:stretch>
                            <a:fillRect/>
                          </a:stretch>
                        </pic:blipFill>
                        <pic:spPr>
                          <a:xfrm>
                            <a:off x="0" y="0"/>
                            <a:ext cx="4933950" cy="1562100"/>
                          </a:xfrm>
                          <a:prstGeom prst="rect">
                            <a:avLst/>
                          </a:prstGeom>
                        </pic:spPr>
                      </pic:pic>
                    </a:graphicData>
                  </a:graphic>
                </wp:inline>
              </w:drawing>
            </w:r>
          </w:p>
          <w:p w14:paraId="35F2395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黑体" w:cs="Times New Roman"/>
                <w:kern w:val="0"/>
                <w:sz w:val="21"/>
                <w:szCs w:val="21"/>
                <w:highlight w:val="none"/>
                <w:lang w:val="en-US" w:eastAsia="zh-CN"/>
              </w:rPr>
            </w:pPr>
            <w:r>
              <w:rPr>
                <w:rFonts w:hint="eastAsia" w:ascii="Times New Roman" w:hAnsi="Times New Roman" w:eastAsia="黑体" w:cs="Times New Roman"/>
                <w:kern w:val="0"/>
                <w:sz w:val="21"/>
                <w:szCs w:val="21"/>
                <w:highlight w:val="none"/>
                <w:lang w:val="en-US" w:eastAsia="zh-CN"/>
              </w:rPr>
              <w:t>图2-2木制品生产工艺流程图</w:t>
            </w:r>
          </w:p>
          <w:p w14:paraId="24D61C4D">
            <w:pPr>
              <w:pStyle w:val="4"/>
              <w:bidi w:val="0"/>
              <w:rPr>
                <w:rFonts w:hint="eastAsia"/>
                <w:color w:val="auto"/>
                <w:szCs w:val="22"/>
                <w:highlight w:val="none"/>
                <w:lang w:val="en-US" w:eastAsia="zh-CN"/>
              </w:rPr>
            </w:pPr>
            <w:r>
              <w:rPr>
                <w:rFonts w:hint="eastAsia"/>
                <w:color w:val="auto"/>
                <w:highlight w:val="none"/>
                <w:lang w:val="en-US" w:eastAsia="zh-CN"/>
              </w:rPr>
              <w:t>2 EPS</w:t>
            </w:r>
            <w:r>
              <w:rPr>
                <w:rFonts w:hint="eastAsia" w:ascii="Times New Roman" w:hAnsi="Times New Roman" w:eastAsia="宋体" w:cs="Times New Roman"/>
                <w:color w:val="auto"/>
                <w:highlight w:val="none"/>
                <w:lang w:val="en-US" w:eastAsia="zh-CN"/>
              </w:rPr>
              <w:t>泡沫制品包装生</w:t>
            </w:r>
            <w:r>
              <w:rPr>
                <w:rFonts w:hint="eastAsia"/>
                <w:color w:val="auto"/>
                <w:highlight w:val="none"/>
                <w:lang w:val="en-US" w:eastAsia="zh-CN"/>
              </w:rPr>
              <w:t>产线工艺流程简述</w:t>
            </w:r>
          </w:p>
          <w:p w14:paraId="76A92DC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2"/>
                <w:highlight w:val="none"/>
                <w:lang w:val="en-US" w:eastAsia="zh-CN"/>
              </w:rPr>
            </w:pPr>
            <w:r>
              <w:rPr>
                <w:rFonts w:hint="eastAsia"/>
                <w:color w:val="auto"/>
                <w:sz w:val="24"/>
                <w:szCs w:val="22"/>
                <w:highlight w:val="none"/>
                <w:lang w:val="en-US" w:eastAsia="zh-CN"/>
              </w:rPr>
              <w:t>原料可发性聚苯乙烯（EPS），在蒸汽热力的作用下，经预发、熟化、成型、干燥操作，最后包装入库或直接装车出售。</w:t>
            </w:r>
          </w:p>
          <w:p w14:paraId="0BA7CD8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szCs w:val="22"/>
                <w:highlight w:val="none"/>
                <w:lang w:val="en-US" w:eastAsia="zh-CN"/>
              </w:rPr>
            </w:pPr>
            <w:r>
              <w:rPr>
                <w:rFonts w:hint="eastAsia" w:ascii="Times New Roman" w:hAnsi="Times New Roman" w:cs="Times New Roman"/>
                <w:color w:val="auto"/>
                <w:sz w:val="24"/>
                <w:szCs w:val="22"/>
                <w:highlight w:val="none"/>
                <w:lang w:val="en-US" w:eastAsia="zh-CN"/>
              </w:rPr>
              <w:t>2.1预发</w:t>
            </w:r>
          </w:p>
          <w:p w14:paraId="39B6584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szCs w:val="22"/>
                <w:highlight w:val="none"/>
                <w:lang w:val="en-US" w:eastAsia="zh-CN"/>
              </w:rPr>
            </w:pPr>
            <w:r>
              <w:rPr>
                <w:rFonts w:hint="eastAsia"/>
                <w:color w:val="auto"/>
                <w:sz w:val="24"/>
                <w:szCs w:val="22"/>
                <w:highlight w:val="none"/>
                <w:lang w:val="en-US" w:eastAsia="zh-CN"/>
              </w:rPr>
              <w:t>原料EPS颗粒通过人工投放至间歇式预发机进行挤出发泡，</w:t>
            </w:r>
            <w:r>
              <w:rPr>
                <w:rFonts w:hint="eastAsia" w:ascii="Times New Roman" w:hAnsi="Times New Roman" w:cs="Times New Roman"/>
                <w:color w:val="auto"/>
                <w:sz w:val="24"/>
                <w:szCs w:val="22"/>
                <w:highlight w:val="none"/>
                <w:lang w:val="en-US" w:eastAsia="zh-CN"/>
              </w:rPr>
              <w:t>原料可发性聚苯乙烯（EPS），在蒸汽热力的作用下，加热至80℃以上，含有发泡剂的聚苯乙烯开始软化，珠粒内的发泡剂受热并汽化，产生压力，使珠粒膨胀，同时蒸汽对EPS珠粒进行快速渗透，使发泡气体大多数留在泡孔内，从而使泡孔中总压力增加，发泡剂在泡孔中来不及逸出，使聚合物牵伸至橡胶状态，其强度足以平衡内部压力，从而使珠粒预发。</w:t>
            </w:r>
          </w:p>
          <w:p w14:paraId="051E201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szCs w:val="22"/>
                <w:highlight w:val="none"/>
                <w:lang w:val="en-US" w:eastAsia="zh-CN"/>
              </w:rPr>
            </w:pPr>
            <w:r>
              <w:rPr>
                <w:rFonts w:hint="eastAsia" w:ascii="Times New Roman" w:hAnsi="Times New Roman" w:cs="Times New Roman"/>
                <w:color w:val="auto"/>
                <w:sz w:val="24"/>
                <w:szCs w:val="22"/>
                <w:highlight w:val="none"/>
                <w:lang w:val="en-US" w:eastAsia="zh-CN"/>
              </w:rPr>
              <w:t>2.2熟化</w:t>
            </w:r>
          </w:p>
          <w:p w14:paraId="3AAB8D2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2"/>
                <w:highlight w:val="none"/>
                <w:lang w:val="en-US" w:eastAsia="zh-CN"/>
              </w:rPr>
            </w:pPr>
            <w:r>
              <w:rPr>
                <w:rFonts w:hint="eastAsia" w:ascii="Times New Roman" w:hAnsi="Times New Roman" w:cs="Times New Roman"/>
                <w:color w:val="auto"/>
                <w:sz w:val="24"/>
                <w:szCs w:val="22"/>
                <w:highlight w:val="none"/>
                <w:lang w:val="en-US" w:eastAsia="zh-CN"/>
              </w:rPr>
              <w:t>预发后的珠</w:t>
            </w:r>
            <w:r>
              <w:rPr>
                <w:rFonts w:hint="eastAsia"/>
                <w:color w:val="auto"/>
                <w:sz w:val="24"/>
                <w:szCs w:val="22"/>
                <w:highlight w:val="none"/>
                <w:lang w:val="en-US" w:eastAsia="zh-CN"/>
              </w:rPr>
              <w:t>粒中保留有一定量的发泡剂和水蒸汽，待出机冷却时，发泡剂和水蒸汽冷凝为液体，液体发泡剂已融入聚苯乙烯中，气泡中的压力很快降低，泡内出现负压，此时发泡珠粒很软，易变质。所以预发后珠粒必须放凉一段时间，一方面使其干燥，另一方面使其渗入空气以消除负压，此阶段称为熟化。本项目熟化过程为封闭熟化料仓进行熟化。</w:t>
            </w:r>
          </w:p>
          <w:p w14:paraId="1A7380A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2"/>
                <w:highlight w:val="none"/>
                <w:lang w:val="en-US" w:eastAsia="zh-CN"/>
              </w:rPr>
            </w:pPr>
            <w:r>
              <w:rPr>
                <w:rFonts w:hint="eastAsia" w:ascii="Times New Roman" w:hAnsi="Times New Roman" w:cs="Times New Roman"/>
                <w:color w:val="auto"/>
                <w:sz w:val="24"/>
                <w:szCs w:val="22"/>
                <w:highlight w:val="none"/>
                <w:lang w:val="en-US" w:eastAsia="zh-CN"/>
              </w:rPr>
              <w:t>2.3成型</w:t>
            </w:r>
            <w:r>
              <w:rPr>
                <w:rFonts w:hint="eastAsia" w:cs="Times New Roman"/>
                <w:color w:val="auto"/>
                <w:sz w:val="24"/>
                <w:szCs w:val="22"/>
                <w:highlight w:val="none"/>
                <w:lang w:val="en-US" w:eastAsia="zh-CN"/>
              </w:rPr>
              <w:t>、冷却</w:t>
            </w:r>
          </w:p>
          <w:p w14:paraId="375B68E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2"/>
                <w:highlight w:val="none"/>
                <w:lang w:val="en-US" w:eastAsia="zh-CN"/>
              </w:rPr>
            </w:pPr>
            <w:r>
              <w:rPr>
                <w:rFonts w:hint="eastAsia" w:ascii="Times New Roman" w:hAnsi="Times New Roman" w:cs="Times New Roman"/>
                <w:color w:val="auto"/>
                <w:sz w:val="24"/>
                <w:szCs w:val="22"/>
                <w:highlight w:val="none"/>
                <w:lang w:val="en-US" w:eastAsia="zh-CN"/>
              </w:rPr>
              <w:t>将熟化后的可发性聚苯乙烯珠粒经软连接吹送至密闭的型腔，并填满型腔，在较短</w:t>
            </w:r>
            <w:r>
              <w:rPr>
                <w:rFonts w:hint="eastAsia"/>
                <w:color w:val="auto"/>
                <w:sz w:val="24"/>
                <w:szCs w:val="22"/>
                <w:highlight w:val="none"/>
                <w:lang w:val="en-US" w:eastAsia="zh-CN"/>
              </w:rPr>
              <w:t>的时间内将蒸汽通入型腔内，使预发后的珠粒受热、软化、膨胀。由于型腔的限制，膨胀的珠粒得以填满全部空隙，完全粘结成为一体，经冷却定型后（用水冷却成型机夹套模具），脱模，即成为泡沫塑料制品。</w:t>
            </w:r>
          </w:p>
          <w:p w14:paraId="184B016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2"/>
                <w:highlight w:val="none"/>
                <w:lang w:val="en-US" w:eastAsia="zh-CN"/>
              </w:rPr>
            </w:pPr>
            <w:r>
              <w:rPr>
                <w:rFonts w:hint="eastAsia" w:ascii="Times New Roman" w:hAnsi="Times New Roman" w:cs="Times New Roman"/>
                <w:color w:val="auto"/>
                <w:sz w:val="24"/>
                <w:szCs w:val="22"/>
                <w:highlight w:val="none"/>
                <w:lang w:val="en-US" w:eastAsia="zh-CN"/>
              </w:rPr>
              <w:t>2.4</w:t>
            </w:r>
            <w:r>
              <w:rPr>
                <w:rFonts w:hint="eastAsia"/>
                <w:color w:val="auto"/>
                <w:sz w:val="24"/>
                <w:szCs w:val="22"/>
                <w:highlight w:val="none"/>
                <w:lang w:val="en-US" w:eastAsia="zh-CN"/>
              </w:rPr>
              <w:t>干燥</w:t>
            </w:r>
          </w:p>
          <w:p w14:paraId="7CCE9A5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olor w:val="auto"/>
                <w:sz w:val="24"/>
                <w:szCs w:val="22"/>
                <w:highlight w:val="none"/>
                <w:lang w:val="en-US" w:eastAsia="zh-CN"/>
              </w:rPr>
            </w:pPr>
            <w:r>
              <w:rPr>
                <w:rFonts w:hint="eastAsia"/>
                <w:color w:val="auto"/>
                <w:sz w:val="24"/>
                <w:szCs w:val="22"/>
                <w:highlight w:val="none"/>
                <w:lang w:val="en-US" w:eastAsia="zh-CN"/>
              </w:rPr>
              <w:t>经成型后的板材表面潮湿，为防止收缩变型，立即将板材放入50-60℃的干燥间内</w:t>
            </w:r>
            <w:r>
              <w:rPr>
                <w:rFonts w:hint="eastAsia" w:ascii="Times New Roman" w:hAnsi="Times New Roman" w:cs="Times New Roman"/>
                <w:color w:val="auto"/>
                <w:sz w:val="24"/>
                <w:szCs w:val="22"/>
                <w:highlight w:val="none"/>
                <w:lang w:val="en-US" w:eastAsia="zh-CN"/>
              </w:rPr>
              <w:t>干燥2-3h。干燥热源为蒸汽。蒸汽进入管道，通过管道散发热量至干燥室内使空气升温，干燥室内室温保持在50-</w:t>
            </w:r>
            <w:r>
              <w:rPr>
                <w:rFonts w:hint="eastAsia" w:ascii="Times New Roman" w:hAnsi="Times New Roman"/>
                <w:color w:val="auto"/>
                <w:sz w:val="24"/>
                <w:szCs w:val="22"/>
                <w:highlight w:val="none"/>
                <w:lang w:val="en-US" w:eastAsia="zh-CN"/>
              </w:rPr>
              <w:t>60℃，从而对泡沫包装产品进行干燥处理。</w:t>
            </w:r>
          </w:p>
          <w:p w14:paraId="61A0CCE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olor w:val="auto"/>
                <w:sz w:val="24"/>
                <w:szCs w:val="22"/>
                <w:highlight w:val="none"/>
                <w:lang w:val="en-US" w:eastAsia="zh-CN"/>
              </w:rPr>
            </w:pPr>
            <w:r>
              <w:rPr>
                <w:rFonts w:hint="eastAsia" w:ascii="Times New Roman" w:hAnsi="Times New Roman"/>
                <w:color w:val="auto"/>
                <w:sz w:val="24"/>
                <w:szCs w:val="22"/>
                <w:highlight w:val="none"/>
                <w:lang w:val="en-US" w:eastAsia="zh-CN"/>
              </w:rPr>
              <w:t>工艺流程及产排污节点图如下图所示。</w:t>
            </w:r>
          </w:p>
          <w:p w14:paraId="7CA8B63F">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color w:val="auto"/>
                <w:sz w:val="24"/>
                <w:szCs w:val="22"/>
                <w:highlight w:val="none"/>
                <w:lang w:val="en-US" w:eastAsia="zh-CN"/>
              </w:rPr>
            </w:pPr>
            <w:r>
              <w:rPr>
                <w:rFonts w:hint="eastAsia" w:ascii="Times New Roman" w:hAnsi="Times New Roman"/>
                <w:color w:val="auto"/>
                <w:sz w:val="24"/>
                <w:szCs w:val="22"/>
                <w:highlight w:val="none"/>
                <w:lang w:val="en-US" w:eastAsia="zh-CN"/>
              </w:rPr>
              <w:drawing>
                <wp:inline distT="0" distB="0" distL="114300" distR="114300">
                  <wp:extent cx="5272405" cy="3270885"/>
                  <wp:effectExtent l="0" t="0" r="4445" b="5715"/>
                  <wp:docPr id="36" name="图片 1" descr="174157514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descr="1741575149246"/>
                          <pic:cNvPicPr>
                            <a:picLocks noChangeAspect="1"/>
                          </pic:cNvPicPr>
                        </pic:nvPicPr>
                        <pic:blipFill>
                          <a:blip r:embed="rId23"/>
                          <a:stretch>
                            <a:fillRect/>
                          </a:stretch>
                        </pic:blipFill>
                        <pic:spPr>
                          <a:xfrm>
                            <a:off x="0" y="0"/>
                            <a:ext cx="5272405" cy="3270885"/>
                          </a:xfrm>
                          <a:prstGeom prst="rect">
                            <a:avLst/>
                          </a:prstGeom>
                          <a:noFill/>
                          <a:ln>
                            <a:noFill/>
                          </a:ln>
                        </pic:spPr>
                      </pic:pic>
                    </a:graphicData>
                  </a:graphic>
                </wp:inline>
              </w:drawing>
            </w:r>
          </w:p>
          <w:p w14:paraId="27BB2136">
            <w:pPr>
              <w:ind w:left="0" w:leftChars="0" w:firstLine="0" w:firstLineChars="0"/>
              <w:jc w:val="center"/>
              <w:rPr>
                <w:rFonts w:hint="eastAsia" w:ascii="Times New Roman" w:hAnsi="Times New Roman" w:eastAsia="黑体" w:cs="Times New Roman"/>
                <w:kern w:val="0"/>
                <w:sz w:val="21"/>
                <w:szCs w:val="21"/>
                <w:highlight w:val="none"/>
                <w:lang w:val="en-US" w:eastAsia="zh-CN"/>
              </w:rPr>
            </w:pPr>
            <w:r>
              <w:rPr>
                <w:rFonts w:hint="eastAsia" w:ascii="Times New Roman" w:hAnsi="Times New Roman" w:eastAsia="黑体" w:cs="Times New Roman"/>
                <w:kern w:val="0"/>
                <w:sz w:val="21"/>
                <w:szCs w:val="21"/>
                <w:highlight w:val="none"/>
                <w:lang w:val="en-US" w:eastAsia="zh-CN"/>
              </w:rPr>
              <w:t>图2-3 泡沫制品生产工艺流程图</w:t>
            </w:r>
          </w:p>
          <w:p w14:paraId="1672FCA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highlight w:val="none"/>
                <w:shd w:val="clear" w:color="auto" w:fill="auto"/>
                <w:lang w:val="en-US" w:eastAsia="zh-CN" w:bidi="ar"/>
              </w:rPr>
            </w:pPr>
            <w:r>
              <w:rPr>
                <w:rFonts w:hint="eastAsia" w:ascii="宋体" w:hAnsi="宋体" w:eastAsia="宋体" w:cs="宋体"/>
                <w:color w:val="000000"/>
                <w:kern w:val="0"/>
                <w:sz w:val="24"/>
                <w:szCs w:val="24"/>
                <w:highlight w:val="none"/>
                <w:shd w:val="clear" w:color="auto" w:fill="auto"/>
                <w:lang w:val="en-US" w:eastAsia="zh-CN" w:bidi="ar"/>
              </w:rPr>
              <w:t>本项目主要产污环节如下表所示。</w:t>
            </w:r>
          </w:p>
          <w:p w14:paraId="040F9E2D">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eastAsia" w:ascii="黑体" w:hAnsi="黑体" w:eastAsia="黑体" w:cs="黑体"/>
                <w:b w:val="0"/>
                <w:bCs/>
                <w:color w:val="auto"/>
                <w:kern w:val="2"/>
                <w:sz w:val="21"/>
                <w:szCs w:val="24"/>
                <w:highlight w:val="none"/>
                <w:lang w:val="en-US" w:eastAsia="zh-CN" w:bidi="ar-SA"/>
              </w:rPr>
            </w:pPr>
            <w:r>
              <w:rPr>
                <w:rFonts w:hint="eastAsia" w:ascii="黑体" w:hAnsi="黑体" w:eastAsia="黑体" w:cs="黑体"/>
                <w:b w:val="0"/>
                <w:bCs/>
                <w:color w:val="auto"/>
                <w:kern w:val="2"/>
                <w:sz w:val="21"/>
                <w:szCs w:val="24"/>
                <w:highlight w:val="none"/>
                <w:lang w:val="en-US" w:eastAsia="zh-CN" w:bidi="ar-SA"/>
              </w:rPr>
              <w:t>表2-7主要污染工序一览表</w:t>
            </w:r>
          </w:p>
          <w:tbl>
            <w:tblPr>
              <w:tblStyle w:val="24"/>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23" w:type="dxa"/>
                <w:left w:w="23" w:type="dxa"/>
                <w:bottom w:w="23" w:type="dxa"/>
                <w:right w:w="23" w:type="dxa"/>
              </w:tblCellMar>
            </w:tblPr>
            <w:tblGrid>
              <w:gridCol w:w="491"/>
              <w:gridCol w:w="716"/>
              <w:gridCol w:w="32"/>
              <w:gridCol w:w="1244"/>
              <w:gridCol w:w="826"/>
              <w:gridCol w:w="1470"/>
              <w:gridCol w:w="1953"/>
              <w:gridCol w:w="1571"/>
            </w:tblGrid>
            <w:tr w14:paraId="2B62A1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0" w:hRule="atLeast"/>
                <w:tblHeader/>
              </w:trPr>
              <w:tc>
                <w:tcPr>
                  <w:tcW w:w="295" w:type="pct"/>
                  <w:tcBorders>
                    <w:tl2br w:val="nil"/>
                    <w:tr2bl w:val="nil"/>
                  </w:tcBorders>
                  <w:noWrap w:val="0"/>
                  <w:vAlign w:val="center"/>
                </w:tcPr>
                <w:p w14:paraId="551ECE3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类型</w:t>
                  </w:r>
                </w:p>
              </w:tc>
              <w:tc>
                <w:tcPr>
                  <w:tcW w:w="1199" w:type="pct"/>
                  <w:gridSpan w:val="3"/>
                  <w:tcBorders>
                    <w:tl2br w:val="nil"/>
                    <w:tr2bl w:val="nil"/>
                  </w:tcBorders>
                  <w:noWrap w:val="0"/>
                  <w:vAlign w:val="center"/>
                </w:tcPr>
                <w:p w14:paraId="090EABE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产污环节</w:t>
                  </w:r>
                </w:p>
              </w:tc>
              <w:tc>
                <w:tcPr>
                  <w:tcW w:w="497" w:type="pct"/>
                  <w:tcBorders>
                    <w:tl2br w:val="nil"/>
                    <w:tr2bl w:val="nil"/>
                  </w:tcBorders>
                  <w:noWrap w:val="0"/>
                  <w:vAlign w:val="center"/>
                </w:tcPr>
                <w:p w14:paraId="10461D7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主要污染物</w:t>
                  </w:r>
                </w:p>
              </w:tc>
              <w:tc>
                <w:tcPr>
                  <w:tcW w:w="2061" w:type="pct"/>
                  <w:gridSpan w:val="2"/>
                  <w:tcBorders>
                    <w:tl2br w:val="nil"/>
                    <w:tr2bl w:val="nil"/>
                  </w:tcBorders>
                  <w:noWrap w:val="0"/>
                  <w:vAlign w:val="center"/>
                </w:tcPr>
                <w:p w14:paraId="00E3620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拟采取的治理措施</w:t>
                  </w:r>
                </w:p>
              </w:tc>
              <w:tc>
                <w:tcPr>
                  <w:tcW w:w="946" w:type="pct"/>
                  <w:tcBorders>
                    <w:tl2br w:val="nil"/>
                    <w:tr2bl w:val="nil"/>
                  </w:tcBorders>
                  <w:noWrap w:val="0"/>
                  <w:vAlign w:val="center"/>
                </w:tcPr>
                <w:p w14:paraId="3FA74C9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排放方式</w:t>
                  </w:r>
                </w:p>
              </w:tc>
            </w:tr>
            <w:tr w14:paraId="183395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0" w:hRule="atLeast"/>
                <w:tblHeader/>
              </w:trPr>
              <w:tc>
                <w:tcPr>
                  <w:tcW w:w="295" w:type="pct"/>
                  <w:vMerge w:val="restart"/>
                  <w:tcBorders>
                    <w:tl2br w:val="nil"/>
                    <w:tr2bl w:val="nil"/>
                  </w:tcBorders>
                  <w:noWrap w:val="0"/>
                  <w:vAlign w:val="center"/>
                </w:tcPr>
                <w:p w14:paraId="7D21E01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废气</w:t>
                  </w:r>
                </w:p>
              </w:tc>
              <w:tc>
                <w:tcPr>
                  <w:tcW w:w="1199" w:type="pct"/>
                  <w:gridSpan w:val="3"/>
                  <w:tcBorders>
                    <w:tl2br w:val="nil"/>
                    <w:tr2bl w:val="nil"/>
                  </w:tcBorders>
                  <w:noWrap w:val="0"/>
                  <w:vAlign w:val="center"/>
                </w:tcPr>
                <w:p w14:paraId="6F3BC3C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木制品车间</w:t>
                  </w:r>
                </w:p>
              </w:tc>
              <w:tc>
                <w:tcPr>
                  <w:tcW w:w="497" w:type="pct"/>
                  <w:tcBorders>
                    <w:tl2br w:val="nil"/>
                    <w:tr2bl w:val="nil"/>
                  </w:tcBorders>
                  <w:noWrap w:val="0"/>
                  <w:vAlign w:val="center"/>
                </w:tcPr>
                <w:p w14:paraId="502A350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颗粒物</w:t>
                  </w:r>
                </w:p>
              </w:tc>
              <w:tc>
                <w:tcPr>
                  <w:tcW w:w="2061" w:type="pct"/>
                  <w:gridSpan w:val="2"/>
                  <w:tcBorders>
                    <w:tl2br w:val="nil"/>
                    <w:tr2bl w:val="nil"/>
                  </w:tcBorders>
                  <w:noWrap w:val="0"/>
                  <w:vAlign w:val="center"/>
                </w:tcPr>
                <w:p w14:paraId="7DBA6B3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封闭厂房</w:t>
                  </w:r>
                </w:p>
              </w:tc>
              <w:tc>
                <w:tcPr>
                  <w:tcW w:w="946" w:type="pct"/>
                  <w:tcBorders>
                    <w:tl2br w:val="nil"/>
                    <w:tr2bl w:val="nil"/>
                  </w:tcBorders>
                  <w:noWrap w:val="0"/>
                  <w:vAlign w:val="center"/>
                </w:tcPr>
                <w:p w14:paraId="0E7C444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无组织排放</w:t>
                  </w:r>
                </w:p>
              </w:tc>
            </w:tr>
            <w:tr w14:paraId="7811D1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300" w:hRule="atLeast"/>
              </w:trPr>
              <w:tc>
                <w:tcPr>
                  <w:tcW w:w="295" w:type="pct"/>
                  <w:vMerge w:val="continue"/>
                  <w:tcBorders>
                    <w:tl2br w:val="nil"/>
                    <w:tr2bl w:val="nil"/>
                  </w:tcBorders>
                  <w:noWrap w:val="0"/>
                  <w:vAlign w:val="center"/>
                </w:tcPr>
                <w:p w14:paraId="1FEC038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p>
              </w:tc>
              <w:tc>
                <w:tcPr>
                  <w:tcW w:w="1199" w:type="pct"/>
                  <w:gridSpan w:val="3"/>
                  <w:tcBorders>
                    <w:tl2br w:val="nil"/>
                    <w:tr2bl w:val="nil"/>
                  </w:tcBorders>
                  <w:noWrap w:val="0"/>
                  <w:vAlign w:val="center"/>
                </w:tcPr>
                <w:p w14:paraId="3EF3927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泡沫制品包装生产预发</w:t>
                  </w:r>
                </w:p>
              </w:tc>
              <w:tc>
                <w:tcPr>
                  <w:tcW w:w="497" w:type="pct"/>
                  <w:vMerge w:val="restart"/>
                  <w:tcBorders>
                    <w:tl2br w:val="nil"/>
                    <w:tr2bl w:val="nil"/>
                  </w:tcBorders>
                  <w:noWrap w:val="0"/>
                  <w:vAlign w:val="center"/>
                </w:tcPr>
                <w:p w14:paraId="03C404A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非甲烷总烃、苯乙烯、甲苯、乙苯、颗粒物</w:t>
                  </w:r>
                </w:p>
              </w:tc>
              <w:tc>
                <w:tcPr>
                  <w:tcW w:w="885" w:type="pct"/>
                  <w:tcBorders>
                    <w:tl2br w:val="nil"/>
                    <w:tr2bl w:val="nil"/>
                  </w:tcBorders>
                  <w:noWrap w:val="0"/>
                  <w:vAlign w:val="center"/>
                </w:tcPr>
                <w:p w14:paraId="4A5C0C4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封闭厂房+局部密闭式集气罩</w:t>
                  </w:r>
                  <w:r>
                    <w:rPr>
                      <w:rFonts w:hint="eastAsia" w:cs="Times New Roman"/>
                      <w:color w:val="auto"/>
                      <w:sz w:val="21"/>
                      <w:szCs w:val="21"/>
                      <w:highlight w:val="none"/>
                      <w:lang w:val="en-US" w:eastAsia="zh-CN"/>
                    </w:rPr>
                    <w:t>/集气管道</w:t>
                  </w:r>
                </w:p>
              </w:tc>
              <w:tc>
                <w:tcPr>
                  <w:tcW w:w="1176" w:type="pct"/>
                  <w:tcBorders>
                    <w:tl2br w:val="nil"/>
                    <w:tr2bl w:val="nil"/>
                  </w:tcBorders>
                  <w:noWrap w:val="0"/>
                  <w:vAlign w:val="center"/>
                </w:tcPr>
                <w:p w14:paraId="096B4E9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布袋除尘器处理+三级活性炭吸附装置处理</w:t>
                  </w:r>
                </w:p>
              </w:tc>
              <w:tc>
                <w:tcPr>
                  <w:tcW w:w="946" w:type="pct"/>
                  <w:tcBorders>
                    <w:tl2br w:val="nil"/>
                    <w:tr2bl w:val="nil"/>
                  </w:tcBorders>
                  <w:noWrap w:val="0"/>
                  <w:vAlign w:val="center"/>
                </w:tcPr>
                <w:p w14:paraId="75584DF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经DA001排气筒有组织排放</w:t>
                  </w:r>
                </w:p>
              </w:tc>
            </w:tr>
            <w:tr w14:paraId="7E6B76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300" w:hRule="atLeast"/>
              </w:trPr>
              <w:tc>
                <w:tcPr>
                  <w:tcW w:w="295" w:type="pct"/>
                  <w:vMerge w:val="continue"/>
                  <w:tcBorders>
                    <w:tl2br w:val="nil"/>
                    <w:tr2bl w:val="nil"/>
                  </w:tcBorders>
                  <w:noWrap w:val="0"/>
                  <w:vAlign w:val="center"/>
                </w:tcPr>
                <w:p w14:paraId="01CF2A9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p>
              </w:tc>
              <w:tc>
                <w:tcPr>
                  <w:tcW w:w="1199" w:type="pct"/>
                  <w:gridSpan w:val="3"/>
                  <w:tcBorders>
                    <w:tl2br w:val="nil"/>
                    <w:tr2bl w:val="nil"/>
                  </w:tcBorders>
                  <w:noWrap w:val="0"/>
                  <w:vAlign w:val="center"/>
                </w:tcPr>
                <w:p w14:paraId="617E58A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熟化</w:t>
                  </w:r>
                </w:p>
              </w:tc>
              <w:tc>
                <w:tcPr>
                  <w:tcW w:w="497" w:type="pct"/>
                  <w:vMerge w:val="continue"/>
                  <w:tcBorders>
                    <w:tl2br w:val="nil"/>
                    <w:tr2bl w:val="nil"/>
                  </w:tcBorders>
                  <w:noWrap w:val="0"/>
                  <w:vAlign w:val="center"/>
                </w:tcPr>
                <w:p w14:paraId="1D329DE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p>
              </w:tc>
              <w:tc>
                <w:tcPr>
                  <w:tcW w:w="2061" w:type="pct"/>
                  <w:gridSpan w:val="2"/>
                  <w:tcBorders>
                    <w:tl2br w:val="nil"/>
                    <w:tr2bl w:val="nil"/>
                  </w:tcBorders>
                  <w:noWrap w:val="0"/>
                  <w:vAlign w:val="center"/>
                </w:tcPr>
                <w:p w14:paraId="311064F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密闭熟化仓</w:t>
                  </w:r>
                </w:p>
              </w:tc>
              <w:tc>
                <w:tcPr>
                  <w:tcW w:w="946" w:type="pct"/>
                  <w:vMerge w:val="restart"/>
                  <w:tcBorders>
                    <w:tl2br w:val="nil"/>
                    <w:tr2bl w:val="nil"/>
                  </w:tcBorders>
                  <w:noWrap w:val="0"/>
                  <w:vAlign w:val="center"/>
                </w:tcPr>
                <w:p w14:paraId="5876DDF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无组织排放</w:t>
                  </w:r>
                </w:p>
              </w:tc>
            </w:tr>
            <w:tr w14:paraId="2BD7AF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300" w:hRule="atLeast"/>
              </w:trPr>
              <w:tc>
                <w:tcPr>
                  <w:tcW w:w="295" w:type="pct"/>
                  <w:vMerge w:val="continue"/>
                  <w:tcBorders>
                    <w:tl2br w:val="nil"/>
                    <w:tr2bl w:val="nil"/>
                  </w:tcBorders>
                  <w:noWrap w:val="0"/>
                  <w:vAlign w:val="center"/>
                </w:tcPr>
                <w:p w14:paraId="3B869BB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p>
              </w:tc>
              <w:tc>
                <w:tcPr>
                  <w:tcW w:w="1199" w:type="pct"/>
                  <w:gridSpan w:val="3"/>
                  <w:tcBorders>
                    <w:tl2br w:val="nil"/>
                    <w:tr2bl w:val="nil"/>
                  </w:tcBorders>
                  <w:noWrap w:val="0"/>
                  <w:vAlign w:val="center"/>
                </w:tcPr>
                <w:p w14:paraId="59281C9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成型</w:t>
                  </w:r>
                </w:p>
              </w:tc>
              <w:tc>
                <w:tcPr>
                  <w:tcW w:w="497" w:type="pct"/>
                  <w:vMerge w:val="continue"/>
                  <w:tcBorders>
                    <w:tl2br w:val="nil"/>
                    <w:tr2bl w:val="nil"/>
                  </w:tcBorders>
                  <w:noWrap w:val="0"/>
                  <w:vAlign w:val="center"/>
                </w:tcPr>
                <w:p w14:paraId="4DB1B93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p>
              </w:tc>
              <w:tc>
                <w:tcPr>
                  <w:tcW w:w="2061" w:type="pct"/>
                  <w:gridSpan w:val="2"/>
                  <w:tcBorders>
                    <w:tl2br w:val="nil"/>
                    <w:tr2bl w:val="nil"/>
                  </w:tcBorders>
                  <w:noWrap w:val="0"/>
                  <w:vAlign w:val="center"/>
                </w:tcPr>
                <w:p w14:paraId="68A079D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封闭成型室</w:t>
                  </w:r>
                </w:p>
              </w:tc>
              <w:tc>
                <w:tcPr>
                  <w:tcW w:w="946" w:type="pct"/>
                  <w:vMerge w:val="continue"/>
                  <w:tcBorders>
                    <w:tl2br w:val="nil"/>
                    <w:tr2bl w:val="nil"/>
                  </w:tcBorders>
                  <w:noWrap w:val="0"/>
                  <w:vAlign w:val="center"/>
                </w:tcPr>
                <w:p w14:paraId="0A705CD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p>
              </w:tc>
            </w:tr>
            <w:tr w14:paraId="02A455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300" w:hRule="atLeast"/>
              </w:trPr>
              <w:tc>
                <w:tcPr>
                  <w:tcW w:w="295" w:type="pct"/>
                  <w:vMerge w:val="continue"/>
                  <w:tcBorders>
                    <w:tl2br w:val="nil"/>
                    <w:tr2bl w:val="nil"/>
                  </w:tcBorders>
                  <w:noWrap w:val="0"/>
                  <w:vAlign w:val="center"/>
                </w:tcPr>
                <w:p w14:paraId="547975B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p>
              </w:tc>
              <w:tc>
                <w:tcPr>
                  <w:tcW w:w="1199" w:type="pct"/>
                  <w:gridSpan w:val="3"/>
                  <w:tcBorders>
                    <w:tl2br w:val="nil"/>
                    <w:tr2bl w:val="nil"/>
                  </w:tcBorders>
                  <w:noWrap w:val="0"/>
                  <w:vAlign w:val="center"/>
                </w:tcPr>
                <w:p w14:paraId="58BB097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干燥</w:t>
                  </w:r>
                </w:p>
              </w:tc>
              <w:tc>
                <w:tcPr>
                  <w:tcW w:w="497" w:type="pct"/>
                  <w:vMerge w:val="continue"/>
                  <w:tcBorders>
                    <w:tl2br w:val="nil"/>
                    <w:tr2bl w:val="nil"/>
                  </w:tcBorders>
                  <w:noWrap w:val="0"/>
                  <w:vAlign w:val="center"/>
                </w:tcPr>
                <w:p w14:paraId="75A25AD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p>
              </w:tc>
              <w:tc>
                <w:tcPr>
                  <w:tcW w:w="2061" w:type="pct"/>
                  <w:gridSpan w:val="2"/>
                  <w:tcBorders>
                    <w:tl2br w:val="nil"/>
                    <w:tr2bl w:val="nil"/>
                  </w:tcBorders>
                  <w:noWrap w:val="0"/>
                  <w:vAlign w:val="center"/>
                </w:tcPr>
                <w:p w14:paraId="4825C73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封闭干燥室</w:t>
                  </w:r>
                </w:p>
              </w:tc>
              <w:tc>
                <w:tcPr>
                  <w:tcW w:w="946" w:type="pct"/>
                  <w:vMerge w:val="continue"/>
                  <w:tcBorders>
                    <w:tl2br w:val="nil"/>
                    <w:tr2bl w:val="nil"/>
                  </w:tcBorders>
                  <w:noWrap w:val="0"/>
                  <w:vAlign w:val="center"/>
                </w:tcPr>
                <w:p w14:paraId="46DCF77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p>
              </w:tc>
            </w:tr>
            <w:tr w14:paraId="78A2DB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90" w:hRule="atLeast"/>
              </w:trPr>
              <w:tc>
                <w:tcPr>
                  <w:tcW w:w="295" w:type="pct"/>
                  <w:vMerge w:val="restart"/>
                  <w:tcBorders>
                    <w:tl2br w:val="nil"/>
                    <w:tr2bl w:val="nil"/>
                  </w:tcBorders>
                  <w:noWrap w:val="0"/>
                  <w:vAlign w:val="center"/>
                </w:tcPr>
                <w:p w14:paraId="6C088FA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废水</w:t>
                  </w:r>
                </w:p>
              </w:tc>
              <w:tc>
                <w:tcPr>
                  <w:tcW w:w="1199" w:type="pct"/>
                  <w:gridSpan w:val="3"/>
                  <w:tcBorders>
                    <w:tl2br w:val="nil"/>
                    <w:tr2bl w:val="nil"/>
                  </w:tcBorders>
                  <w:noWrap w:val="0"/>
                  <w:vAlign w:val="center"/>
                </w:tcPr>
                <w:p w14:paraId="6B55624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预发</w:t>
                  </w:r>
                </w:p>
              </w:tc>
              <w:tc>
                <w:tcPr>
                  <w:tcW w:w="497" w:type="pct"/>
                  <w:vMerge w:val="restart"/>
                  <w:tcBorders>
                    <w:tl2br w:val="nil"/>
                    <w:tr2bl w:val="nil"/>
                  </w:tcBorders>
                  <w:noWrap w:val="0"/>
                  <w:vAlign w:val="center"/>
                </w:tcPr>
                <w:p w14:paraId="77AFF96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COD、NH3-N、SS等</w:t>
                  </w:r>
                </w:p>
              </w:tc>
              <w:tc>
                <w:tcPr>
                  <w:tcW w:w="2061" w:type="pct"/>
                  <w:gridSpan w:val="2"/>
                  <w:vMerge w:val="restart"/>
                  <w:tcBorders>
                    <w:tl2br w:val="nil"/>
                    <w:tr2bl w:val="nil"/>
                  </w:tcBorders>
                  <w:noWrap w:val="0"/>
                  <w:vAlign w:val="center"/>
                </w:tcPr>
                <w:p w14:paraId="6636F67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脱模工序的间接冷却水（单独存在管道中，不与生产工序接触），循环使用，不外排。</w:t>
                  </w:r>
                  <w:r>
                    <w:rPr>
                      <w:rFonts w:hint="default" w:ascii="Times New Roman" w:hAnsi="Times New Roman" w:eastAsia="宋体" w:cs="Times New Roman"/>
                      <w:color w:val="auto"/>
                      <w:sz w:val="21"/>
                      <w:szCs w:val="21"/>
                      <w:highlight w:val="none"/>
                      <w:lang w:val="en-US" w:eastAsia="zh-CN"/>
                    </w:rPr>
                    <w:t>高温蒸汽冷凝水</w:t>
                  </w:r>
                  <w:r>
                    <w:rPr>
                      <w:rFonts w:hint="eastAsia" w:ascii="Times New Roman" w:hAnsi="Times New Roman" w:eastAsia="宋体" w:cs="Times New Roman"/>
                      <w:color w:val="auto"/>
                      <w:sz w:val="21"/>
                      <w:szCs w:val="21"/>
                      <w:highlight w:val="none"/>
                      <w:lang w:val="en-US" w:eastAsia="zh-CN"/>
                    </w:rPr>
                    <w:t>排入厂区冷凝水收集池</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收集后作为冷却补充水使用，不外排</w:t>
                  </w:r>
                </w:p>
              </w:tc>
              <w:tc>
                <w:tcPr>
                  <w:tcW w:w="946" w:type="pct"/>
                  <w:vMerge w:val="restart"/>
                  <w:tcBorders>
                    <w:tl2br w:val="nil"/>
                    <w:tr2bl w:val="nil"/>
                  </w:tcBorders>
                  <w:noWrap w:val="0"/>
                  <w:vAlign w:val="center"/>
                </w:tcPr>
                <w:p w14:paraId="640B380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不外排</w:t>
                  </w:r>
                </w:p>
              </w:tc>
            </w:tr>
            <w:tr w14:paraId="656252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90" w:hRule="atLeast"/>
              </w:trPr>
              <w:tc>
                <w:tcPr>
                  <w:tcW w:w="295" w:type="pct"/>
                  <w:vMerge w:val="continue"/>
                  <w:tcBorders>
                    <w:tl2br w:val="nil"/>
                    <w:tr2bl w:val="nil"/>
                  </w:tcBorders>
                  <w:noWrap w:val="0"/>
                  <w:vAlign w:val="center"/>
                </w:tcPr>
                <w:p w14:paraId="2987C5B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p>
              </w:tc>
              <w:tc>
                <w:tcPr>
                  <w:tcW w:w="1199" w:type="pct"/>
                  <w:gridSpan w:val="3"/>
                  <w:tcBorders>
                    <w:tl2br w:val="nil"/>
                    <w:tr2bl w:val="nil"/>
                  </w:tcBorders>
                  <w:noWrap w:val="0"/>
                  <w:vAlign w:val="center"/>
                </w:tcPr>
                <w:p w14:paraId="7A45266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成型</w:t>
                  </w:r>
                </w:p>
              </w:tc>
              <w:tc>
                <w:tcPr>
                  <w:tcW w:w="497" w:type="pct"/>
                  <w:vMerge w:val="continue"/>
                  <w:tcBorders>
                    <w:tl2br w:val="nil"/>
                    <w:tr2bl w:val="nil"/>
                  </w:tcBorders>
                  <w:noWrap w:val="0"/>
                  <w:vAlign w:val="center"/>
                </w:tcPr>
                <w:p w14:paraId="10D2DD6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p>
              </w:tc>
              <w:tc>
                <w:tcPr>
                  <w:tcW w:w="2061" w:type="pct"/>
                  <w:gridSpan w:val="2"/>
                  <w:vMerge w:val="continue"/>
                  <w:tcBorders>
                    <w:tl2br w:val="nil"/>
                    <w:tr2bl w:val="nil"/>
                  </w:tcBorders>
                  <w:noWrap w:val="0"/>
                  <w:vAlign w:val="center"/>
                </w:tcPr>
                <w:p w14:paraId="5ABEED0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p>
              </w:tc>
              <w:tc>
                <w:tcPr>
                  <w:tcW w:w="946" w:type="pct"/>
                  <w:vMerge w:val="continue"/>
                  <w:tcBorders>
                    <w:tl2br w:val="nil"/>
                    <w:tr2bl w:val="nil"/>
                  </w:tcBorders>
                  <w:noWrap w:val="0"/>
                  <w:vAlign w:val="center"/>
                </w:tcPr>
                <w:p w14:paraId="111A54B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p>
              </w:tc>
            </w:tr>
            <w:tr w14:paraId="0E91CC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90" w:hRule="atLeast"/>
              </w:trPr>
              <w:tc>
                <w:tcPr>
                  <w:tcW w:w="295" w:type="pct"/>
                  <w:vMerge w:val="continue"/>
                  <w:tcBorders>
                    <w:tl2br w:val="nil"/>
                    <w:tr2bl w:val="nil"/>
                  </w:tcBorders>
                  <w:noWrap w:val="0"/>
                  <w:vAlign w:val="center"/>
                </w:tcPr>
                <w:p w14:paraId="13C815E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p>
              </w:tc>
              <w:tc>
                <w:tcPr>
                  <w:tcW w:w="1199" w:type="pct"/>
                  <w:gridSpan w:val="3"/>
                  <w:tcBorders>
                    <w:tl2br w:val="nil"/>
                    <w:tr2bl w:val="nil"/>
                  </w:tcBorders>
                  <w:noWrap w:val="0"/>
                  <w:vAlign w:val="center"/>
                </w:tcPr>
                <w:p w14:paraId="56A3EB7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干燥</w:t>
                  </w:r>
                </w:p>
              </w:tc>
              <w:tc>
                <w:tcPr>
                  <w:tcW w:w="497" w:type="pct"/>
                  <w:vMerge w:val="continue"/>
                  <w:tcBorders>
                    <w:tl2br w:val="nil"/>
                    <w:tr2bl w:val="nil"/>
                  </w:tcBorders>
                  <w:noWrap w:val="0"/>
                  <w:vAlign w:val="center"/>
                </w:tcPr>
                <w:p w14:paraId="424B732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p>
              </w:tc>
              <w:tc>
                <w:tcPr>
                  <w:tcW w:w="2061" w:type="pct"/>
                  <w:gridSpan w:val="2"/>
                  <w:vMerge w:val="continue"/>
                  <w:tcBorders>
                    <w:tl2br w:val="nil"/>
                    <w:tr2bl w:val="nil"/>
                  </w:tcBorders>
                  <w:noWrap w:val="0"/>
                  <w:vAlign w:val="center"/>
                </w:tcPr>
                <w:p w14:paraId="67A638F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p>
              </w:tc>
              <w:tc>
                <w:tcPr>
                  <w:tcW w:w="946" w:type="pct"/>
                  <w:vMerge w:val="continue"/>
                  <w:tcBorders>
                    <w:tl2br w:val="nil"/>
                    <w:tr2bl w:val="nil"/>
                  </w:tcBorders>
                  <w:noWrap w:val="0"/>
                  <w:vAlign w:val="center"/>
                </w:tcPr>
                <w:p w14:paraId="2AE01B6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p>
              </w:tc>
            </w:tr>
            <w:tr w14:paraId="4FC33F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90" w:hRule="atLeast"/>
              </w:trPr>
              <w:tc>
                <w:tcPr>
                  <w:tcW w:w="295" w:type="pct"/>
                  <w:vMerge w:val="continue"/>
                  <w:tcBorders>
                    <w:tl2br w:val="nil"/>
                    <w:tr2bl w:val="nil"/>
                  </w:tcBorders>
                  <w:noWrap w:val="0"/>
                  <w:vAlign w:val="center"/>
                </w:tcPr>
                <w:p w14:paraId="67DB08E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p>
              </w:tc>
              <w:tc>
                <w:tcPr>
                  <w:tcW w:w="1199" w:type="pct"/>
                  <w:gridSpan w:val="3"/>
                  <w:tcBorders>
                    <w:tl2br w:val="nil"/>
                    <w:tr2bl w:val="nil"/>
                  </w:tcBorders>
                  <w:noWrap w:val="0"/>
                  <w:vAlign w:val="center"/>
                </w:tcPr>
                <w:p w14:paraId="00074B4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冷凝</w:t>
                  </w:r>
                </w:p>
              </w:tc>
              <w:tc>
                <w:tcPr>
                  <w:tcW w:w="497" w:type="pct"/>
                  <w:vMerge w:val="continue"/>
                  <w:tcBorders>
                    <w:tl2br w:val="nil"/>
                    <w:tr2bl w:val="nil"/>
                  </w:tcBorders>
                  <w:noWrap w:val="0"/>
                  <w:vAlign w:val="center"/>
                </w:tcPr>
                <w:p w14:paraId="19D6767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p>
              </w:tc>
              <w:tc>
                <w:tcPr>
                  <w:tcW w:w="2061" w:type="pct"/>
                  <w:gridSpan w:val="2"/>
                  <w:vMerge w:val="continue"/>
                  <w:tcBorders>
                    <w:tl2br w:val="nil"/>
                    <w:tr2bl w:val="nil"/>
                  </w:tcBorders>
                  <w:noWrap w:val="0"/>
                  <w:vAlign w:val="center"/>
                </w:tcPr>
                <w:p w14:paraId="3F9C2C8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p>
              </w:tc>
              <w:tc>
                <w:tcPr>
                  <w:tcW w:w="946" w:type="pct"/>
                  <w:vMerge w:val="continue"/>
                  <w:tcBorders>
                    <w:tl2br w:val="nil"/>
                    <w:tr2bl w:val="nil"/>
                  </w:tcBorders>
                  <w:noWrap w:val="0"/>
                  <w:vAlign w:val="center"/>
                </w:tcPr>
                <w:p w14:paraId="44AAE79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p>
              </w:tc>
            </w:tr>
            <w:tr w14:paraId="5DB27F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90" w:hRule="atLeast"/>
              </w:trPr>
              <w:tc>
                <w:tcPr>
                  <w:tcW w:w="295" w:type="pct"/>
                  <w:vMerge w:val="continue"/>
                  <w:tcBorders>
                    <w:tl2br w:val="nil"/>
                    <w:tr2bl w:val="nil"/>
                  </w:tcBorders>
                  <w:noWrap w:val="0"/>
                  <w:vAlign w:val="center"/>
                </w:tcPr>
                <w:p w14:paraId="0782D71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p>
              </w:tc>
              <w:tc>
                <w:tcPr>
                  <w:tcW w:w="1199" w:type="pct"/>
                  <w:gridSpan w:val="3"/>
                  <w:tcBorders>
                    <w:tl2br w:val="nil"/>
                    <w:tr2bl w:val="nil"/>
                  </w:tcBorders>
                  <w:noWrap w:val="0"/>
                  <w:vAlign w:val="center"/>
                </w:tcPr>
                <w:p w14:paraId="43DB82C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员工生产</w:t>
                  </w:r>
                </w:p>
              </w:tc>
              <w:tc>
                <w:tcPr>
                  <w:tcW w:w="497" w:type="pct"/>
                  <w:tcBorders>
                    <w:tl2br w:val="nil"/>
                    <w:tr2bl w:val="nil"/>
                  </w:tcBorders>
                  <w:noWrap w:val="0"/>
                  <w:vAlign w:val="center"/>
                </w:tcPr>
                <w:p w14:paraId="321FAC3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COD、NH3-N、SS等</w:t>
                  </w:r>
                </w:p>
              </w:tc>
              <w:tc>
                <w:tcPr>
                  <w:tcW w:w="2061" w:type="pct"/>
                  <w:gridSpan w:val="2"/>
                  <w:tcBorders>
                    <w:tl2br w:val="nil"/>
                    <w:tr2bl w:val="nil"/>
                  </w:tcBorders>
                  <w:noWrap w:val="0"/>
                  <w:vAlign w:val="center"/>
                </w:tcPr>
                <w:p w14:paraId="16FE46C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防渗旱厕</w:t>
                  </w:r>
                </w:p>
              </w:tc>
              <w:tc>
                <w:tcPr>
                  <w:tcW w:w="946" w:type="pct"/>
                  <w:tcBorders>
                    <w:tl2br w:val="nil"/>
                    <w:tr2bl w:val="nil"/>
                  </w:tcBorders>
                  <w:noWrap w:val="0"/>
                  <w:vAlign w:val="center"/>
                </w:tcPr>
                <w:p w14:paraId="5928F14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定期清掏不外排</w:t>
                  </w:r>
                </w:p>
              </w:tc>
            </w:tr>
            <w:tr w14:paraId="7617AF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478" w:hRule="atLeast"/>
              </w:trPr>
              <w:tc>
                <w:tcPr>
                  <w:tcW w:w="295" w:type="pct"/>
                  <w:vMerge w:val="restart"/>
                  <w:tcBorders>
                    <w:tl2br w:val="nil"/>
                    <w:tr2bl w:val="nil"/>
                  </w:tcBorders>
                  <w:noWrap w:val="0"/>
                  <w:vAlign w:val="center"/>
                </w:tcPr>
                <w:p w14:paraId="5B6D496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固废</w:t>
                  </w:r>
                </w:p>
              </w:tc>
              <w:tc>
                <w:tcPr>
                  <w:tcW w:w="431" w:type="pct"/>
                  <w:vMerge w:val="restart"/>
                  <w:tcBorders>
                    <w:tl2br w:val="nil"/>
                    <w:tr2bl w:val="nil"/>
                  </w:tcBorders>
                  <w:noWrap w:val="0"/>
                  <w:vAlign w:val="center"/>
                </w:tcPr>
                <w:p w14:paraId="11CCF63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一般工业固体废物</w:t>
                  </w:r>
                </w:p>
              </w:tc>
              <w:tc>
                <w:tcPr>
                  <w:tcW w:w="768" w:type="pct"/>
                  <w:gridSpan w:val="2"/>
                  <w:tcBorders>
                    <w:tl2br w:val="nil"/>
                    <w:tr2bl w:val="nil"/>
                  </w:tcBorders>
                  <w:noWrap w:val="0"/>
                  <w:vAlign w:val="center"/>
                </w:tcPr>
                <w:p w14:paraId="5199718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泡沫制品包装</w:t>
                  </w:r>
                </w:p>
              </w:tc>
              <w:tc>
                <w:tcPr>
                  <w:tcW w:w="497" w:type="pct"/>
                  <w:tcBorders>
                    <w:tl2br w:val="nil"/>
                    <w:tr2bl w:val="nil"/>
                  </w:tcBorders>
                  <w:noWrap w:val="0"/>
                  <w:vAlign w:val="center"/>
                </w:tcPr>
                <w:p w14:paraId="1A9E8F9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泡沫边角料</w:t>
                  </w:r>
                </w:p>
              </w:tc>
              <w:tc>
                <w:tcPr>
                  <w:tcW w:w="2061" w:type="pct"/>
                  <w:gridSpan w:val="2"/>
                  <w:tcBorders>
                    <w:tl2br w:val="nil"/>
                    <w:tr2bl w:val="nil"/>
                  </w:tcBorders>
                  <w:noWrap w:val="0"/>
                  <w:vAlign w:val="center"/>
                </w:tcPr>
                <w:p w14:paraId="76528D2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封闭包装袋收集后，由</w:t>
                  </w:r>
                  <w:r>
                    <w:rPr>
                      <w:rFonts w:hint="default" w:ascii="Times New Roman" w:hAnsi="Times New Roman" w:eastAsia="宋体" w:cs="Times New Roman"/>
                      <w:color w:val="auto"/>
                      <w:sz w:val="21"/>
                      <w:szCs w:val="21"/>
                      <w:highlight w:val="none"/>
                      <w:lang w:val="en-US" w:eastAsia="zh-CN"/>
                    </w:rPr>
                    <w:t>环卫部门处理</w:t>
                  </w:r>
                </w:p>
              </w:tc>
              <w:tc>
                <w:tcPr>
                  <w:tcW w:w="946" w:type="pct"/>
                  <w:tcBorders>
                    <w:tl2br w:val="nil"/>
                    <w:tr2bl w:val="nil"/>
                  </w:tcBorders>
                  <w:noWrap w:val="0"/>
                  <w:vAlign w:val="center"/>
                </w:tcPr>
                <w:p w14:paraId="0F4F7F7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环卫部门处理</w:t>
                  </w:r>
                </w:p>
              </w:tc>
            </w:tr>
            <w:tr w14:paraId="3F801C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478" w:hRule="atLeast"/>
              </w:trPr>
              <w:tc>
                <w:tcPr>
                  <w:tcW w:w="295" w:type="pct"/>
                  <w:vMerge w:val="continue"/>
                  <w:tcBorders>
                    <w:tl2br w:val="nil"/>
                    <w:tr2bl w:val="nil"/>
                  </w:tcBorders>
                  <w:noWrap w:val="0"/>
                  <w:vAlign w:val="center"/>
                </w:tcPr>
                <w:p w14:paraId="62BE166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p>
              </w:tc>
              <w:tc>
                <w:tcPr>
                  <w:tcW w:w="431" w:type="pct"/>
                  <w:vMerge w:val="continue"/>
                  <w:tcBorders>
                    <w:tl2br w:val="nil"/>
                    <w:tr2bl w:val="nil"/>
                  </w:tcBorders>
                  <w:noWrap w:val="0"/>
                  <w:vAlign w:val="center"/>
                </w:tcPr>
                <w:p w14:paraId="6743B34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p>
              </w:tc>
              <w:tc>
                <w:tcPr>
                  <w:tcW w:w="768" w:type="pct"/>
                  <w:gridSpan w:val="2"/>
                  <w:tcBorders>
                    <w:tl2br w:val="nil"/>
                    <w:tr2bl w:val="nil"/>
                  </w:tcBorders>
                  <w:noWrap w:val="0"/>
                  <w:vAlign w:val="center"/>
                </w:tcPr>
                <w:p w14:paraId="5E2FDD3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废气治理</w:t>
                  </w:r>
                </w:p>
              </w:tc>
              <w:tc>
                <w:tcPr>
                  <w:tcW w:w="497" w:type="pct"/>
                  <w:tcBorders>
                    <w:tl2br w:val="nil"/>
                    <w:tr2bl w:val="nil"/>
                  </w:tcBorders>
                  <w:noWrap w:val="0"/>
                  <w:vAlign w:val="center"/>
                </w:tcPr>
                <w:p w14:paraId="0723DE8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除尘灰</w:t>
                  </w:r>
                </w:p>
              </w:tc>
              <w:tc>
                <w:tcPr>
                  <w:tcW w:w="2061" w:type="pct"/>
                  <w:gridSpan w:val="2"/>
                  <w:tcBorders>
                    <w:tl2br w:val="nil"/>
                    <w:tr2bl w:val="nil"/>
                  </w:tcBorders>
                  <w:noWrap w:val="0"/>
                  <w:vAlign w:val="center"/>
                </w:tcPr>
                <w:p w14:paraId="081241A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封闭包装袋收集后，由</w:t>
                  </w:r>
                  <w:r>
                    <w:rPr>
                      <w:rFonts w:hint="default" w:ascii="Times New Roman" w:hAnsi="Times New Roman" w:eastAsia="宋体" w:cs="Times New Roman"/>
                      <w:color w:val="auto"/>
                      <w:sz w:val="21"/>
                      <w:szCs w:val="21"/>
                      <w:highlight w:val="none"/>
                      <w:lang w:val="en-US" w:eastAsia="zh-CN"/>
                    </w:rPr>
                    <w:t>环卫部门处理</w:t>
                  </w:r>
                </w:p>
              </w:tc>
              <w:tc>
                <w:tcPr>
                  <w:tcW w:w="946" w:type="pct"/>
                  <w:tcBorders>
                    <w:tl2br w:val="nil"/>
                    <w:tr2bl w:val="nil"/>
                  </w:tcBorders>
                  <w:noWrap w:val="0"/>
                  <w:vAlign w:val="center"/>
                </w:tcPr>
                <w:p w14:paraId="78B5203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环卫部门处理</w:t>
                  </w:r>
                </w:p>
              </w:tc>
            </w:tr>
            <w:tr w14:paraId="2AFFF0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1008" w:hRule="atLeast"/>
              </w:trPr>
              <w:tc>
                <w:tcPr>
                  <w:tcW w:w="295" w:type="pct"/>
                  <w:vMerge w:val="continue"/>
                  <w:tcBorders>
                    <w:tl2br w:val="nil"/>
                    <w:tr2bl w:val="nil"/>
                  </w:tcBorders>
                  <w:noWrap w:val="0"/>
                  <w:vAlign w:val="center"/>
                </w:tcPr>
                <w:p w14:paraId="50C5575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p>
              </w:tc>
              <w:tc>
                <w:tcPr>
                  <w:tcW w:w="1199" w:type="pct"/>
                  <w:gridSpan w:val="3"/>
                  <w:tcBorders>
                    <w:tl2br w:val="nil"/>
                    <w:tr2bl w:val="nil"/>
                  </w:tcBorders>
                  <w:noWrap w:val="0"/>
                  <w:vAlign w:val="center"/>
                </w:tcPr>
                <w:p w14:paraId="44DA60B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日常生活</w:t>
                  </w:r>
                </w:p>
              </w:tc>
              <w:tc>
                <w:tcPr>
                  <w:tcW w:w="497" w:type="pct"/>
                  <w:tcBorders>
                    <w:tl2br w:val="nil"/>
                    <w:tr2bl w:val="nil"/>
                  </w:tcBorders>
                  <w:noWrap w:val="0"/>
                  <w:vAlign w:val="center"/>
                </w:tcPr>
                <w:p w14:paraId="57F8CFF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生活</w:t>
                  </w:r>
                </w:p>
                <w:p w14:paraId="43906A8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垃圾</w:t>
                  </w:r>
                </w:p>
              </w:tc>
              <w:tc>
                <w:tcPr>
                  <w:tcW w:w="2061" w:type="pct"/>
                  <w:gridSpan w:val="2"/>
                  <w:tcBorders>
                    <w:tl2br w:val="nil"/>
                    <w:tr2bl w:val="nil"/>
                  </w:tcBorders>
                  <w:noWrap w:val="0"/>
                  <w:vAlign w:val="center"/>
                </w:tcPr>
                <w:p w14:paraId="2E10A3C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统一收集后由环卫部门处理</w:t>
                  </w:r>
                </w:p>
              </w:tc>
              <w:tc>
                <w:tcPr>
                  <w:tcW w:w="946" w:type="pct"/>
                  <w:tcBorders>
                    <w:tl2br w:val="nil"/>
                    <w:tr2bl w:val="nil"/>
                  </w:tcBorders>
                  <w:noWrap w:val="0"/>
                  <w:vAlign w:val="center"/>
                </w:tcPr>
                <w:p w14:paraId="3C0011F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环卫部门处理</w:t>
                  </w:r>
                </w:p>
              </w:tc>
            </w:tr>
            <w:tr w14:paraId="2F7B9F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0" w:hRule="atLeast"/>
              </w:trPr>
              <w:tc>
                <w:tcPr>
                  <w:tcW w:w="295" w:type="pct"/>
                  <w:vMerge w:val="continue"/>
                  <w:tcBorders>
                    <w:tl2br w:val="nil"/>
                    <w:tr2bl w:val="nil"/>
                  </w:tcBorders>
                  <w:noWrap w:val="0"/>
                  <w:vAlign w:val="center"/>
                </w:tcPr>
                <w:p w14:paraId="22F85CC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p>
              </w:tc>
              <w:tc>
                <w:tcPr>
                  <w:tcW w:w="450" w:type="pct"/>
                  <w:gridSpan w:val="2"/>
                  <w:vMerge w:val="restart"/>
                  <w:tcBorders>
                    <w:tl2br w:val="nil"/>
                    <w:tr2bl w:val="nil"/>
                  </w:tcBorders>
                  <w:noWrap w:val="0"/>
                  <w:vAlign w:val="center"/>
                </w:tcPr>
                <w:p w14:paraId="7EC790B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危险废物</w:t>
                  </w:r>
                </w:p>
              </w:tc>
              <w:tc>
                <w:tcPr>
                  <w:tcW w:w="749" w:type="pct"/>
                  <w:vMerge w:val="restart"/>
                  <w:tcBorders>
                    <w:tl2br w:val="nil"/>
                    <w:tr2bl w:val="nil"/>
                  </w:tcBorders>
                  <w:noWrap w:val="0"/>
                  <w:vAlign w:val="center"/>
                </w:tcPr>
                <w:p w14:paraId="17264ED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机械设备维护/保养</w:t>
                  </w:r>
                </w:p>
              </w:tc>
              <w:tc>
                <w:tcPr>
                  <w:tcW w:w="497" w:type="pct"/>
                  <w:tcBorders>
                    <w:tl2br w:val="nil"/>
                    <w:tr2bl w:val="nil"/>
                  </w:tcBorders>
                  <w:noWrap w:val="0"/>
                  <w:vAlign w:val="center"/>
                </w:tcPr>
                <w:p w14:paraId="5846EDE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废机油</w:t>
                  </w:r>
                </w:p>
              </w:tc>
              <w:tc>
                <w:tcPr>
                  <w:tcW w:w="2061" w:type="pct"/>
                  <w:gridSpan w:val="2"/>
                  <w:vMerge w:val="restart"/>
                  <w:tcBorders>
                    <w:tl2br w:val="nil"/>
                    <w:tr2bl w:val="nil"/>
                  </w:tcBorders>
                  <w:noWrap w:val="0"/>
                  <w:vAlign w:val="center"/>
                </w:tcPr>
                <w:p w14:paraId="05C8A16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危废贮存库暂存后，交由有资质单位统一处理</w:t>
                  </w:r>
                </w:p>
              </w:tc>
              <w:tc>
                <w:tcPr>
                  <w:tcW w:w="946" w:type="pct"/>
                  <w:vMerge w:val="restart"/>
                  <w:tcBorders>
                    <w:tl2br w:val="nil"/>
                    <w:tr2bl w:val="nil"/>
                  </w:tcBorders>
                  <w:noWrap w:val="0"/>
                  <w:vAlign w:val="center"/>
                </w:tcPr>
                <w:p w14:paraId="0DCB1F1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有资质单位处理</w:t>
                  </w:r>
                </w:p>
              </w:tc>
            </w:tr>
            <w:tr w14:paraId="7774F4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0" w:hRule="atLeast"/>
              </w:trPr>
              <w:tc>
                <w:tcPr>
                  <w:tcW w:w="295" w:type="pct"/>
                  <w:vMerge w:val="continue"/>
                  <w:tcBorders>
                    <w:tl2br w:val="nil"/>
                    <w:tr2bl w:val="nil"/>
                  </w:tcBorders>
                  <w:noWrap w:val="0"/>
                  <w:vAlign w:val="center"/>
                </w:tcPr>
                <w:p w14:paraId="1EE3A3E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p>
              </w:tc>
              <w:tc>
                <w:tcPr>
                  <w:tcW w:w="450" w:type="pct"/>
                  <w:gridSpan w:val="2"/>
                  <w:vMerge w:val="continue"/>
                  <w:tcBorders>
                    <w:tl2br w:val="nil"/>
                    <w:tr2bl w:val="nil"/>
                  </w:tcBorders>
                  <w:noWrap w:val="0"/>
                  <w:vAlign w:val="center"/>
                </w:tcPr>
                <w:p w14:paraId="52552F6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p>
              </w:tc>
              <w:tc>
                <w:tcPr>
                  <w:tcW w:w="749" w:type="pct"/>
                  <w:vMerge w:val="continue"/>
                  <w:tcBorders>
                    <w:tl2br w:val="nil"/>
                    <w:tr2bl w:val="nil"/>
                  </w:tcBorders>
                  <w:noWrap w:val="0"/>
                  <w:vAlign w:val="center"/>
                </w:tcPr>
                <w:p w14:paraId="4297466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p>
              </w:tc>
              <w:tc>
                <w:tcPr>
                  <w:tcW w:w="497" w:type="pct"/>
                  <w:tcBorders>
                    <w:tl2br w:val="nil"/>
                    <w:tr2bl w:val="nil"/>
                  </w:tcBorders>
                  <w:noWrap w:val="0"/>
                  <w:vAlign w:val="center"/>
                </w:tcPr>
                <w:p w14:paraId="4290297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废油桶</w:t>
                  </w:r>
                </w:p>
              </w:tc>
              <w:tc>
                <w:tcPr>
                  <w:tcW w:w="2061" w:type="pct"/>
                  <w:gridSpan w:val="2"/>
                  <w:vMerge w:val="continue"/>
                  <w:tcBorders>
                    <w:tl2br w:val="nil"/>
                    <w:tr2bl w:val="nil"/>
                  </w:tcBorders>
                  <w:noWrap w:val="0"/>
                  <w:vAlign w:val="center"/>
                </w:tcPr>
                <w:p w14:paraId="2018327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p>
              </w:tc>
              <w:tc>
                <w:tcPr>
                  <w:tcW w:w="946" w:type="pct"/>
                  <w:vMerge w:val="continue"/>
                  <w:tcBorders>
                    <w:tl2br w:val="nil"/>
                    <w:tr2bl w:val="nil"/>
                  </w:tcBorders>
                  <w:noWrap w:val="0"/>
                  <w:vAlign w:val="center"/>
                </w:tcPr>
                <w:p w14:paraId="362A637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p>
              </w:tc>
            </w:tr>
            <w:tr w14:paraId="7DDDB5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0" w:hRule="atLeast"/>
              </w:trPr>
              <w:tc>
                <w:tcPr>
                  <w:tcW w:w="295" w:type="pct"/>
                  <w:vMerge w:val="continue"/>
                  <w:tcBorders>
                    <w:tl2br w:val="nil"/>
                    <w:tr2bl w:val="nil"/>
                  </w:tcBorders>
                  <w:noWrap w:val="0"/>
                  <w:vAlign w:val="center"/>
                </w:tcPr>
                <w:p w14:paraId="68D36C3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p>
              </w:tc>
              <w:tc>
                <w:tcPr>
                  <w:tcW w:w="450" w:type="pct"/>
                  <w:gridSpan w:val="2"/>
                  <w:vMerge w:val="continue"/>
                  <w:tcBorders>
                    <w:tl2br w:val="nil"/>
                    <w:tr2bl w:val="nil"/>
                  </w:tcBorders>
                  <w:noWrap w:val="0"/>
                  <w:vAlign w:val="center"/>
                </w:tcPr>
                <w:p w14:paraId="59619D4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p>
              </w:tc>
              <w:tc>
                <w:tcPr>
                  <w:tcW w:w="749" w:type="pct"/>
                  <w:tcBorders>
                    <w:tl2br w:val="nil"/>
                    <w:tr2bl w:val="nil"/>
                  </w:tcBorders>
                  <w:noWrap w:val="0"/>
                  <w:vAlign w:val="center"/>
                </w:tcPr>
                <w:p w14:paraId="588B8EF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废气治理</w:t>
                  </w:r>
                </w:p>
              </w:tc>
              <w:tc>
                <w:tcPr>
                  <w:tcW w:w="497" w:type="pct"/>
                  <w:tcBorders>
                    <w:tl2br w:val="nil"/>
                    <w:tr2bl w:val="nil"/>
                  </w:tcBorders>
                  <w:noWrap w:val="0"/>
                  <w:vAlign w:val="center"/>
                </w:tcPr>
                <w:p w14:paraId="179C1EF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废活性炭</w:t>
                  </w:r>
                </w:p>
              </w:tc>
              <w:tc>
                <w:tcPr>
                  <w:tcW w:w="2061" w:type="pct"/>
                  <w:gridSpan w:val="2"/>
                  <w:vMerge w:val="continue"/>
                  <w:tcBorders>
                    <w:tl2br w:val="nil"/>
                    <w:tr2bl w:val="nil"/>
                  </w:tcBorders>
                  <w:noWrap w:val="0"/>
                  <w:vAlign w:val="center"/>
                </w:tcPr>
                <w:p w14:paraId="12DA416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p>
              </w:tc>
              <w:tc>
                <w:tcPr>
                  <w:tcW w:w="946" w:type="pct"/>
                  <w:vMerge w:val="continue"/>
                  <w:tcBorders>
                    <w:tl2br w:val="nil"/>
                    <w:tr2bl w:val="nil"/>
                  </w:tcBorders>
                  <w:noWrap w:val="0"/>
                  <w:vAlign w:val="center"/>
                </w:tcPr>
                <w:p w14:paraId="42FC0E6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p>
              </w:tc>
            </w:tr>
            <w:tr w14:paraId="7DD55E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3" w:type="dxa"/>
                  <w:left w:w="23" w:type="dxa"/>
                  <w:bottom w:w="23" w:type="dxa"/>
                  <w:right w:w="23" w:type="dxa"/>
                </w:tblCellMar>
              </w:tblPrEx>
              <w:trPr>
                <w:trHeight w:val="0" w:hRule="atLeast"/>
              </w:trPr>
              <w:tc>
                <w:tcPr>
                  <w:tcW w:w="295" w:type="pct"/>
                  <w:tcBorders>
                    <w:tl2br w:val="nil"/>
                    <w:tr2bl w:val="nil"/>
                  </w:tcBorders>
                  <w:noWrap w:val="0"/>
                  <w:vAlign w:val="center"/>
                </w:tcPr>
                <w:p w14:paraId="684DD38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噪声</w:t>
                  </w:r>
                </w:p>
              </w:tc>
              <w:tc>
                <w:tcPr>
                  <w:tcW w:w="1199" w:type="pct"/>
                  <w:gridSpan w:val="3"/>
                  <w:tcBorders>
                    <w:tl2br w:val="nil"/>
                    <w:tr2bl w:val="nil"/>
                  </w:tcBorders>
                  <w:noWrap w:val="0"/>
                  <w:vAlign w:val="center"/>
                </w:tcPr>
                <w:p w14:paraId="225D393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生产设备</w:t>
                  </w:r>
                </w:p>
              </w:tc>
              <w:tc>
                <w:tcPr>
                  <w:tcW w:w="497" w:type="pct"/>
                  <w:tcBorders>
                    <w:tl2br w:val="nil"/>
                    <w:tr2bl w:val="nil"/>
                  </w:tcBorders>
                  <w:noWrap w:val="0"/>
                  <w:vAlign w:val="center"/>
                </w:tcPr>
                <w:p w14:paraId="2673C85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噪声</w:t>
                  </w:r>
                </w:p>
              </w:tc>
              <w:tc>
                <w:tcPr>
                  <w:tcW w:w="2061" w:type="pct"/>
                  <w:gridSpan w:val="2"/>
                  <w:tcBorders>
                    <w:tl2br w:val="nil"/>
                    <w:tr2bl w:val="nil"/>
                  </w:tcBorders>
                  <w:noWrap w:val="0"/>
                  <w:vAlign w:val="center"/>
                </w:tcPr>
                <w:p w14:paraId="490C359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选用低噪声设备、距离衰减</w:t>
                  </w:r>
                  <w:r>
                    <w:rPr>
                      <w:rFonts w:hint="eastAsia"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eastAsia="zh-CN"/>
                    </w:rPr>
                    <w:t>封闭式厂房内</w:t>
                  </w:r>
                </w:p>
              </w:tc>
              <w:tc>
                <w:tcPr>
                  <w:tcW w:w="946" w:type="pct"/>
                  <w:tcBorders>
                    <w:tl2br w:val="nil"/>
                    <w:tr2bl w:val="nil"/>
                  </w:tcBorders>
                  <w:noWrap w:val="0"/>
                  <w:vAlign w:val="center"/>
                </w:tcPr>
                <w:p w14:paraId="531D566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bl>
          <w:p w14:paraId="48938010">
            <w:pPr>
              <w:pStyle w:val="15"/>
              <w:ind w:left="0" w:leftChars="0" w:firstLine="0" w:firstLineChars="0"/>
              <w:rPr>
                <w:rFonts w:hint="eastAsia" w:ascii="Times New Roman" w:hAnsi="Times New Roman" w:eastAsia="黑体" w:cs="Times New Roman"/>
                <w:kern w:val="0"/>
                <w:sz w:val="21"/>
                <w:szCs w:val="21"/>
                <w:highlight w:val="none"/>
                <w:lang w:val="en-US" w:eastAsia="zh-CN"/>
              </w:rPr>
            </w:pPr>
          </w:p>
          <w:p w14:paraId="7D040199">
            <w:pPr>
              <w:ind w:left="0" w:leftChars="0" w:firstLine="0" w:firstLineChars="0"/>
              <w:rPr>
                <w:rFonts w:hint="eastAsia" w:ascii="Times New Roman" w:hAnsi="Times New Roman" w:eastAsia="黑体" w:cs="Times New Roman"/>
                <w:kern w:val="0"/>
                <w:sz w:val="21"/>
                <w:szCs w:val="21"/>
                <w:highlight w:val="none"/>
                <w:lang w:val="en-US" w:eastAsia="zh-CN"/>
              </w:rPr>
            </w:pPr>
          </w:p>
          <w:p w14:paraId="71C28581">
            <w:pPr>
              <w:ind w:left="0" w:leftChars="0" w:firstLine="0" w:firstLineChars="0"/>
              <w:rPr>
                <w:rFonts w:hint="eastAsia"/>
                <w:lang w:val="en-US" w:eastAsia="zh-CN"/>
              </w:rPr>
            </w:pPr>
          </w:p>
          <w:p w14:paraId="683A88A5">
            <w:pPr>
              <w:ind w:left="0" w:leftChars="0" w:firstLine="0" w:firstLineChars="0"/>
              <w:rPr>
                <w:rFonts w:hint="eastAsia"/>
                <w:lang w:val="en-US" w:eastAsia="zh-CN"/>
              </w:rPr>
            </w:pPr>
          </w:p>
        </w:tc>
      </w:tr>
    </w:tbl>
    <w:p w14:paraId="1847517B">
      <w:pPr>
        <w:rPr>
          <w:rFonts w:hint="eastAsia" w:ascii="Times New Roman" w:hAnsi="Times New Roman" w:eastAsia="黑体"/>
          <w:b/>
          <w:color w:val="auto"/>
          <w:sz w:val="24"/>
          <w:szCs w:val="24"/>
          <w:highlight w:val="yellow"/>
          <w:vertAlign w:val="baseline"/>
          <w:lang w:val="en-US" w:eastAsia="zh-CN"/>
        </w:rPr>
      </w:pPr>
      <w:r>
        <w:rPr>
          <w:rFonts w:hint="eastAsia" w:ascii="Times New Roman" w:hAnsi="Times New Roman" w:eastAsia="黑体"/>
          <w:b/>
          <w:color w:val="auto"/>
          <w:sz w:val="24"/>
          <w:szCs w:val="24"/>
          <w:highlight w:val="yellow"/>
          <w:vertAlign w:val="baseline"/>
          <w:lang w:val="en-US" w:eastAsia="zh-CN"/>
        </w:rPr>
        <w:br w:type="page"/>
      </w:r>
    </w:p>
    <w:p w14:paraId="75A7AB93">
      <w:pPr>
        <w:ind w:left="0" w:leftChars="0" w:firstLine="0" w:firstLineChars="0"/>
        <w:rPr>
          <w:rFonts w:hint="eastAsia" w:ascii="Times New Roman" w:hAnsi="Times New Roman" w:eastAsia="黑体"/>
          <w:b/>
          <w:color w:val="auto"/>
          <w:sz w:val="24"/>
          <w:szCs w:val="24"/>
          <w:highlight w:val="none"/>
          <w:vertAlign w:val="baseline"/>
          <w:lang w:val="en-US" w:eastAsia="zh-CN"/>
        </w:rPr>
      </w:pPr>
      <w:r>
        <w:rPr>
          <w:rFonts w:hint="eastAsia" w:ascii="Times New Roman" w:hAnsi="Times New Roman" w:eastAsia="黑体"/>
          <w:b/>
          <w:color w:val="auto"/>
          <w:sz w:val="24"/>
          <w:szCs w:val="24"/>
          <w:highlight w:val="none"/>
          <w:vertAlign w:val="baseline"/>
          <w:lang w:val="en-US" w:eastAsia="zh-CN"/>
        </w:rPr>
        <w:t>表三</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12CB8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2638CC3B">
            <w:pPr>
              <w:keepNext w:val="0"/>
              <w:keepLines w:val="0"/>
              <w:pageBreakBefore w:val="0"/>
              <w:widowControl w:val="0"/>
              <w:kinsoku/>
              <w:wordWrap w:val="0"/>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主要污染源、污染物处理和排放（附处理流程示意图，标出废水、废气、厂界噪声监测点位）</w:t>
            </w:r>
          </w:p>
          <w:p w14:paraId="11CEA03C">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b/>
                <w:color w:val="auto"/>
                <w:sz w:val="28"/>
                <w:szCs w:val="28"/>
                <w:highlight w:val="none"/>
                <w:vertAlign w:val="baseline"/>
                <w:lang w:val="en-US" w:eastAsia="zh-CN"/>
              </w:rPr>
            </w:pPr>
            <w:r>
              <w:rPr>
                <w:rFonts w:hint="eastAsia" w:ascii="Times New Roman" w:hAnsi="Times New Roman"/>
                <w:b/>
                <w:color w:val="auto"/>
                <w:sz w:val="28"/>
                <w:szCs w:val="28"/>
                <w:highlight w:val="none"/>
                <w:vertAlign w:val="baseline"/>
                <w:lang w:val="en-US" w:eastAsia="zh-CN"/>
              </w:rPr>
              <w:t>1 项目主要污染源</w:t>
            </w:r>
          </w:p>
          <w:p w14:paraId="29A784C2">
            <w:pPr>
              <w:pStyle w:val="40"/>
              <w:ind w:left="0" w:leftChars="0" w:firstLine="0" w:firstLineChars="0"/>
              <w:rPr>
                <w:rFonts w:hint="eastAsia" w:ascii="Times New Roman" w:hAnsi="Times New Roman" w:eastAsia="宋体" w:cs="Times New Roman"/>
                <w:highlight w:val="none"/>
              </w:rPr>
            </w:pPr>
            <w:r>
              <w:rPr>
                <w:rFonts w:hint="eastAsia" w:ascii="Times New Roman" w:hAnsi="Times New Roman" w:eastAsia="宋体" w:cs="Times New Roman"/>
                <w:highlight w:val="none"/>
              </w:rPr>
              <w:t>运营期污染工序</w:t>
            </w:r>
          </w:p>
          <w:p w14:paraId="2DA970FF">
            <w:pPr>
              <w:keepNext w:val="0"/>
              <w:keepLines w:val="0"/>
              <w:pageBreakBefore w:val="0"/>
              <w:numPr>
                <w:ilvl w:val="0"/>
                <w:numId w:val="0"/>
              </w:numPr>
              <w:kinsoku/>
              <w:wordWrap/>
              <w:overflowPunct/>
              <w:topLinePunct w:val="0"/>
              <w:autoSpaceDE/>
              <w:autoSpaceDN/>
              <w:bidi w:val="0"/>
              <w:spacing w:line="360" w:lineRule="auto"/>
              <w:ind w:right="0"/>
              <w:textAlignment w:val="auto"/>
              <w:rPr>
                <w:rFonts w:hint="eastAsia" w:ascii="Times New Roman" w:hAnsi="Times New Roman" w:eastAsia="宋体" w:cs="Times New Roman"/>
                <w:b/>
                <w:bCs/>
                <w:sz w:val="24"/>
                <w:szCs w:val="24"/>
                <w:highlight w:val="none"/>
                <w:lang w:val="en-US" w:eastAsia="zh-CN"/>
              </w:rPr>
            </w:pPr>
            <w:r>
              <w:rPr>
                <w:rFonts w:hint="eastAsia" w:ascii="Times New Roman" w:hAnsi="Times New Roman" w:eastAsia="宋体" w:cs="Times New Roman"/>
                <w:b/>
                <w:bCs/>
                <w:sz w:val="24"/>
                <w:szCs w:val="24"/>
                <w:highlight w:val="none"/>
                <w:lang w:val="en-US" w:eastAsia="zh-CN"/>
              </w:rPr>
              <w:t>1.1废气</w:t>
            </w:r>
          </w:p>
          <w:p w14:paraId="6E4FCE4B">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本项目废气主要为泡沫制品包装生产线产生的</w:t>
            </w:r>
            <w:r>
              <w:rPr>
                <w:rFonts w:hint="default" w:ascii="Times New Roman" w:hAnsi="Times New Roman" w:eastAsia="宋体" w:cs="Times New Roman"/>
                <w:b w:val="0"/>
                <w:bCs w:val="0"/>
                <w:sz w:val="24"/>
                <w:szCs w:val="24"/>
                <w:highlight w:val="none"/>
                <w:lang w:val="en-US" w:eastAsia="zh-CN"/>
              </w:rPr>
              <w:t>非甲烷总烃、苯乙烯、甲苯、乙苯、颗粒物</w:t>
            </w:r>
            <w:r>
              <w:rPr>
                <w:rFonts w:hint="eastAsia" w:ascii="Times New Roman" w:hAnsi="Times New Roman" w:eastAsia="宋体" w:cs="Times New Roman"/>
                <w:b w:val="0"/>
                <w:bCs w:val="0"/>
                <w:sz w:val="24"/>
                <w:szCs w:val="24"/>
                <w:highlight w:val="none"/>
                <w:lang w:val="en-US" w:eastAsia="zh-CN"/>
              </w:rPr>
              <w:t>，以及木制品加工过程中产生的颗粒物。</w:t>
            </w:r>
          </w:p>
          <w:p w14:paraId="6EBDEAF1">
            <w:pPr>
              <w:keepNext w:val="0"/>
              <w:keepLines w:val="0"/>
              <w:pageBreakBefore w:val="0"/>
              <w:numPr>
                <w:ilvl w:val="0"/>
                <w:numId w:val="0"/>
              </w:numPr>
              <w:kinsoku/>
              <w:wordWrap/>
              <w:overflowPunct/>
              <w:topLinePunct w:val="0"/>
              <w:autoSpaceDE/>
              <w:autoSpaceDN/>
              <w:bidi w:val="0"/>
              <w:spacing w:line="360" w:lineRule="auto"/>
              <w:ind w:right="0"/>
              <w:textAlignment w:val="auto"/>
              <w:rPr>
                <w:rFonts w:hint="eastAsia" w:ascii="Times New Roman" w:hAnsi="Times New Roman" w:eastAsia="宋体" w:cs="Times New Roman"/>
                <w:b/>
                <w:bCs/>
                <w:sz w:val="24"/>
                <w:szCs w:val="24"/>
                <w:highlight w:val="none"/>
                <w:lang w:val="en-US" w:eastAsia="zh-CN"/>
              </w:rPr>
            </w:pPr>
            <w:r>
              <w:rPr>
                <w:rFonts w:hint="eastAsia" w:ascii="Times New Roman" w:hAnsi="Times New Roman" w:eastAsia="宋体" w:cs="Times New Roman"/>
                <w:b/>
                <w:bCs/>
                <w:sz w:val="24"/>
                <w:szCs w:val="24"/>
                <w:highlight w:val="none"/>
                <w:lang w:val="en-US" w:eastAsia="zh-CN"/>
              </w:rPr>
              <w:t>1.2废水</w:t>
            </w:r>
          </w:p>
          <w:p w14:paraId="1DC426E9">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default"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本项目用水主要为生活用水及泡沫制品包装生产线产生的冷凝水及冷却循环水。</w:t>
            </w:r>
          </w:p>
          <w:p w14:paraId="39EBE911">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（1）生活废水</w:t>
            </w:r>
          </w:p>
          <w:p w14:paraId="6B49FB5C">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lang w:val="en-US" w:eastAsia="zh-CN"/>
              </w:rPr>
              <w:t>由于本项目所在区域无市政管网，且验收阶段，生活污水排入防渗旱厕定期清掏不外排。一旦布设管网，本项目生活污水排入化粪池处理后，在监测达标后方可排入市政管网。</w:t>
            </w:r>
          </w:p>
          <w:p w14:paraId="393FF791">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（2）冷凝水</w:t>
            </w:r>
          </w:p>
          <w:p w14:paraId="49E7BB20">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本项目冷凝水排入冷凝水收集池（共4个，每个容积为30m3）。收集后送入冷却水循环系统，循环使用，不外排。</w:t>
            </w:r>
          </w:p>
          <w:p w14:paraId="6F635953">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（3）冷却循环水</w:t>
            </w:r>
          </w:p>
          <w:p w14:paraId="1F35B194">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highlight w:val="none"/>
                <w:lang w:val="en-US" w:eastAsia="zh-CN"/>
              </w:rPr>
            </w:pPr>
            <w:r>
              <w:rPr>
                <w:rFonts w:hint="eastAsia" w:ascii="Times New Roman" w:hAnsi="Times New Roman" w:eastAsia="宋体" w:cs="Times New Roman"/>
                <w:highlight w:val="none"/>
                <w:lang w:eastAsia="zh-CN"/>
              </w:rPr>
              <w:t>脱模工序的间接冷却水（单独存在管道中，不与生产工序接触），循环使用，不外排</w:t>
            </w:r>
            <w:r>
              <w:rPr>
                <w:rFonts w:hint="eastAsia" w:ascii="Times New Roman" w:hAnsi="Times New Roman" w:eastAsia="宋体" w:cs="Times New Roman"/>
                <w:b w:val="0"/>
                <w:bCs w:val="0"/>
                <w:sz w:val="24"/>
                <w:szCs w:val="24"/>
                <w:highlight w:val="none"/>
                <w:lang w:val="en-US" w:eastAsia="zh-CN"/>
              </w:rPr>
              <w:t>。</w:t>
            </w:r>
          </w:p>
          <w:p w14:paraId="1E0F4C21">
            <w:pPr>
              <w:keepNext w:val="0"/>
              <w:keepLines w:val="0"/>
              <w:pageBreakBefore w:val="0"/>
              <w:numPr>
                <w:ilvl w:val="0"/>
                <w:numId w:val="0"/>
              </w:numPr>
              <w:kinsoku/>
              <w:wordWrap/>
              <w:overflowPunct/>
              <w:topLinePunct w:val="0"/>
              <w:autoSpaceDE/>
              <w:autoSpaceDN/>
              <w:bidi w:val="0"/>
              <w:spacing w:line="360" w:lineRule="auto"/>
              <w:ind w:right="0"/>
              <w:textAlignment w:val="auto"/>
              <w:rPr>
                <w:rFonts w:hint="eastAsia" w:ascii="Times New Roman" w:hAnsi="Times New Roman" w:eastAsia="宋体" w:cs="Times New Roman"/>
                <w:b/>
                <w:bCs/>
                <w:sz w:val="24"/>
                <w:szCs w:val="24"/>
                <w:highlight w:val="none"/>
                <w:lang w:val="en-US" w:eastAsia="zh-CN"/>
              </w:rPr>
            </w:pPr>
            <w:r>
              <w:rPr>
                <w:rFonts w:hint="eastAsia" w:ascii="Times New Roman" w:hAnsi="Times New Roman" w:eastAsia="宋体" w:cs="Times New Roman"/>
                <w:b/>
                <w:bCs/>
                <w:sz w:val="24"/>
                <w:szCs w:val="24"/>
                <w:highlight w:val="none"/>
                <w:lang w:val="en-US" w:eastAsia="zh-CN"/>
              </w:rPr>
              <w:t>1.3噪声</w:t>
            </w:r>
          </w:p>
          <w:p w14:paraId="33DE5F1B">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本项目噪声源主要为设备运行过程中产生的噪声，主要包括成型机、预发机、真空系统等，生产设施均位于车间内部，无室外噪声源。生产噪声源强为65-90</w:t>
            </w:r>
            <w:r>
              <w:rPr>
                <w:rFonts w:hint="default" w:ascii="Times New Roman" w:hAnsi="Times New Roman" w:eastAsia="宋体" w:cs="Times New Roman"/>
                <w:b w:val="0"/>
                <w:bCs w:val="0"/>
                <w:sz w:val="24"/>
                <w:szCs w:val="24"/>
                <w:highlight w:val="none"/>
                <w:lang w:val="en-US" w:eastAsia="zh-CN"/>
              </w:rPr>
              <w:t>dB(A)</w:t>
            </w:r>
            <w:r>
              <w:rPr>
                <w:rFonts w:hint="eastAsia" w:ascii="Times New Roman" w:hAnsi="Times New Roman" w:eastAsia="宋体" w:cs="Times New Roman"/>
                <w:b w:val="0"/>
                <w:bCs w:val="0"/>
                <w:sz w:val="24"/>
                <w:szCs w:val="24"/>
                <w:highlight w:val="none"/>
                <w:lang w:val="en-US" w:eastAsia="zh-CN"/>
              </w:rPr>
              <w:t>。</w:t>
            </w:r>
          </w:p>
          <w:p w14:paraId="643C102E">
            <w:pPr>
              <w:keepNext w:val="0"/>
              <w:keepLines w:val="0"/>
              <w:pageBreakBefore w:val="0"/>
              <w:numPr>
                <w:ilvl w:val="0"/>
                <w:numId w:val="0"/>
              </w:numPr>
              <w:kinsoku/>
              <w:wordWrap/>
              <w:overflowPunct/>
              <w:topLinePunct w:val="0"/>
              <w:autoSpaceDE/>
              <w:autoSpaceDN/>
              <w:bidi w:val="0"/>
              <w:spacing w:line="360" w:lineRule="auto"/>
              <w:ind w:right="0"/>
              <w:textAlignment w:val="auto"/>
              <w:rPr>
                <w:rFonts w:hint="eastAsia" w:ascii="Times New Roman" w:hAnsi="Times New Roman" w:eastAsia="宋体" w:cs="Times New Roman"/>
                <w:b/>
                <w:bCs/>
                <w:sz w:val="24"/>
                <w:szCs w:val="24"/>
                <w:highlight w:val="none"/>
                <w:lang w:val="en-US" w:eastAsia="zh-CN"/>
              </w:rPr>
            </w:pPr>
            <w:r>
              <w:rPr>
                <w:rFonts w:hint="eastAsia" w:ascii="Times New Roman" w:hAnsi="Times New Roman" w:eastAsia="宋体" w:cs="Times New Roman"/>
                <w:b/>
                <w:bCs/>
                <w:sz w:val="24"/>
                <w:szCs w:val="24"/>
                <w:highlight w:val="none"/>
                <w:lang w:val="en-US" w:eastAsia="zh-CN"/>
              </w:rPr>
              <w:t>1.4固体废物</w:t>
            </w:r>
          </w:p>
          <w:p w14:paraId="2EB162B1">
            <w:pPr>
              <w:bidi w:val="0"/>
              <w:rPr>
                <w:rFonts w:hint="eastAsia"/>
                <w:highlight w:val="none"/>
                <w:lang w:val="en-US" w:eastAsia="zh-CN"/>
              </w:rPr>
            </w:pPr>
            <w:r>
              <w:rPr>
                <w:rFonts w:hint="eastAsia"/>
                <w:highlight w:val="none"/>
                <w:lang w:val="en-US" w:eastAsia="zh-CN"/>
              </w:rPr>
              <w:t>本项目固废包括生活垃圾、一般工业固废、危险废物。</w:t>
            </w:r>
          </w:p>
          <w:p w14:paraId="64BFCE0D">
            <w:pPr>
              <w:bidi w:val="0"/>
              <w:rPr>
                <w:rFonts w:hint="eastAsia"/>
                <w:highlight w:val="none"/>
                <w:lang w:val="en-US" w:eastAsia="zh-CN"/>
              </w:rPr>
            </w:pPr>
            <w:r>
              <w:rPr>
                <w:rFonts w:hint="eastAsia"/>
                <w:highlight w:val="none"/>
                <w:lang w:val="en-US" w:eastAsia="zh-CN"/>
              </w:rPr>
              <w:t>（1）生活垃圾</w:t>
            </w:r>
          </w:p>
          <w:p w14:paraId="05248941">
            <w:pPr>
              <w:bidi w:val="0"/>
              <w:rPr>
                <w:rFonts w:hint="eastAsia"/>
                <w:highlight w:val="none"/>
                <w:lang w:val="en-US" w:eastAsia="zh-CN"/>
              </w:rPr>
            </w:pPr>
            <w:r>
              <w:rPr>
                <w:rFonts w:hint="eastAsia"/>
                <w:highlight w:val="none"/>
                <w:lang w:val="en-US" w:eastAsia="zh-CN"/>
              </w:rPr>
              <w:t>项目营运期职工有12人，生活垃圾产生量约为4.38t/a。产生的生活垃圾由公司统一收集，定期交由环卫部门清运、处理。</w:t>
            </w:r>
          </w:p>
          <w:p w14:paraId="30FA6C63">
            <w:pPr>
              <w:bidi w:val="0"/>
              <w:rPr>
                <w:rFonts w:hint="default"/>
                <w:highlight w:val="none"/>
                <w:lang w:val="en-US" w:eastAsia="zh-CN"/>
              </w:rPr>
            </w:pPr>
            <w:r>
              <w:rPr>
                <w:rFonts w:hint="eastAsia"/>
                <w:highlight w:val="none"/>
                <w:lang w:val="en-US" w:eastAsia="zh-CN"/>
              </w:rPr>
              <w:t xml:space="preserve">（2）一般工业固废   </w:t>
            </w:r>
          </w:p>
          <w:p w14:paraId="3FDB623A">
            <w:pPr>
              <w:bidi w:val="0"/>
              <w:rPr>
                <w:rFonts w:hint="eastAsia"/>
                <w:highlight w:val="none"/>
                <w:lang w:val="en-US" w:eastAsia="zh-CN"/>
              </w:rPr>
            </w:pPr>
            <w:r>
              <w:rPr>
                <w:rFonts w:hint="eastAsia"/>
                <w:highlight w:val="none"/>
                <w:lang w:val="en-US" w:eastAsia="zh-CN"/>
              </w:rPr>
              <w:t>本项目一般工业固废主要为泡沫制品包装产生的泡沫边角料及除尘器产生的除尘灰。</w:t>
            </w:r>
          </w:p>
          <w:p w14:paraId="01F40196">
            <w:pPr>
              <w:bidi w:val="0"/>
              <w:rPr>
                <w:rFonts w:hint="eastAsia"/>
                <w:highlight w:val="none"/>
                <w:lang w:val="en-US" w:eastAsia="zh-CN"/>
              </w:rPr>
            </w:pPr>
            <w:r>
              <w:rPr>
                <w:rFonts w:hint="eastAsia"/>
                <w:highlight w:val="none"/>
                <w:lang w:val="en-US" w:eastAsia="zh-CN"/>
              </w:rPr>
              <w:t>①泡沫边角料</w:t>
            </w:r>
          </w:p>
          <w:p w14:paraId="7B6AD122">
            <w:pPr>
              <w:bidi w:val="0"/>
              <w:rPr>
                <w:rFonts w:hint="eastAsia"/>
                <w:highlight w:val="none"/>
                <w:lang w:val="en-US" w:eastAsia="zh-CN"/>
              </w:rPr>
            </w:pPr>
            <w:r>
              <w:rPr>
                <w:rFonts w:hint="eastAsia"/>
                <w:highlight w:val="none"/>
                <w:lang w:val="en-US" w:eastAsia="zh-CN"/>
              </w:rPr>
              <w:t>本项目EPS泡沫制品包装生产线泡沫边角料产生量约为0.9t/a。利用包装袋收集后由</w:t>
            </w:r>
            <w:r>
              <w:rPr>
                <w:rFonts w:hint="default"/>
                <w:highlight w:val="none"/>
                <w:lang w:val="en-US" w:eastAsia="zh-CN"/>
              </w:rPr>
              <w:t>环卫部门处理</w:t>
            </w:r>
          </w:p>
          <w:p w14:paraId="6F8E3FDD">
            <w:pPr>
              <w:bidi w:val="0"/>
              <w:rPr>
                <w:rFonts w:hint="eastAsia"/>
                <w:highlight w:val="none"/>
                <w:lang w:val="en-US" w:eastAsia="zh-CN"/>
              </w:rPr>
            </w:pPr>
            <w:r>
              <w:rPr>
                <w:rFonts w:hint="eastAsia"/>
                <w:highlight w:val="none"/>
                <w:lang w:val="en-US" w:eastAsia="zh-CN"/>
              </w:rPr>
              <w:t>②除尘灰</w:t>
            </w:r>
          </w:p>
          <w:p w14:paraId="21CA3906">
            <w:pPr>
              <w:bidi w:val="0"/>
              <w:rPr>
                <w:rFonts w:hint="default"/>
                <w:lang w:val="en-US" w:eastAsia="zh-CN"/>
              </w:rPr>
            </w:pPr>
            <w:r>
              <w:rPr>
                <w:rFonts w:hint="eastAsia"/>
                <w:highlight w:val="none"/>
                <w:lang w:val="en-US" w:eastAsia="zh-CN"/>
              </w:rPr>
              <w:t>本项目除尘器收集的除尘灰约为2.85t/a，利用包装袋收集后由</w:t>
            </w:r>
            <w:r>
              <w:rPr>
                <w:rFonts w:hint="default"/>
                <w:highlight w:val="none"/>
                <w:lang w:val="en-US" w:eastAsia="zh-CN"/>
              </w:rPr>
              <w:t>环卫部门处理</w:t>
            </w:r>
            <w:r>
              <w:rPr>
                <w:rFonts w:hint="eastAsia"/>
                <w:highlight w:val="none"/>
                <w:lang w:val="en-US" w:eastAsia="zh-CN"/>
              </w:rPr>
              <w:t>。</w:t>
            </w:r>
          </w:p>
          <w:p w14:paraId="4FDF4D60">
            <w:pPr>
              <w:bidi w:val="0"/>
              <w:rPr>
                <w:rFonts w:hint="eastAsia"/>
                <w:highlight w:val="none"/>
                <w:lang w:val="en-US" w:eastAsia="zh-CN"/>
              </w:rPr>
            </w:pPr>
            <w:r>
              <w:rPr>
                <w:rFonts w:hint="eastAsia"/>
                <w:highlight w:val="none"/>
                <w:lang w:val="en-US" w:eastAsia="zh-CN"/>
              </w:rPr>
              <w:t>（3）危险废物</w:t>
            </w:r>
          </w:p>
          <w:p w14:paraId="2F424F47">
            <w:pPr>
              <w:bidi w:val="0"/>
              <w:rPr>
                <w:rFonts w:hint="eastAsia"/>
                <w:highlight w:val="none"/>
                <w:lang w:val="en-US" w:eastAsia="zh-CN"/>
              </w:rPr>
            </w:pPr>
            <w:r>
              <w:rPr>
                <w:rFonts w:hint="eastAsia"/>
                <w:highlight w:val="none"/>
                <w:lang w:val="en-US" w:eastAsia="zh-CN"/>
              </w:rPr>
              <w:t>①废机油、废油桶</w:t>
            </w:r>
          </w:p>
          <w:p w14:paraId="2BD11EA7">
            <w:pPr>
              <w:bidi w:val="0"/>
              <w:rPr>
                <w:rFonts w:hint="eastAsia"/>
                <w:highlight w:val="none"/>
                <w:lang w:val="en-US" w:eastAsia="zh-CN"/>
              </w:rPr>
            </w:pPr>
            <w:r>
              <w:rPr>
                <w:rFonts w:hint="eastAsia"/>
                <w:highlight w:val="none"/>
                <w:lang w:val="en-US" w:eastAsia="zh-CN"/>
              </w:rPr>
              <w:t>本项目生产设备日常检修会产生废机油、废油桶，项目运行期间废机油产生量为1t/a，废油桶产生量为0.06t/a。经企业危险废物暂存间暂存后交由有资质单位进行集中处理。</w:t>
            </w:r>
          </w:p>
          <w:p w14:paraId="73C8F8A9">
            <w:pPr>
              <w:bidi w:val="0"/>
              <w:rPr>
                <w:rFonts w:hint="eastAsia"/>
                <w:highlight w:val="none"/>
                <w:lang w:val="en-US" w:eastAsia="zh-CN"/>
              </w:rPr>
            </w:pPr>
            <w:r>
              <w:rPr>
                <w:rFonts w:hint="eastAsia"/>
                <w:highlight w:val="none"/>
                <w:lang w:val="en-US" w:eastAsia="zh-CN"/>
              </w:rPr>
              <w:t>②废活性炭</w:t>
            </w:r>
          </w:p>
          <w:p w14:paraId="0D0EBBD0">
            <w:pPr>
              <w:bidi w:val="0"/>
              <w:rPr>
                <w:rFonts w:hint="default"/>
                <w:highlight w:val="none"/>
                <w:lang w:val="en-US" w:eastAsia="zh-CN"/>
              </w:rPr>
            </w:pPr>
            <w:r>
              <w:rPr>
                <w:rFonts w:hint="eastAsia"/>
                <w:highlight w:val="none"/>
                <w:lang w:val="en-US" w:eastAsia="zh-CN"/>
              </w:rPr>
              <w:t>本项目废气挥发性有机物治理过程中废活性炭年产生量为26.8t/a，对照《国家危险废物名录（2021版）》属于HW49其他废物类危险废物，经企业危险废物暂存间暂存后交由有资质单位进行集中处理。</w:t>
            </w:r>
          </w:p>
          <w:p w14:paraId="529DF419">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b/>
                <w:color w:val="auto"/>
                <w:sz w:val="28"/>
                <w:szCs w:val="28"/>
                <w:highlight w:val="none"/>
                <w:vertAlign w:val="baseline"/>
                <w:lang w:val="en-US" w:eastAsia="zh-CN"/>
              </w:rPr>
            </w:pPr>
            <w:r>
              <w:rPr>
                <w:rFonts w:hint="eastAsia" w:ascii="Times New Roman" w:hAnsi="Times New Roman"/>
                <w:b/>
                <w:color w:val="auto"/>
                <w:sz w:val="28"/>
                <w:szCs w:val="28"/>
                <w:highlight w:val="none"/>
                <w:vertAlign w:val="baseline"/>
                <w:lang w:val="en-US" w:eastAsia="zh-CN"/>
              </w:rPr>
              <w:t>2污染物处理及排放</w:t>
            </w:r>
          </w:p>
          <w:p w14:paraId="114B94A5">
            <w:pPr>
              <w:keepNext w:val="0"/>
              <w:keepLines w:val="0"/>
              <w:pageBreakBefore w:val="0"/>
              <w:numPr>
                <w:ilvl w:val="0"/>
                <w:numId w:val="0"/>
              </w:numPr>
              <w:kinsoku/>
              <w:wordWrap/>
              <w:overflowPunct/>
              <w:topLinePunct w:val="0"/>
              <w:autoSpaceDE/>
              <w:autoSpaceDN/>
              <w:bidi w:val="0"/>
              <w:spacing w:line="360" w:lineRule="auto"/>
              <w:ind w:right="0"/>
              <w:textAlignment w:val="auto"/>
              <w:rPr>
                <w:rFonts w:hint="default" w:ascii="Times New Roman" w:hAnsi="Times New Roman" w:eastAsia="宋体" w:cs="Times New Roman"/>
                <w:b/>
                <w:bCs/>
                <w:sz w:val="24"/>
                <w:szCs w:val="24"/>
                <w:highlight w:val="none"/>
                <w:lang w:val="en-US" w:eastAsia="zh-CN"/>
              </w:rPr>
            </w:pPr>
            <w:r>
              <w:rPr>
                <w:rFonts w:hint="eastAsia" w:ascii="Times New Roman" w:hAnsi="Times New Roman" w:eastAsia="宋体" w:cs="Times New Roman"/>
                <w:b/>
                <w:bCs/>
                <w:sz w:val="24"/>
                <w:szCs w:val="24"/>
                <w:highlight w:val="none"/>
                <w:lang w:val="en-US" w:eastAsia="zh-CN"/>
              </w:rPr>
              <w:t>2.1废气</w:t>
            </w:r>
          </w:p>
          <w:p w14:paraId="47DB265E">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本项目废气主要为泡沫制品包装生产线产生的</w:t>
            </w:r>
            <w:r>
              <w:rPr>
                <w:rFonts w:hint="default" w:ascii="Times New Roman" w:hAnsi="Times New Roman" w:eastAsia="宋体" w:cs="Times New Roman"/>
                <w:b w:val="0"/>
                <w:bCs w:val="0"/>
                <w:sz w:val="24"/>
                <w:szCs w:val="24"/>
                <w:highlight w:val="none"/>
                <w:lang w:val="en-US" w:eastAsia="zh-CN"/>
              </w:rPr>
              <w:t>非甲烷总烃、苯乙烯、甲苯、乙苯、颗粒物</w:t>
            </w:r>
            <w:r>
              <w:rPr>
                <w:rFonts w:hint="eastAsia" w:ascii="Times New Roman" w:hAnsi="Times New Roman" w:eastAsia="宋体" w:cs="Times New Roman"/>
                <w:b w:val="0"/>
                <w:bCs w:val="0"/>
                <w:sz w:val="24"/>
                <w:szCs w:val="24"/>
                <w:highlight w:val="none"/>
                <w:lang w:val="en-US" w:eastAsia="zh-CN"/>
              </w:rPr>
              <w:t>，以及木制品加工过程中产生的颗粒物。</w:t>
            </w:r>
          </w:p>
          <w:p w14:paraId="6C765712">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（1）泡沫制品包装</w:t>
            </w:r>
          </w:p>
          <w:p w14:paraId="0DBBDA2A">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本项目泡沫制品包装生产线运营过程预发，熟化，成型及干燥工序会产生</w:t>
            </w:r>
            <w:r>
              <w:rPr>
                <w:rFonts w:hint="default" w:ascii="Times New Roman" w:hAnsi="Times New Roman" w:eastAsia="宋体" w:cs="Times New Roman"/>
                <w:b w:val="0"/>
                <w:bCs w:val="0"/>
                <w:sz w:val="24"/>
                <w:szCs w:val="24"/>
                <w:highlight w:val="none"/>
                <w:lang w:val="en-US" w:eastAsia="zh-CN"/>
              </w:rPr>
              <w:t>非甲烷总烃、苯乙烯、甲苯、乙苯</w:t>
            </w:r>
            <w:r>
              <w:rPr>
                <w:rFonts w:hint="eastAsia" w:ascii="Times New Roman" w:hAnsi="Times New Roman" w:eastAsia="宋体" w:cs="Times New Roman"/>
                <w:b w:val="0"/>
                <w:bCs w:val="0"/>
                <w:sz w:val="24"/>
                <w:szCs w:val="24"/>
                <w:highlight w:val="none"/>
                <w:lang w:val="en-US" w:eastAsia="zh-CN"/>
              </w:rPr>
              <w:t>及</w:t>
            </w:r>
            <w:r>
              <w:rPr>
                <w:rFonts w:hint="default" w:ascii="Times New Roman" w:hAnsi="Times New Roman" w:eastAsia="宋体" w:cs="Times New Roman"/>
                <w:b w:val="0"/>
                <w:bCs w:val="0"/>
                <w:sz w:val="24"/>
                <w:szCs w:val="24"/>
                <w:highlight w:val="none"/>
                <w:lang w:val="en-US" w:eastAsia="zh-CN"/>
              </w:rPr>
              <w:t>颗粒物</w:t>
            </w:r>
            <w:r>
              <w:rPr>
                <w:rFonts w:hint="eastAsia" w:ascii="Times New Roman" w:hAnsi="Times New Roman" w:eastAsia="宋体" w:cs="Times New Roman"/>
                <w:b w:val="0"/>
                <w:bCs w:val="0"/>
                <w:sz w:val="24"/>
                <w:szCs w:val="24"/>
                <w:highlight w:val="none"/>
                <w:lang w:val="en-US" w:eastAsia="zh-CN"/>
              </w:rPr>
              <w:t>。</w:t>
            </w:r>
          </w:p>
          <w:p w14:paraId="75C15607">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预发工序在封闭车间内进行，同时发泡机上方设有</w:t>
            </w:r>
            <w:r>
              <w:rPr>
                <w:rFonts w:hint="default" w:ascii="Times New Roman" w:hAnsi="Times New Roman" w:eastAsia="宋体" w:cs="Times New Roman"/>
                <w:b w:val="0"/>
                <w:bCs w:val="0"/>
                <w:sz w:val="24"/>
                <w:szCs w:val="24"/>
                <w:highlight w:val="none"/>
                <w:lang w:val="en-US" w:eastAsia="zh-CN"/>
              </w:rPr>
              <w:t>局部密闭式集气罩</w:t>
            </w:r>
            <w:r>
              <w:rPr>
                <w:rFonts w:hint="eastAsia" w:ascii="Times New Roman" w:hAnsi="Times New Roman" w:eastAsia="宋体" w:cs="Times New Roman"/>
                <w:b w:val="0"/>
                <w:bCs w:val="0"/>
                <w:sz w:val="24"/>
                <w:szCs w:val="24"/>
                <w:highlight w:val="none"/>
                <w:lang w:val="en-US" w:eastAsia="zh-CN"/>
              </w:rPr>
              <w:t>，同时</w:t>
            </w:r>
            <w:r>
              <w:rPr>
                <w:rFonts w:hint="default" w:ascii="Times New Roman" w:hAnsi="Times New Roman" w:eastAsia="宋体" w:cs="Times New Roman"/>
                <w:b w:val="0"/>
                <w:bCs w:val="0"/>
                <w:sz w:val="24"/>
                <w:szCs w:val="24"/>
                <w:highlight w:val="none"/>
                <w:lang w:val="en-US" w:eastAsia="zh-CN"/>
              </w:rPr>
              <w:t>成型</w:t>
            </w:r>
            <w:r>
              <w:rPr>
                <w:rFonts w:hint="eastAsia" w:ascii="Times New Roman" w:hAnsi="Times New Roman" w:eastAsia="宋体" w:cs="Times New Roman"/>
                <w:b w:val="0"/>
                <w:bCs w:val="0"/>
                <w:sz w:val="24"/>
                <w:szCs w:val="24"/>
                <w:highlight w:val="none"/>
                <w:lang w:val="en-US" w:eastAsia="zh-CN"/>
              </w:rPr>
              <w:t>车间、</w:t>
            </w:r>
            <w:r>
              <w:rPr>
                <w:rFonts w:hint="default" w:ascii="Times New Roman" w:hAnsi="Times New Roman" w:eastAsia="宋体" w:cs="Times New Roman"/>
                <w:b w:val="0"/>
                <w:bCs w:val="0"/>
                <w:sz w:val="24"/>
                <w:szCs w:val="24"/>
                <w:highlight w:val="none"/>
                <w:lang w:val="en-US" w:eastAsia="zh-CN"/>
              </w:rPr>
              <w:t>熟化</w:t>
            </w:r>
            <w:r>
              <w:rPr>
                <w:rFonts w:hint="eastAsia" w:ascii="Times New Roman" w:hAnsi="Times New Roman" w:eastAsia="宋体" w:cs="Times New Roman"/>
                <w:b w:val="0"/>
                <w:bCs w:val="0"/>
                <w:sz w:val="24"/>
                <w:szCs w:val="24"/>
                <w:highlight w:val="none"/>
                <w:lang w:val="en-US" w:eastAsia="zh-CN"/>
              </w:rPr>
              <w:t>车间及</w:t>
            </w:r>
            <w:r>
              <w:rPr>
                <w:rFonts w:hint="default" w:ascii="Times New Roman" w:hAnsi="Times New Roman" w:eastAsia="宋体" w:cs="Times New Roman"/>
                <w:b w:val="0"/>
                <w:bCs w:val="0"/>
                <w:sz w:val="24"/>
                <w:szCs w:val="24"/>
                <w:highlight w:val="none"/>
                <w:lang w:val="en-US" w:eastAsia="zh-CN"/>
              </w:rPr>
              <w:t>干燥室为</w:t>
            </w:r>
            <w:r>
              <w:rPr>
                <w:rFonts w:hint="eastAsia" w:ascii="Times New Roman" w:hAnsi="Times New Roman" w:eastAsia="宋体" w:cs="Times New Roman"/>
                <w:b w:val="0"/>
                <w:bCs w:val="0"/>
                <w:sz w:val="24"/>
                <w:szCs w:val="24"/>
                <w:highlight w:val="none"/>
                <w:lang w:val="en-US" w:eastAsia="zh-CN"/>
              </w:rPr>
              <w:t>均</w:t>
            </w:r>
            <w:r>
              <w:rPr>
                <w:rFonts w:hint="default" w:ascii="Times New Roman" w:hAnsi="Times New Roman" w:eastAsia="宋体" w:cs="Times New Roman"/>
                <w:b w:val="0"/>
                <w:bCs w:val="0"/>
                <w:sz w:val="24"/>
                <w:szCs w:val="24"/>
                <w:highlight w:val="none"/>
                <w:lang w:val="en-US" w:eastAsia="zh-CN"/>
              </w:rPr>
              <w:t>封闭</w:t>
            </w:r>
            <w:r>
              <w:rPr>
                <w:rFonts w:hint="eastAsia" w:ascii="Times New Roman" w:hAnsi="Times New Roman" w:eastAsia="宋体" w:cs="Times New Roman"/>
                <w:b w:val="0"/>
                <w:bCs w:val="0"/>
                <w:sz w:val="24"/>
                <w:szCs w:val="24"/>
                <w:highlight w:val="none"/>
                <w:lang w:val="en-US" w:eastAsia="zh-CN"/>
              </w:rPr>
              <w:t>负压车间，且内均设有集气管道收集各污染工序产生的废气，生产废气经收集后通过三级</w:t>
            </w:r>
            <w:r>
              <w:rPr>
                <w:rFonts w:hint="default" w:ascii="Times New Roman" w:hAnsi="Times New Roman" w:eastAsia="宋体" w:cs="Times New Roman"/>
                <w:b w:val="0"/>
                <w:bCs w:val="0"/>
                <w:sz w:val="24"/>
                <w:szCs w:val="24"/>
                <w:highlight w:val="none"/>
                <w:lang w:val="en-US" w:eastAsia="zh-CN"/>
              </w:rPr>
              <w:t>活性炭吸附装置</w:t>
            </w:r>
            <w:r>
              <w:rPr>
                <w:rFonts w:hint="eastAsia" w:ascii="Times New Roman" w:hAnsi="Times New Roman" w:eastAsia="宋体" w:cs="Times New Roman"/>
                <w:b w:val="0"/>
                <w:bCs w:val="0"/>
                <w:sz w:val="24"/>
                <w:szCs w:val="24"/>
                <w:highlight w:val="none"/>
                <w:lang w:val="en-US" w:eastAsia="zh-CN"/>
              </w:rPr>
              <w:t>及布袋除尘器</w:t>
            </w:r>
            <w:r>
              <w:rPr>
                <w:rFonts w:hint="default" w:ascii="Times New Roman" w:hAnsi="Times New Roman" w:eastAsia="宋体" w:cs="Times New Roman"/>
                <w:b w:val="0"/>
                <w:bCs w:val="0"/>
                <w:sz w:val="24"/>
                <w:szCs w:val="24"/>
                <w:highlight w:val="none"/>
                <w:lang w:val="en-US" w:eastAsia="zh-CN"/>
              </w:rPr>
              <w:t>处理后通过1根15米高排气筒（DA001）排放</w:t>
            </w:r>
            <w:r>
              <w:rPr>
                <w:rFonts w:hint="eastAsia" w:ascii="Times New Roman" w:hAnsi="Times New Roman" w:eastAsia="宋体" w:cs="Times New Roman"/>
                <w:b w:val="0"/>
                <w:bCs w:val="0"/>
                <w:sz w:val="24"/>
                <w:szCs w:val="24"/>
                <w:highlight w:val="none"/>
                <w:lang w:val="en-US" w:eastAsia="zh-CN"/>
              </w:rPr>
              <w:t>。</w:t>
            </w:r>
          </w:p>
          <w:p w14:paraId="5D03320D">
            <w:pPr>
              <w:pStyle w:val="15"/>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textAlignment w:val="auto"/>
              <w:rPr>
                <w:rFonts w:hint="default" w:ascii="黑体" w:hAnsi="黑体" w:eastAsia="黑体" w:cs="黑体"/>
                <w:b w:val="0"/>
                <w:bCs/>
                <w:color w:val="auto"/>
                <w:kern w:val="2"/>
                <w:sz w:val="21"/>
                <w:szCs w:val="21"/>
                <w:highlight w:val="none"/>
                <w:vertAlign w:val="baseline"/>
                <w:lang w:val="en-US" w:eastAsia="zh-CN" w:bidi="ar-SA"/>
              </w:rPr>
            </w:pPr>
            <w:r>
              <w:rPr>
                <w:rFonts w:hint="eastAsia" w:ascii="黑体" w:hAnsi="黑体" w:eastAsia="黑体" w:cs="黑体"/>
                <w:b w:val="0"/>
                <w:bCs/>
                <w:color w:val="auto"/>
                <w:kern w:val="2"/>
                <w:sz w:val="21"/>
                <w:szCs w:val="21"/>
                <w:highlight w:val="none"/>
                <w:vertAlign w:val="baseline"/>
                <w:lang w:val="en-US" w:eastAsia="zh-CN" w:bidi="ar-SA"/>
              </w:rPr>
              <w:drawing>
                <wp:inline distT="0" distB="0" distL="114300" distR="114300">
                  <wp:extent cx="2256155" cy="2908300"/>
                  <wp:effectExtent l="0" t="0" r="10795" b="6350"/>
                  <wp:docPr id="18" name="图片 18" descr="1734586218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734586218032"/>
                          <pic:cNvPicPr>
                            <a:picLocks noChangeAspect="1"/>
                          </pic:cNvPicPr>
                        </pic:nvPicPr>
                        <pic:blipFill>
                          <a:blip r:embed="rId24"/>
                          <a:stretch>
                            <a:fillRect/>
                          </a:stretch>
                        </pic:blipFill>
                        <pic:spPr>
                          <a:xfrm>
                            <a:off x="0" y="0"/>
                            <a:ext cx="2256155" cy="2908300"/>
                          </a:xfrm>
                          <a:prstGeom prst="rect">
                            <a:avLst/>
                          </a:prstGeom>
                        </pic:spPr>
                      </pic:pic>
                    </a:graphicData>
                  </a:graphic>
                </wp:inline>
              </w:drawing>
            </w:r>
            <w:r>
              <w:rPr>
                <w:rFonts w:hint="eastAsia" w:ascii="黑体" w:hAnsi="黑体" w:eastAsia="黑体" w:cs="黑体"/>
                <w:b w:val="0"/>
                <w:bCs/>
                <w:color w:val="auto"/>
                <w:kern w:val="2"/>
                <w:sz w:val="21"/>
                <w:szCs w:val="21"/>
                <w:highlight w:val="none"/>
                <w:vertAlign w:val="baseline"/>
                <w:lang w:val="en-US" w:eastAsia="zh-CN" w:bidi="ar-SA"/>
              </w:rPr>
              <w:t xml:space="preserve"> </w:t>
            </w:r>
            <w:r>
              <w:rPr>
                <w:rFonts w:hint="default" w:ascii="黑体" w:hAnsi="黑体" w:eastAsia="黑体" w:cs="黑体"/>
                <w:b w:val="0"/>
                <w:bCs/>
                <w:color w:val="auto"/>
                <w:kern w:val="2"/>
                <w:sz w:val="21"/>
                <w:szCs w:val="21"/>
                <w:highlight w:val="none"/>
                <w:vertAlign w:val="baseline"/>
                <w:lang w:val="en-US" w:eastAsia="zh-CN" w:bidi="ar-SA"/>
              </w:rPr>
              <w:drawing>
                <wp:inline distT="0" distB="0" distL="114300" distR="114300">
                  <wp:extent cx="2844165" cy="1979930"/>
                  <wp:effectExtent l="0" t="0" r="13335" b="1270"/>
                  <wp:docPr id="19" name="图片 19" descr="173458626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734586269664"/>
                          <pic:cNvPicPr>
                            <a:picLocks noChangeAspect="1"/>
                          </pic:cNvPicPr>
                        </pic:nvPicPr>
                        <pic:blipFill>
                          <a:blip r:embed="rId25"/>
                          <a:stretch>
                            <a:fillRect/>
                          </a:stretch>
                        </pic:blipFill>
                        <pic:spPr>
                          <a:xfrm>
                            <a:off x="0" y="0"/>
                            <a:ext cx="2844165" cy="1979930"/>
                          </a:xfrm>
                          <a:prstGeom prst="rect">
                            <a:avLst/>
                          </a:prstGeom>
                        </pic:spPr>
                      </pic:pic>
                    </a:graphicData>
                  </a:graphic>
                </wp:inline>
              </w:drawing>
            </w:r>
          </w:p>
          <w:p w14:paraId="67D98FB5">
            <w:pPr>
              <w:pStyle w:val="23"/>
              <w:keepNext w:val="0"/>
              <w:keepLines w:val="0"/>
              <w:pageBreakBefore w:val="0"/>
              <w:widowControl w:val="0"/>
              <w:kinsoku/>
              <w:wordWrap/>
              <w:overflowPunct/>
              <w:topLinePunct w:val="0"/>
              <w:autoSpaceDE/>
              <w:autoSpaceDN/>
              <w:bidi w:val="0"/>
              <w:adjustRightInd/>
              <w:snapToGrid/>
              <w:spacing w:line="240" w:lineRule="auto"/>
              <w:ind w:left="0" w:leftChars="0" w:firstLine="1470" w:firstLineChars="700"/>
              <w:jc w:val="both"/>
              <w:textAlignment w:val="auto"/>
              <w:rPr>
                <w:rFonts w:hint="eastAsia"/>
                <w:highlight w:val="none"/>
                <w:lang w:val="en-US" w:eastAsia="zh-CN"/>
              </w:rPr>
            </w:pPr>
            <w:r>
              <w:rPr>
                <w:rFonts w:hint="eastAsia" w:ascii="黑体" w:hAnsi="黑体" w:eastAsia="黑体" w:cs="黑体"/>
                <w:b w:val="0"/>
                <w:bCs/>
                <w:color w:val="auto"/>
                <w:kern w:val="2"/>
                <w:sz w:val="21"/>
                <w:szCs w:val="21"/>
                <w:highlight w:val="none"/>
                <w:vertAlign w:val="baseline"/>
                <w:lang w:val="en-US" w:eastAsia="zh-CN" w:bidi="ar-SA"/>
              </w:rPr>
              <w:t>发泡车间                              干燥室</w:t>
            </w:r>
          </w:p>
          <w:p w14:paraId="2B74F330">
            <w:pPr>
              <w:pStyle w:val="15"/>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黑体" w:hAnsi="黑体" w:eastAsia="黑体" w:cs="黑体"/>
                <w:b w:val="0"/>
                <w:bCs/>
                <w:color w:val="auto"/>
                <w:kern w:val="2"/>
                <w:sz w:val="21"/>
                <w:szCs w:val="21"/>
                <w:highlight w:val="none"/>
                <w:vertAlign w:val="baseline"/>
                <w:lang w:val="en-US" w:eastAsia="zh-CN" w:bidi="ar-SA"/>
              </w:rPr>
            </w:pPr>
            <w:r>
              <w:rPr>
                <w:rFonts w:hint="eastAsia" w:ascii="黑体" w:hAnsi="黑体" w:eastAsia="黑体" w:cs="黑体"/>
                <w:b w:val="0"/>
                <w:bCs/>
                <w:color w:val="auto"/>
                <w:kern w:val="2"/>
                <w:sz w:val="21"/>
                <w:szCs w:val="21"/>
                <w:highlight w:val="none"/>
                <w:vertAlign w:val="baseline"/>
                <w:lang w:val="en-US" w:eastAsia="zh-CN" w:bidi="ar-SA"/>
              </w:rPr>
              <w:drawing>
                <wp:inline distT="0" distB="0" distL="114300" distR="114300">
                  <wp:extent cx="2598420" cy="2566670"/>
                  <wp:effectExtent l="0" t="0" r="11430" b="5080"/>
                  <wp:docPr id="42" name="图片 42" descr="1741762940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741762940797"/>
                          <pic:cNvPicPr>
                            <a:picLocks noChangeAspect="1"/>
                          </pic:cNvPicPr>
                        </pic:nvPicPr>
                        <pic:blipFill>
                          <a:blip r:embed="rId26"/>
                          <a:stretch>
                            <a:fillRect/>
                          </a:stretch>
                        </pic:blipFill>
                        <pic:spPr>
                          <a:xfrm>
                            <a:off x="0" y="0"/>
                            <a:ext cx="2598420" cy="2566670"/>
                          </a:xfrm>
                          <a:prstGeom prst="rect">
                            <a:avLst/>
                          </a:prstGeom>
                        </pic:spPr>
                      </pic:pic>
                    </a:graphicData>
                  </a:graphic>
                </wp:inline>
              </w:drawing>
            </w:r>
            <w:r>
              <w:rPr>
                <w:rFonts w:hint="eastAsia" w:ascii="黑体" w:hAnsi="黑体" w:eastAsia="黑体" w:cs="黑体"/>
                <w:b w:val="0"/>
                <w:bCs/>
                <w:color w:val="auto"/>
                <w:kern w:val="2"/>
                <w:sz w:val="21"/>
                <w:szCs w:val="21"/>
                <w:highlight w:val="none"/>
                <w:vertAlign w:val="baseline"/>
                <w:lang w:val="en-US" w:eastAsia="zh-CN" w:bidi="ar-SA"/>
              </w:rPr>
              <w:drawing>
                <wp:inline distT="0" distB="0" distL="114300" distR="114300">
                  <wp:extent cx="2575560" cy="2585720"/>
                  <wp:effectExtent l="0" t="0" r="15240" b="5080"/>
                  <wp:docPr id="40" name="图片 40" descr="1741762680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741762680775"/>
                          <pic:cNvPicPr>
                            <a:picLocks noChangeAspect="1"/>
                          </pic:cNvPicPr>
                        </pic:nvPicPr>
                        <pic:blipFill>
                          <a:blip r:embed="rId27"/>
                          <a:stretch>
                            <a:fillRect/>
                          </a:stretch>
                        </pic:blipFill>
                        <pic:spPr>
                          <a:xfrm>
                            <a:off x="0" y="0"/>
                            <a:ext cx="2575560" cy="2585720"/>
                          </a:xfrm>
                          <a:prstGeom prst="rect">
                            <a:avLst/>
                          </a:prstGeom>
                        </pic:spPr>
                      </pic:pic>
                    </a:graphicData>
                  </a:graphic>
                </wp:inline>
              </w:drawing>
            </w:r>
            <w:r>
              <w:rPr>
                <w:rFonts w:hint="eastAsia" w:ascii="黑体" w:hAnsi="黑体" w:eastAsia="黑体" w:cs="黑体"/>
                <w:b w:val="0"/>
                <w:bCs/>
                <w:color w:val="auto"/>
                <w:kern w:val="2"/>
                <w:sz w:val="21"/>
                <w:szCs w:val="21"/>
                <w:highlight w:val="none"/>
                <w:vertAlign w:val="baseline"/>
                <w:lang w:val="en-US" w:eastAsia="zh-CN" w:bidi="ar-SA"/>
              </w:rPr>
              <w:t xml:space="preserve"> </w:t>
            </w:r>
          </w:p>
          <w:p w14:paraId="6FF5FBB4">
            <w:pPr>
              <w:ind w:left="0" w:leftChars="0" w:firstLine="0" w:firstLineChars="0"/>
              <w:jc w:val="center"/>
              <w:rPr>
                <w:rFonts w:hint="eastAsia"/>
                <w:lang w:val="en-US" w:eastAsia="zh-CN"/>
              </w:rPr>
            </w:pPr>
            <w:r>
              <w:rPr>
                <w:rFonts w:hint="eastAsia" w:ascii="黑体" w:hAnsi="黑体" w:eastAsia="黑体" w:cs="黑体"/>
                <w:b w:val="0"/>
                <w:bCs/>
                <w:color w:val="auto"/>
                <w:kern w:val="2"/>
                <w:sz w:val="21"/>
                <w:szCs w:val="21"/>
                <w:highlight w:val="none"/>
                <w:vertAlign w:val="baseline"/>
                <w:lang w:val="en-US" w:eastAsia="zh-CN" w:bidi="ar-SA"/>
              </w:rPr>
              <w:t>集气管道</w:t>
            </w:r>
          </w:p>
          <w:p w14:paraId="0D6CB23A">
            <w:pPr>
              <w:pStyle w:val="15"/>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黑体" w:hAnsi="黑体" w:eastAsia="黑体" w:cs="黑体"/>
                <w:b w:val="0"/>
                <w:bCs/>
                <w:color w:val="auto"/>
                <w:kern w:val="2"/>
                <w:sz w:val="21"/>
                <w:szCs w:val="21"/>
                <w:highlight w:val="none"/>
                <w:vertAlign w:val="baseline"/>
                <w:lang w:val="en-US" w:eastAsia="zh-CN" w:bidi="ar-SA"/>
              </w:rPr>
            </w:pPr>
            <w:r>
              <w:rPr>
                <w:rFonts w:hint="eastAsia" w:ascii="黑体" w:hAnsi="黑体" w:eastAsia="黑体" w:cs="黑体"/>
                <w:b w:val="0"/>
                <w:bCs/>
                <w:color w:val="auto"/>
                <w:kern w:val="2"/>
                <w:sz w:val="21"/>
                <w:szCs w:val="21"/>
                <w:highlight w:val="none"/>
                <w:vertAlign w:val="baseline"/>
                <w:lang w:val="en-US" w:eastAsia="zh-CN" w:bidi="ar-SA"/>
              </w:rPr>
              <w:drawing>
                <wp:inline distT="0" distB="0" distL="114300" distR="114300">
                  <wp:extent cx="3608705" cy="2691765"/>
                  <wp:effectExtent l="0" t="0" r="10795" b="13335"/>
                  <wp:docPr id="5" name="图片 5" descr="174217908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742179083980"/>
                          <pic:cNvPicPr>
                            <a:picLocks noChangeAspect="1"/>
                          </pic:cNvPicPr>
                        </pic:nvPicPr>
                        <pic:blipFill>
                          <a:blip r:embed="rId28"/>
                          <a:stretch>
                            <a:fillRect/>
                          </a:stretch>
                        </pic:blipFill>
                        <pic:spPr>
                          <a:xfrm>
                            <a:off x="0" y="0"/>
                            <a:ext cx="3608705" cy="2691765"/>
                          </a:xfrm>
                          <a:prstGeom prst="rect">
                            <a:avLst/>
                          </a:prstGeom>
                        </pic:spPr>
                      </pic:pic>
                    </a:graphicData>
                  </a:graphic>
                </wp:inline>
              </w:drawing>
            </w:r>
            <w:r>
              <w:rPr>
                <w:rFonts w:hint="eastAsia" w:ascii="黑体" w:hAnsi="黑体" w:eastAsia="黑体" w:cs="黑体"/>
                <w:b w:val="0"/>
                <w:bCs/>
                <w:color w:val="auto"/>
                <w:kern w:val="2"/>
                <w:sz w:val="21"/>
                <w:szCs w:val="21"/>
                <w:highlight w:val="none"/>
                <w:vertAlign w:val="baseline"/>
                <w:lang w:val="en-US" w:eastAsia="zh-CN" w:bidi="ar-SA"/>
              </w:rPr>
              <w:t xml:space="preserve"> </w:t>
            </w:r>
            <w:r>
              <w:rPr>
                <w:rFonts w:hint="eastAsia" w:ascii="黑体" w:hAnsi="黑体" w:eastAsia="黑体" w:cs="黑体"/>
                <w:b w:val="0"/>
                <w:bCs/>
                <w:color w:val="auto"/>
                <w:kern w:val="2"/>
                <w:sz w:val="21"/>
                <w:szCs w:val="21"/>
                <w:highlight w:val="none"/>
                <w:vertAlign w:val="baseline"/>
                <w:lang w:val="en-US" w:eastAsia="zh-CN" w:bidi="ar-SA"/>
              </w:rPr>
              <w:drawing>
                <wp:inline distT="0" distB="0" distL="114300" distR="114300">
                  <wp:extent cx="1092835" cy="2792095"/>
                  <wp:effectExtent l="0" t="0" r="12065" b="8255"/>
                  <wp:docPr id="37" name="图片 37" descr="1741762376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741762376877"/>
                          <pic:cNvPicPr>
                            <a:picLocks noChangeAspect="1"/>
                          </pic:cNvPicPr>
                        </pic:nvPicPr>
                        <pic:blipFill>
                          <a:blip r:embed="rId29"/>
                          <a:stretch>
                            <a:fillRect/>
                          </a:stretch>
                        </pic:blipFill>
                        <pic:spPr>
                          <a:xfrm>
                            <a:off x="0" y="0"/>
                            <a:ext cx="1092835" cy="2792095"/>
                          </a:xfrm>
                          <a:prstGeom prst="rect">
                            <a:avLst/>
                          </a:prstGeom>
                        </pic:spPr>
                      </pic:pic>
                    </a:graphicData>
                  </a:graphic>
                </wp:inline>
              </w:drawing>
            </w:r>
          </w:p>
          <w:p w14:paraId="2A402F79">
            <w:pPr>
              <w:pStyle w:val="15"/>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黑体" w:hAnsi="黑体" w:eastAsia="黑体" w:cs="黑体"/>
                <w:b w:val="0"/>
                <w:bCs/>
                <w:color w:val="auto"/>
                <w:kern w:val="2"/>
                <w:sz w:val="21"/>
                <w:szCs w:val="21"/>
                <w:highlight w:val="none"/>
                <w:vertAlign w:val="baseline"/>
                <w:lang w:val="en-US" w:eastAsia="zh-CN" w:bidi="ar-SA"/>
              </w:rPr>
            </w:pPr>
            <w:r>
              <w:rPr>
                <w:rFonts w:hint="eastAsia" w:ascii="黑体" w:hAnsi="黑体" w:eastAsia="黑体" w:cs="黑体"/>
                <w:b w:val="0"/>
                <w:bCs/>
                <w:color w:val="auto"/>
                <w:kern w:val="2"/>
                <w:sz w:val="21"/>
                <w:szCs w:val="21"/>
                <w:highlight w:val="none"/>
                <w:vertAlign w:val="baseline"/>
                <w:lang w:val="en-US" w:eastAsia="zh-CN" w:bidi="ar-SA"/>
              </w:rPr>
              <w:t xml:space="preserve">                      集气罩                              排气筒</w:t>
            </w:r>
          </w:p>
          <w:p w14:paraId="4E030310">
            <w:pPr>
              <w:ind w:left="0" w:leftChars="0" w:firstLine="0" w:firstLineChars="0"/>
              <w:rPr>
                <w:rFonts w:hint="default" w:ascii="黑体" w:hAnsi="黑体" w:eastAsia="黑体" w:cs="黑体"/>
                <w:b w:val="0"/>
                <w:bCs/>
                <w:color w:val="auto"/>
                <w:kern w:val="2"/>
                <w:sz w:val="21"/>
                <w:szCs w:val="21"/>
                <w:highlight w:val="none"/>
                <w:vertAlign w:val="baseline"/>
                <w:lang w:val="en-US" w:eastAsia="zh-CN" w:bidi="ar-SA"/>
              </w:rPr>
            </w:pPr>
            <w:r>
              <w:rPr>
                <w:rFonts w:hint="eastAsia" w:ascii="黑体" w:hAnsi="黑体" w:eastAsia="黑体" w:cs="黑体"/>
                <w:b w:val="0"/>
                <w:bCs/>
                <w:color w:val="auto"/>
                <w:kern w:val="2"/>
                <w:sz w:val="21"/>
                <w:szCs w:val="21"/>
                <w:highlight w:val="none"/>
                <w:vertAlign w:val="baseline"/>
                <w:lang w:val="en-US" w:eastAsia="zh-CN" w:bidi="ar-SA"/>
              </w:rPr>
              <w:drawing>
                <wp:inline distT="0" distB="0" distL="114300" distR="114300">
                  <wp:extent cx="2540635" cy="3056255"/>
                  <wp:effectExtent l="0" t="0" r="12065" b="10795"/>
                  <wp:docPr id="39" name="图片 39" descr="1741762475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741762475815"/>
                          <pic:cNvPicPr>
                            <a:picLocks noChangeAspect="1"/>
                          </pic:cNvPicPr>
                        </pic:nvPicPr>
                        <pic:blipFill>
                          <a:blip r:embed="rId30"/>
                          <a:stretch>
                            <a:fillRect/>
                          </a:stretch>
                        </pic:blipFill>
                        <pic:spPr>
                          <a:xfrm>
                            <a:off x="0" y="0"/>
                            <a:ext cx="2540635" cy="3056255"/>
                          </a:xfrm>
                          <a:prstGeom prst="rect">
                            <a:avLst/>
                          </a:prstGeom>
                        </pic:spPr>
                      </pic:pic>
                    </a:graphicData>
                  </a:graphic>
                </wp:inline>
              </w:drawing>
            </w:r>
            <w:r>
              <w:rPr>
                <w:rFonts w:hint="eastAsia" w:ascii="黑体" w:hAnsi="黑体" w:eastAsia="黑体" w:cs="黑体"/>
                <w:b w:val="0"/>
                <w:bCs/>
                <w:color w:val="auto"/>
                <w:kern w:val="2"/>
                <w:sz w:val="21"/>
                <w:szCs w:val="21"/>
                <w:highlight w:val="none"/>
                <w:vertAlign w:val="baseline"/>
                <w:lang w:val="en-US" w:eastAsia="zh-CN" w:bidi="ar-SA"/>
              </w:rPr>
              <w:t xml:space="preserve"> </w:t>
            </w:r>
            <w:r>
              <w:rPr>
                <w:rFonts w:hint="default" w:ascii="黑体" w:hAnsi="黑体" w:eastAsia="黑体" w:cs="黑体"/>
                <w:b w:val="0"/>
                <w:bCs/>
                <w:color w:val="auto"/>
                <w:kern w:val="2"/>
                <w:sz w:val="21"/>
                <w:szCs w:val="21"/>
                <w:highlight w:val="none"/>
                <w:vertAlign w:val="baseline"/>
                <w:lang w:val="en-US" w:eastAsia="zh-CN" w:bidi="ar-SA"/>
              </w:rPr>
              <w:drawing>
                <wp:inline distT="0" distB="0" distL="114300" distR="114300">
                  <wp:extent cx="2572385" cy="2466340"/>
                  <wp:effectExtent l="0" t="0" r="18415" b="10160"/>
                  <wp:docPr id="41" name="图片 41" descr="174176285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741762855904"/>
                          <pic:cNvPicPr>
                            <a:picLocks noChangeAspect="1"/>
                          </pic:cNvPicPr>
                        </pic:nvPicPr>
                        <pic:blipFill>
                          <a:blip r:embed="rId31"/>
                          <a:stretch>
                            <a:fillRect/>
                          </a:stretch>
                        </pic:blipFill>
                        <pic:spPr>
                          <a:xfrm>
                            <a:off x="0" y="0"/>
                            <a:ext cx="2572385" cy="2466340"/>
                          </a:xfrm>
                          <a:prstGeom prst="rect">
                            <a:avLst/>
                          </a:prstGeom>
                        </pic:spPr>
                      </pic:pic>
                    </a:graphicData>
                  </a:graphic>
                </wp:inline>
              </w:drawing>
            </w:r>
          </w:p>
          <w:p w14:paraId="7A04274E">
            <w:pPr>
              <w:pStyle w:val="15"/>
              <w:keepNext w:val="0"/>
              <w:keepLines w:val="0"/>
              <w:pageBreakBefore w:val="0"/>
              <w:widowControl w:val="0"/>
              <w:kinsoku/>
              <w:wordWrap/>
              <w:overflowPunct/>
              <w:topLinePunct w:val="0"/>
              <w:autoSpaceDE/>
              <w:autoSpaceDN/>
              <w:bidi w:val="0"/>
              <w:adjustRightInd w:val="0"/>
              <w:snapToGrid w:val="0"/>
              <w:spacing w:line="240" w:lineRule="auto"/>
              <w:ind w:left="0" w:leftChars="0" w:firstLine="1050" w:firstLineChars="500"/>
              <w:textAlignment w:val="auto"/>
              <w:rPr>
                <w:rFonts w:hint="default"/>
                <w:lang w:val="en-US" w:eastAsia="zh-CN"/>
              </w:rPr>
            </w:pPr>
            <w:r>
              <w:rPr>
                <w:rFonts w:hint="eastAsia" w:ascii="黑体" w:hAnsi="黑体" w:eastAsia="黑体" w:cs="黑体"/>
                <w:b w:val="0"/>
                <w:bCs/>
                <w:color w:val="auto"/>
                <w:kern w:val="2"/>
                <w:sz w:val="21"/>
                <w:szCs w:val="21"/>
                <w:highlight w:val="none"/>
                <w:vertAlign w:val="baseline"/>
                <w:lang w:val="en-US" w:eastAsia="zh-CN" w:bidi="ar-SA"/>
              </w:rPr>
              <w:t xml:space="preserve">布袋除尘器  </w:t>
            </w:r>
            <w:r>
              <w:rPr>
                <w:rFonts w:hint="eastAsia"/>
                <w:lang w:val="en-US" w:eastAsia="zh-CN"/>
              </w:rPr>
              <w:t xml:space="preserve">                         </w:t>
            </w:r>
            <w:r>
              <w:rPr>
                <w:rFonts w:hint="eastAsia" w:ascii="黑体" w:hAnsi="黑体" w:eastAsia="黑体" w:cs="黑体"/>
                <w:b w:val="0"/>
                <w:bCs/>
                <w:color w:val="auto"/>
                <w:kern w:val="2"/>
                <w:sz w:val="21"/>
                <w:szCs w:val="21"/>
                <w:highlight w:val="none"/>
                <w:vertAlign w:val="baseline"/>
                <w:lang w:val="en-US" w:eastAsia="zh-CN" w:bidi="ar-SA"/>
              </w:rPr>
              <w:t xml:space="preserve">    活性炭吸附装置   </w:t>
            </w:r>
            <w:r>
              <w:rPr>
                <w:rFonts w:hint="eastAsia"/>
                <w:lang w:val="en-US" w:eastAsia="zh-CN"/>
              </w:rPr>
              <w:t xml:space="preserve">             </w:t>
            </w:r>
          </w:p>
          <w:p w14:paraId="68DBFFE5">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（2）木制品</w:t>
            </w:r>
          </w:p>
          <w:p w14:paraId="2A71A8BC">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本项目木制品生产线主要购买木材半成品通过钉枪固定制成成品外售，木制品生产线设置在封闭生产车间内，钉枪固定工序会产生少量颗粒物，无组织排放。</w:t>
            </w:r>
          </w:p>
          <w:p w14:paraId="75236ECD">
            <w:pPr>
              <w:keepNext w:val="0"/>
              <w:keepLines w:val="0"/>
              <w:pageBreakBefore w:val="0"/>
              <w:numPr>
                <w:ilvl w:val="0"/>
                <w:numId w:val="0"/>
              </w:numPr>
              <w:kinsoku/>
              <w:wordWrap/>
              <w:overflowPunct/>
              <w:topLinePunct w:val="0"/>
              <w:autoSpaceDE/>
              <w:autoSpaceDN/>
              <w:bidi w:val="0"/>
              <w:spacing w:line="360" w:lineRule="auto"/>
              <w:ind w:right="0"/>
              <w:textAlignment w:val="auto"/>
              <w:rPr>
                <w:rFonts w:hint="eastAsia" w:ascii="Times New Roman" w:hAnsi="Times New Roman" w:eastAsia="宋体" w:cs="Times New Roman"/>
                <w:b/>
                <w:bCs/>
                <w:sz w:val="24"/>
                <w:szCs w:val="24"/>
                <w:highlight w:val="none"/>
                <w:lang w:val="en-US" w:eastAsia="zh-CN"/>
              </w:rPr>
            </w:pPr>
            <w:r>
              <w:rPr>
                <w:rFonts w:hint="eastAsia" w:ascii="Times New Roman" w:hAnsi="Times New Roman" w:eastAsia="宋体" w:cs="Times New Roman"/>
                <w:b/>
                <w:bCs/>
                <w:sz w:val="24"/>
                <w:szCs w:val="24"/>
                <w:highlight w:val="none"/>
                <w:lang w:val="en-US" w:eastAsia="zh-CN"/>
              </w:rPr>
              <w:t>2.2废水</w:t>
            </w:r>
          </w:p>
          <w:p w14:paraId="468E8D4B">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default"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本项目用水主要为生活用水及泡沫制品包装生产线产生的冷凝水及</w:t>
            </w:r>
            <w:r>
              <w:rPr>
                <w:rFonts w:hint="eastAsia" w:ascii="Times New Roman" w:hAnsi="Times New Roman" w:eastAsia="宋体" w:cs="Times New Roman"/>
                <w:highlight w:val="none"/>
                <w:lang w:eastAsia="zh-CN"/>
              </w:rPr>
              <w:t>脱模工序的间接冷却水</w:t>
            </w:r>
            <w:r>
              <w:rPr>
                <w:rFonts w:hint="eastAsia" w:ascii="Times New Roman" w:hAnsi="Times New Roman" w:eastAsia="宋体" w:cs="Times New Roman"/>
                <w:b w:val="0"/>
                <w:bCs w:val="0"/>
                <w:sz w:val="24"/>
                <w:szCs w:val="24"/>
                <w:highlight w:val="none"/>
                <w:lang w:val="en-US" w:eastAsia="zh-CN"/>
              </w:rPr>
              <w:t>。</w:t>
            </w:r>
          </w:p>
          <w:p w14:paraId="446AADF1">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（1）生活废水</w:t>
            </w:r>
          </w:p>
          <w:p w14:paraId="2CD97D88">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本项目生活废水产生量约为</w:t>
            </w:r>
            <w:r>
              <w:rPr>
                <w:rFonts w:hint="default" w:ascii="Times New Roman" w:hAnsi="Times New Roman" w:eastAsia="宋体" w:cs="Times New Roman"/>
                <w:color w:val="auto"/>
                <w:sz w:val="24"/>
                <w:szCs w:val="24"/>
                <w:highlight w:val="none"/>
                <w:lang w:val="en-US" w:eastAsia="zh-CN"/>
              </w:rPr>
              <w:t>0.72m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/d（262.8m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，生活污水</w:t>
            </w:r>
            <w:r>
              <w:rPr>
                <w:rFonts w:hint="eastAsia" w:ascii="Times New Roman" w:hAnsi="Times New Roman" w:eastAsia="宋体" w:cs="Times New Roman"/>
                <w:b w:val="0"/>
                <w:bCs w:val="0"/>
                <w:sz w:val="24"/>
                <w:szCs w:val="24"/>
                <w:highlight w:val="none"/>
                <w:lang w:val="en-US" w:eastAsia="zh-CN"/>
              </w:rPr>
              <w:t>排入防渗旱厕，不外排。</w:t>
            </w:r>
          </w:p>
          <w:p w14:paraId="786C7FFD">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（2）冷凝水</w:t>
            </w:r>
          </w:p>
          <w:p w14:paraId="46A2E287">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本项目冷凝水排入冷凝水收集池（共4个，每个容积为30m3）。收集后送入冷却水循环系统，循环使用，不外排。</w:t>
            </w:r>
          </w:p>
          <w:p w14:paraId="24BA7C91">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（3）冷却循环水</w:t>
            </w:r>
          </w:p>
          <w:p w14:paraId="0BCA92CF">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highlight w:val="none"/>
                <w:lang w:val="en-US" w:eastAsia="zh-CN"/>
              </w:rPr>
            </w:pPr>
            <w:r>
              <w:rPr>
                <w:rFonts w:hint="eastAsia" w:ascii="Times New Roman" w:hAnsi="Times New Roman" w:eastAsia="宋体" w:cs="Times New Roman"/>
                <w:highlight w:val="none"/>
                <w:lang w:eastAsia="zh-CN"/>
              </w:rPr>
              <w:t>脱模工序的间接冷却水（单独存在管道中，不与生产工序接触），循环使用，不外排</w:t>
            </w:r>
            <w:r>
              <w:rPr>
                <w:rFonts w:hint="eastAsia" w:ascii="Times New Roman" w:hAnsi="Times New Roman" w:eastAsia="宋体" w:cs="Times New Roman"/>
                <w:b w:val="0"/>
                <w:bCs w:val="0"/>
                <w:sz w:val="24"/>
                <w:szCs w:val="24"/>
                <w:highlight w:val="none"/>
                <w:lang w:val="en-US" w:eastAsia="zh-CN"/>
              </w:rPr>
              <w:t>。</w:t>
            </w:r>
          </w:p>
          <w:p w14:paraId="304F25E7">
            <w:pPr>
              <w:keepNext w:val="0"/>
              <w:keepLines w:val="0"/>
              <w:pageBreakBefore w:val="0"/>
              <w:numPr>
                <w:ilvl w:val="0"/>
                <w:numId w:val="0"/>
              </w:numPr>
              <w:kinsoku/>
              <w:wordWrap/>
              <w:overflowPunct/>
              <w:topLinePunct w:val="0"/>
              <w:autoSpaceDE/>
              <w:autoSpaceDN/>
              <w:bidi w:val="0"/>
              <w:spacing w:line="360" w:lineRule="auto"/>
              <w:ind w:right="0"/>
              <w:textAlignment w:val="auto"/>
              <w:rPr>
                <w:rFonts w:hint="default"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drawing>
                <wp:inline distT="0" distB="0" distL="114300" distR="114300">
                  <wp:extent cx="2673985" cy="2070100"/>
                  <wp:effectExtent l="0" t="0" r="12065" b="6350"/>
                  <wp:docPr id="22" name="图片 22" descr="1734586827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734586827891"/>
                          <pic:cNvPicPr>
                            <a:picLocks noChangeAspect="1"/>
                          </pic:cNvPicPr>
                        </pic:nvPicPr>
                        <pic:blipFill>
                          <a:blip r:embed="rId32"/>
                          <a:stretch>
                            <a:fillRect/>
                          </a:stretch>
                        </pic:blipFill>
                        <pic:spPr>
                          <a:xfrm>
                            <a:off x="0" y="0"/>
                            <a:ext cx="2673985" cy="2070100"/>
                          </a:xfrm>
                          <a:prstGeom prst="rect">
                            <a:avLst/>
                          </a:prstGeom>
                        </pic:spPr>
                      </pic:pic>
                    </a:graphicData>
                  </a:graphic>
                </wp:inline>
              </w:drawing>
            </w:r>
            <w:r>
              <w:rPr>
                <w:rFonts w:hint="eastAsia" w:cs="Times New Roman"/>
                <w:b w:val="0"/>
                <w:bCs w:val="0"/>
                <w:sz w:val="24"/>
                <w:szCs w:val="24"/>
                <w:highlight w:val="none"/>
                <w:lang w:val="en-US" w:eastAsia="zh-CN"/>
              </w:rPr>
              <w:t xml:space="preserve"> </w:t>
            </w:r>
            <w:r>
              <w:rPr>
                <w:rFonts w:hint="default" w:ascii="Times New Roman" w:hAnsi="Times New Roman" w:eastAsia="宋体" w:cs="Times New Roman"/>
                <w:b w:val="0"/>
                <w:bCs w:val="0"/>
                <w:sz w:val="24"/>
                <w:szCs w:val="24"/>
                <w:highlight w:val="none"/>
                <w:lang w:val="en-US" w:eastAsia="zh-CN"/>
              </w:rPr>
              <w:drawing>
                <wp:inline distT="0" distB="0" distL="114300" distR="114300">
                  <wp:extent cx="2362835" cy="2350135"/>
                  <wp:effectExtent l="0" t="0" r="18415" b="12065"/>
                  <wp:docPr id="23" name="图片 23" descr="1734586900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734586900681"/>
                          <pic:cNvPicPr>
                            <a:picLocks noChangeAspect="1"/>
                          </pic:cNvPicPr>
                        </pic:nvPicPr>
                        <pic:blipFill>
                          <a:blip r:embed="rId33"/>
                          <a:stretch>
                            <a:fillRect/>
                          </a:stretch>
                        </pic:blipFill>
                        <pic:spPr>
                          <a:xfrm>
                            <a:off x="0" y="0"/>
                            <a:ext cx="2362835" cy="2350135"/>
                          </a:xfrm>
                          <a:prstGeom prst="rect">
                            <a:avLst/>
                          </a:prstGeom>
                        </pic:spPr>
                      </pic:pic>
                    </a:graphicData>
                  </a:graphic>
                </wp:inline>
              </w:drawing>
            </w:r>
          </w:p>
          <w:p w14:paraId="2F9B9C59">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b/>
                <w:color w:val="auto"/>
                <w:sz w:val="21"/>
                <w:szCs w:val="21"/>
                <w:highlight w:val="none"/>
                <w:vertAlign w:val="baseline"/>
                <w:lang w:val="en-US" w:eastAsia="zh-CN"/>
              </w:rPr>
            </w:pPr>
            <w:r>
              <w:rPr>
                <w:rFonts w:hint="eastAsia"/>
                <w:b/>
                <w:color w:val="auto"/>
                <w:sz w:val="21"/>
                <w:szCs w:val="21"/>
                <w:highlight w:val="none"/>
                <w:vertAlign w:val="baseline"/>
                <w:lang w:val="en-US" w:eastAsia="zh-CN"/>
              </w:rPr>
              <w:t>冷凝水收集池</w:t>
            </w:r>
          </w:p>
          <w:p w14:paraId="7AB37554">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drawing>
                <wp:inline distT="0" distB="0" distL="114300" distR="114300">
                  <wp:extent cx="2550795" cy="2694305"/>
                  <wp:effectExtent l="0" t="0" r="1905" b="10795"/>
                  <wp:docPr id="24" name="图片 24" descr="1734586944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734586944697"/>
                          <pic:cNvPicPr>
                            <a:picLocks noChangeAspect="1"/>
                          </pic:cNvPicPr>
                        </pic:nvPicPr>
                        <pic:blipFill>
                          <a:blip r:embed="rId34"/>
                          <a:stretch>
                            <a:fillRect/>
                          </a:stretch>
                        </pic:blipFill>
                        <pic:spPr>
                          <a:xfrm>
                            <a:off x="0" y="0"/>
                            <a:ext cx="2550795" cy="2694305"/>
                          </a:xfrm>
                          <a:prstGeom prst="rect">
                            <a:avLst/>
                          </a:prstGeom>
                        </pic:spPr>
                      </pic:pic>
                    </a:graphicData>
                  </a:graphic>
                </wp:inline>
              </w:drawing>
            </w:r>
          </w:p>
          <w:p w14:paraId="3072F27B">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宋体"/>
                <w:b/>
                <w:color w:val="auto"/>
                <w:sz w:val="21"/>
                <w:szCs w:val="21"/>
                <w:highlight w:val="none"/>
                <w:vertAlign w:val="baseline"/>
                <w:lang w:val="en-US" w:eastAsia="zh-CN"/>
              </w:rPr>
            </w:pPr>
            <w:r>
              <w:rPr>
                <w:rFonts w:hint="eastAsia" w:ascii="Times New Roman" w:hAnsi="Times New Roman" w:eastAsia="宋体"/>
                <w:b/>
                <w:color w:val="auto"/>
                <w:sz w:val="21"/>
                <w:szCs w:val="21"/>
                <w:highlight w:val="none"/>
                <w:vertAlign w:val="baseline"/>
                <w:lang w:val="en-US" w:eastAsia="zh-CN"/>
              </w:rPr>
              <w:t>防渗旱厕</w:t>
            </w:r>
          </w:p>
          <w:p w14:paraId="79FB83C0">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2.3噪声</w:t>
            </w:r>
          </w:p>
          <w:p w14:paraId="19D39825">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本项目噪声源主要为设备运行过程中产生的噪声，主要包括成型机、预发机、真空系统等，生产设施均位于车间内部，无室外噪声源，同时企业仅在白天生产。生产噪声源强为65-90</w:t>
            </w:r>
            <w:r>
              <w:rPr>
                <w:rFonts w:hint="default" w:ascii="Times New Roman" w:hAnsi="Times New Roman" w:eastAsia="宋体" w:cs="Times New Roman"/>
                <w:b w:val="0"/>
                <w:bCs w:val="0"/>
                <w:sz w:val="24"/>
                <w:szCs w:val="24"/>
                <w:highlight w:val="none"/>
                <w:lang w:val="en-US" w:eastAsia="zh-CN"/>
              </w:rPr>
              <w:t>dB(A)</w:t>
            </w:r>
            <w:r>
              <w:rPr>
                <w:rFonts w:hint="eastAsia" w:ascii="Times New Roman" w:hAnsi="Times New Roman" w:eastAsia="宋体" w:cs="Times New Roman"/>
                <w:b w:val="0"/>
                <w:bCs w:val="0"/>
                <w:sz w:val="24"/>
                <w:szCs w:val="24"/>
                <w:highlight w:val="none"/>
                <w:lang w:val="en-US" w:eastAsia="zh-CN"/>
              </w:rPr>
              <w:t>。</w:t>
            </w:r>
          </w:p>
          <w:p w14:paraId="15235702">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default" w:ascii="Times New Roman" w:hAnsi="Times New Roman" w:eastAsia="宋体" w:cs="Times New Roman"/>
                <w:b w:val="0"/>
                <w:bCs w:val="0"/>
                <w:sz w:val="24"/>
                <w:szCs w:val="24"/>
                <w:highlight w:val="none"/>
                <w:lang w:val="en-US" w:eastAsia="zh-CN"/>
              </w:rPr>
            </w:pPr>
            <w:r>
              <w:rPr>
                <w:rFonts w:hint="default" w:ascii="Times New Roman" w:hAnsi="Times New Roman" w:eastAsia="宋体" w:cs="Times New Roman"/>
                <w:b w:val="0"/>
                <w:bCs w:val="0"/>
                <w:sz w:val="24"/>
                <w:szCs w:val="24"/>
                <w:highlight w:val="none"/>
                <w:lang w:val="en-US" w:eastAsia="zh-CN"/>
              </w:rPr>
              <w:t>项目运营期采取的噪声防治措施主要有以下几方面：</w:t>
            </w:r>
          </w:p>
          <w:p w14:paraId="37D11212">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default" w:ascii="Times New Roman" w:hAnsi="Times New Roman" w:eastAsia="宋体" w:cs="Times New Roman"/>
                <w:b w:val="0"/>
                <w:bCs w:val="0"/>
                <w:sz w:val="24"/>
                <w:szCs w:val="24"/>
                <w:highlight w:val="none"/>
                <w:lang w:val="en-US" w:eastAsia="zh-CN"/>
              </w:rPr>
            </w:pPr>
            <w:r>
              <w:rPr>
                <w:rFonts w:hint="default" w:ascii="Times New Roman" w:hAnsi="Times New Roman" w:eastAsia="宋体" w:cs="Times New Roman"/>
                <w:b w:val="0"/>
                <w:bCs w:val="0"/>
                <w:sz w:val="24"/>
                <w:szCs w:val="24"/>
                <w:highlight w:val="none"/>
                <w:lang w:val="en-US" w:eastAsia="zh-CN"/>
              </w:rPr>
              <w:t>①</w:t>
            </w:r>
            <w:r>
              <w:rPr>
                <w:rFonts w:hint="eastAsia" w:ascii="Times New Roman" w:hAnsi="Times New Roman" w:eastAsia="宋体" w:cs="Times New Roman"/>
                <w:b w:val="0"/>
                <w:bCs w:val="0"/>
                <w:sz w:val="24"/>
                <w:szCs w:val="24"/>
                <w:highlight w:val="none"/>
                <w:lang w:val="en-US" w:eastAsia="zh-CN"/>
              </w:rPr>
              <w:t>机械设备应尽量选择低噪声设备，生产设备应及时维修，保证处于正常良好状态，从根本上降低声源噪声强度</w:t>
            </w:r>
            <w:r>
              <w:rPr>
                <w:rFonts w:hint="default" w:ascii="Times New Roman" w:hAnsi="Times New Roman" w:eastAsia="宋体" w:cs="Times New Roman"/>
                <w:b w:val="0"/>
                <w:bCs w:val="0"/>
                <w:sz w:val="24"/>
                <w:szCs w:val="24"/>
                <w:highlight w:val="none"/>
                <w:lang w:val="en-US" w:eastAsia="zh-CN"/>
              </w:rPr>
              <w:t>；</w:t>
            </w:r>
          </w:p>
          <w:p w14:paraId="57DA2340">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default" w:ascii="Times New Roman" w:hAnsi="Times New Roman" w:eastAsia="宋体" w:cs="Times New Roman"/>
                <w:b w:val="0"/>
                <w:bCs w:val="0"/>
                <w:sz w:val="24"/>
                <w:szCs w:val="24"/>
                <w:highlight w:val="none"/>
                <w:lang w:val="en-US" w:eastAsia="zh-CN"/>
              </w:rPr>
            </w:pPr>
            <w:r>
              <w:rPr>
                <w:rFonts w:hint="default" w:ascii="Times New Roman" w:hAnsi="Times New Roman" w:eastAsia="宋体" w:cs="Times New Roman"/>
                <w:b w:val="0"/>
                <w:bCs w:val="0"/>
                <w:sz w:val="24"/>
                <w:szCs w:val="24"/>
                <w:highlight w:val="none"/>
                <w:lang w:val="en-US" w:eastAsia="zh-CN"/>
              </w:rPr>
              <w:t>②</w:t>
            </w:r>
            <w:r>
              <w:rPr>
                <w:rFonts w:hint="eastAsia" w:ascii="Times New Roman" w:hAnsi="Times New Roman" w:eastAsia="宋体" w:cs="Times New Roman"/>
                <w:b w:val="0"/>
                <w:bCs w:val="0"/>
                <w:sz w:val="24"/>
                <w:szCs w:val="24"/>
                <w:highlight w:val="none"/>
                <w:lang w:val="en-US" w:eastAsia="zh-CN"/>
              </w:rPr>
              <w:t>在总体布局上，采取闹静分开，合理布局的原则，使高噪声设备远离建筑物边界。</w:t>
            </w:r>
          </w:p>
          <w:p w14:paraId="5DA72D92">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2.4固体废物</w:t>
            </w:r>
          </w:p>
          <w:p w14:paraId="251BF7E9">
            <w:pPr>
              <w:bidi w:val="0"/>
              <w:rPr>
                <w:rFonts w:hint="eastAsia"/>
                <w:highlight w:val="none"/>
                <w:lang w:val="en-US" w:eastAsia="zh-CN"/>
              </w:rPr>
            </w:pPr>
            <w:r>
              <w:rPr>
                <w:rFonts w:hint="eastAsia"/>
                <w:highlight w:val="none"/>
                <w:lang w:val="en-US" w:eastAsia="zh-CN"/>
              </w:rPr>
              <w:t>本项目固废包括生活垃圾、一般工业固废、危险废物。</w:t>
            </w:r>
          </w:p>
          <w:p w14:paraId="5241B130">
            <w:pPr>
              <w:bidi w:val="0"/>
              <w:rPr>
                <w:rFonts w:hint="eastAsia"/>
                <w:highlight w:val="none"/>
                <w:lang w:val="en-US" w:eastAsia="zh-CN"/>
              </w:rPr>
            </w:pPr>
            <w:r>
              <w:rPr>
                <w:rFonts w:hint="eastAsia"/>
                <w:highlight w:val="none"/>
                <w:lang w:val="en-US" w:eastAsia="zh-CN"/>
              </w:rPr>
              <w:t>（1）生活垃圾</w:t>
            </w:r>
          </w:p>
          <w:p w14:paraId="150F35A3">
            <w:pPr>
              <w:bidi w:val="0"/>
              <w:rPr>
                <w:rFonts w:hint="eastAsia"/>
                <w:highlight w:val="none"/>
                <w:lang w:val="en-US" w:eastAsia="zh-CN"/>
              </w:rPr>
            </w:pPr>
            <w:r>
              <w:rPr>
                <w:rFonts w:hint="eastAsia"/>
                <w:highlight w:val="none"/>
                <w:lang w:val="en-US" w:eastAsia="zh-CN"/>
              </w:rPr>
              <w:t>项目营运期职工有12人，生活垃圾产生量约为4.38t/a。产生的生活垃圾由公司统一收集，定期交由环卫部门清运、处理。</w:t>
            </w:r>
          </w:p>
          <w:p w14:paraId="7E754474">
            <w:pPr>
              <w:bidi w:val="0"/>
              <w:rPr>
                <w:rFonts w:hint="default"/>
                <w:highlight w:val="none"/>
                <w:lang w:val="en-US" w:eastAsia="zh-CN"/>
              </w:rPr>
            </w:pPr>
            <w:r>
              <w:rPr>
                <w:rFonts w:hint="eastAsia"/>
                <w:highlight w:val="none"/>
                <w:lang w:val="en-US" w:eastAsia="zh-CN"/>
              </w:rPr>
              <w:t xml:space="preserve">（2）一般工业固废   </w:t>
            </w:r>
          </w:p>
          <w:p w14:paraId="24C4D479">
            <w:pPr>
              <w:bidi w:val="0"/>
              <w:rPr>
                <w:rFonts w:hint="eastAsia"/>
                <w:highlight w:val="none"/>
                <w:lang w:val="en-US" w:eastAsia="zh-CN"/>
              </w:rPr>
            </w:pPr>
            <w:r>
              <w:rPr>
                <w:rFonts w:hint="eastAsia"/>
                <w:highlight w:val="none"/>
                <w:lang w:val="en-US" w:eastAsia="zh-CN"/>
              </w:rPr>
              <w:t>本项目一般工业固废主要为泡沫制品包装产生的泡沫边角料及除尘器产生的除尘灰。</w:t>
            </w:r>
          </w:p>
          <w:p w14:paraId="5F08BF4F">
            <w:pPr>
              <w:bidi w:val="0"/>
              <w:rPr>
                <w:rFonts w:hint="eastAsia"/>
                <w:highlight w:val="none"/>
                <w:lang w:val="en-US" w:eastAsia="zh-CN"/>
              </w:rPr>
            </w:pPr>
            <w:r>
              <w:rPr>
                <w:rFonts w:hint="eastAsia"/>
                <w:highlight w:val="none"/>
                <w:lang w:val="en-US" w:eastAsia="zh-CN"/>
              </w:rPr>
              <w:t>①泡沫边角料</w:t>
            </w:r>
          </w:p>
          <w:p w14:paraId="5F5908E7">
            <w:pPr>
              <w:bidi w:val="0"/>
              <w:rPr>
                <w:rFonts w:hint="eastAsia" w:ascii="Times New Roman" w:hAnsi="Times New Roman" w:eastAsia="宋体"/>
                <w:highlight w:val="none"/>
                <w:lang w:val="en-US" w:eastAsia="zh-CN"/>
              </w:rPr>
            </w:pPr>
            <w:r>
              <w:rPr>
                <w:rFonts w:hint="eastAsia"/>
                <w:highlight w:val="none"/>
                <w:lang w:val="en-US" w:eastAsia="zh-CN"/>
              </w:rPr>
              <w:t>本项目</w:t>
            </w:r>
            <w:r>
              <w:rPr>
                <w:rFonts w:hint="eastAsia" w:ascii="Times New Roman" w:hAnsi="Times New Roman" w:eastAsia="宋体"/>
                <w:highlight w:val="none"/>
                <w:lang w:val="en-US" w:eastAsia="zh-CN"/>
              </w:rPr>
              <w:t>EPS泡沫制品包装生产线泡沫边角料产生量约为0.9t/a。利用包装袋收集后由</w:t>
            </w:r>
            <w:r>
              <w:rPr>
                <w:rFonts w:hint="default" w:ascii="Times New Roman" w:hAnsi="Times New Roman" w:eastAsia="宋体"/>
                <w:highlight w:val="none"/>
                <w:lang w:val="en-US" w:eastAsia="zh-CN"/>
              </w:rPr>
              <w:t>环卫部门处理</w:t>
            </w:r>
          </w:p>
          <w:p w14:paraId="111DA5F1">
            <w:pPr>
              <w:bidi w:val="0"/>
              <w:rPr>
                <w:rFonts w:hint="eastAsia" w:ascii="Times New Roman" w:hAnsi="Times New Roman" w:eastAsia="宋体"/>
                <w:highlight w:val="none"/>
                <w:lang w:val="en-US" w:eastAsia="zh-CN"/>
              </w:rPr>
            </w:pPr>
            <w:r>
              <w:rPr>
                <w:rFonts w:hint="eastAsia" w:ascii="Times New Roman" w:hAnsi="Times New Roman" w:eastAsia="宋体"/>
                <w:highlight w:val="none"/>
                <w:lang w:val="en-US" w:eastAsia="zh-CN"/>
              </w:rPr>
              <w:t>②除尘灰</w:t>
            </w:r>
          </w:p>
          <w:p w14:paraId="65EAF4BA">
            <w:pPr>
              <w:bidi w:val="0"/>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本项目除尘器收集的除尘灰约为2.85t/a，利用包装袋收集后由</w:t>
            </w:r>
            <w:r>
              <w:rPr>
                <w:rFonts w:hint="default" w:ascii="Times New Roman" w:hAnsi="Times New Roman" w:eastAsia="宋体"/>
                <w:highlight w:val="none"/>
                <w:lang w:val="en-US" w:eastAsia="zh-CN"/>
              </w:rPr>
              <w:t>环卫部门处理</w:t>
            </w:r>
            <w:r>
              <w:rPr>
                <w:rFonts w:hint="eastAsia" w:ascii="Times New Roman" w:hAnsi="Times New Roman" w:eastAsia="宋体"/>
                <w:highlight w:val="none"/>
                <w:lang w:val="en-US" w:eastAsia="zh-CN"/>
              </w:rPr>
              <w:t>。</w:t>
            </w:r>
          </w:p>
          <w:p w14:paraId="5B225251">
            <w:pPr>
              <w:bidi w:val="0"/>
              <w:rPr>
                <w:rFonts w:hint="eastAsia"/>
                <w:highlight w:val="none"/>
                <w:lang w:val="en-US" w:eastAsia="zh-CN"/>
              </w:rPr>
            </w:pPr>
            <w:r>
              <w:rPr>
                <w:rFonts w:hint="eastAsia"/>
                <w:highlight w:val="none"/>
                <w:lang w:val="en-US" w:eastAsia="zh-CN"/>
              </w:rPr>
              <w:t>（3）危险废物</w:t>
            </w:r>
          </w:p>
          <w:p w14:paraId="475CF77E">
            <w:pPr>
              <w:bidi w:val="0"/>
              <w:rPr>
                <w:rFonts w:hint="eastAsia"/>
                <w:highlight w:val="none"/>
                <w:lang w:val="en-US" w:eastAsia="zh-CN"/>
              </w:rPr>
            </w:pPr>
            <w:r>
              <w:rPr>
                <w:rFonts w:hint="eastAsia"/>
                <w:highlight w:val="none"/>
                <w:lang w:val="en-US" w:eastAsia="zh-CN"/>
              </w:rPr>
              <w:t>①废机油、废油桶</w:t>
            </w:r>
          </w:p>
          <w:p w14:paraId="62E40D62">
            <w:pPr>
              <w:bidi w:val="0"/>
              <w:rPr>
                <w:rFonts w:hint="eastAsia"/>
                <w:highlight w:val="none"/>
                <w:lang w:val="en-US" w:eastAsia="zh-CN"/>
              </w:rPr>
            </w:pPr>
            <w:r>
              <w:rPr>
                <w:rFonts w:hint="eastAsia"/>
                <w:highlight w:val="none"/>
                <w:lang w:val="en-US" w:eastAsia="zh-CN"/>
              </w:rPr>
              <w:t>本项目生产设备日常检修会产生废机油、废油桶，项目运行期间废机油产生量为1t/a，废油桶产生量为0.06t/a。经企业危险废物暂存间暂存后交由本溪本色环保工程有限公司处置。</w:t>
            </w:r>
          </w:p>
          <w:p w14:paraId="2011080E">
            <w:pPr>
              <w:bidi w:val="0"/>
              <w:rPr>
                <w:rFonts w:hint="eastAsia"/>
                <w:highlight w:val="none"/>
                <w:lang w:val="en-US" w:eastAsia="zh-CN"/>
              </w:rPr>
            </w:pPr>
            <w:r>
              <w:rPr>
                <w:rFonts w:hint="eastAsia"/>
                <w:highlight w:val="none"/>
                <w:lang w:val="en-US" w:eastAsia="zh-CN"/>
              </w:rPr>
              <w:t>②废活性炭</w:t>
            </w:r>
          </w:p>
          <w:p w14:paraId="188F4C4D">
            <w:pPr>
              <w:bidi w:val="0"/>
              <w:rPr>
                <w:rFonts w:hint="default"/>
                <w:highlight w:val="none"/>
                <w:lang w:val="en-US" w:eastAsia="zh-CN"/>
              </w:rPr>
            </w:pPr>
            <w:r>
              <w:rPr>
                <w:rFonts w:hint="eastAsia"/>
                <w:highlight w:val="none"/>
                <w:lang w:val="en-US" w:eastAsia="zh-CN"/>
              </w:rPr>
              <w:t>本项目废气挥发性有机物治理过程中废活性炭年产生量为26.8t/a，对照《国家危险废物名录（2021版）》属于HW49其他废物类危险废物，经企业危险废物暂存间暂存后交由有资质单位进行集中处理。</w:t>
            </w:r>
          </w:p>
          <w:p w14:paraId="0A0F32E4">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危险废物暂存于危废暂存间内，危废暂存间</w:t>
            </w:r>
            <w:r>
              <w:rPr>
                <w:rFonts w:hint="default" w:ascii="Times New Roman" w:hAnsi="Times New Roman" w:eastAsia="宋体" w:cs="Times New Roman"/>
                <w:b w:val="0"/>
                <w:bCs w:val="0"/>
                <w:sz w:val="24"/>
                <w:szCs w:val="24"/>
                <w:highlight w:val="none"/>
                <w:lang w:val="en-US" w:eastAsia="zh-CN"/>
              </w:rPr>
              <w:t>占地面积</w:t>
            </w:r>
            <w:r>
              <w:rPr>
                <w:rFonts w:hint="eastAsia" w:cs="Times New Roman"/>
                <w:b w:val="0"/>
                <w:bCs w:val="0"/>
                <w:sz w:val="24"/>
                <w:szCs w:val="24"/>
                <w:highlight w:val="none"/>
                <w:lang w:val="en-US" w:eastAsia="zh-CN"/>
              </w:rPr>
              <w:t>50</w:t>
            </w:r>
            <w:r>
              <w:rPr>
                <w:rFonts w:hint="default" w:ascii="Times New Roman" w:hAnsi="Times New Roman" w:eastAsia="宋体" w:cs="Times New Roman"/>
                <w:b w:val="0"/>
                <w:bCs w:val="0"/>
                <w:sz w:val="24"/>
                <w:szCs w:val="24"/>
                <w:highlight w:val="none"/>
                <w:lang w:val="en-US" w:eastAsia="zh-CN"/>
              </w:rPr>
              <w:t>m</w:t>
            </w:r>
            <w:r>
              <w:rPr>
                <w:rFonts w:hint="default" w:ascii="Times New Roman" w:hAnsi="Times New Roman" w:eastAsia="宋体" w:cs="Times New Roman"/>
                <w:b w:val="0"/>
                <w:bCs w:val="0"/>
                <w:sz w:val="24"/>
                <w:szCs w:val="24"/>
                <w:highlight w:val="none"/>
                <w:vertAlign w:val="superscript"/>
                <w:lang w:val="en-US" w:eastAsia="zh-CN"/>
              </w:rPr>
              <w:t>2</w:t>
            </w:r>
            <w:r>
              <w:rPr>
                <w:rFonts w:hint="default" w:ascii="Times New Roman" w:hAnsi="Times New Roman" w:eastAsia="宋体" w:cs="Times New Roman"/>
                <w:b w:val="0"/>
                <w:bCs w:val="0"/>
                <w:sz w:val="24"/>
                <w:szCs w:val="24"/>
                <w:highlight w:val="none"/>
                <w:lang w:val="en-US" w:eastAsia="zh-CN"/>
              </w:rPr>
              <w:t>，按《危险废物贮存污染控制标准》（GB18597-20</w:t>
            </w:r>
            <w:r>
              <w:rPr>
                <w:rFonts w:hint="eastAsia" w:ascii="Times New Roman" w:hAnsi="Times New Roman" w:eastAsia="宋体" w:cs="Times New Roman"/>
                <w:b w:val="0"/>
                <w:bCs w:val="0"/>
                <w:sz w:val="24"/>
                <w:szCs w:val="24"/>
                <w:highlight w:val="none"/>
                <w:lang w:val="en-US" w:eastAsia="zh-CN"/>
              </w:rPr>
              <w:t>23</w:t>
            </w:r>
            <w:r>
              <w:rPr>
                <w:rFonts w:hint="default" w:ascii="Times New Roman" w:hAnsi="Times New Roman" w:eastAsia="宋体" w:cs="Times New Roman"/>
                <w:b w:val="0"/>
                <w:bCs w:val="0"/>
                <w:sz w:val="24"/>
                <w:szCs w:val="24"/>
                <w:highlight w:val="none"/>
                <w:lang w:val="en-US" w:eastAsia="zh-CN"/>
              </w:rPr>
              <w:t>）的要求建造危险废物暂存</w:t>
            </w:r>
            <w:r>
              <w:rPr>
                <w:rFonts w:hint="eastAsia" w:ascii="Times New Roman" w:hAnsi="Times New Roman" w:eastAsia="宋体" w:cs="Times New Roman"/>
                <w:b w:val="0"/>
                <w:bCs w:val="0"/>
                <w:sz w:val="24"/>
                <w:szCs w:val="24"/>
                <w:highlight w:val="none"/>
                <w:lang w:val="en-US" w:eastAsia="zh-CN"/>
              </w:rPr>
              <w:t>间</w:t>
            </w:r>
            <w:r>
              <w:rPr>
                <w:rFonts w:hint="default" w:ascii="Times New Roman" w:hAnsi="Times New Roman" w:eastAsia="宋体" w:cs="Times New Roman"/>
                <w:b w:val="0"/>
                <w:bCs w:val="0"/>
                <w:sz w:val="24"/>
                <w:szCs w:val="24"/>
                <w:highlight w:val="none"/>
                <w:lang w:val="en-US" w:eastAsia="zh-CN"/>
              </w:rPr>
              <w:t>，</w:t>
            </w:r>
            <w:r>
              <w:rPr>
                <w:rFonts w:hint="eastAsia" w:ascii="Times New Roman" w:hAnsi="Times New Roman" w:eastAsia="宋体" w:cs="Times New Roman"/>
                <w:b w:val="0"/>
                <w:bCs w:val="0"/>
                <w:sz w:val="24"/>
                <w:szCs w:val="24"/>
                <w:highlight w:val="none"/>
                <w:lang w:val="en-US" w:eastAsia="zh-CN"/>
              </w:rPr>
              <w:t>危废暂存间</w:t>
            </w:r>
            <w:r>
              <w:rPr>
                <w:rFonts w:hint="default" w:ascii="Times New Roman" w:hAnsi="Times New Roman" w:eastAsia="宋体" w:cs="Times New Roman"/>
                <w:b w:val="0"/>
                <w:bCs w:val="0"/>
                <w:sz w:val="24"/>
                <w:szCs w:val="24"/>
                <w:highlight w:val="none"/>
                <w:lang w:val="en-US" w:eastAsia="zh-CN"/>
              </w:rPr>
              <w:t>地面</w:t>
            </w:r>
            <w:r>
              <w:rPr>
                <w:rFonts w:hint="eastAsia" w:ascii="Times New Roman" w:hAnsi="Times New Roman" w:eastAsia="宋体" w:cs="Times New Roman"/>
                <w:b w:val="0"/>
                <w:bCs w:val="0"/>
                <w:sz w:val="24"/>
                <w:szCs w:val="24"/>
                <w:highlight w:val="none"/>
                <w:lang w:val="en-US" w:eastAsia="zh-CN"/>
              </w:rPr>
              <w:t>进行防腐防渗</w:t>
            </w:r>
            <w:r>
              <w:rPr>
                <w:rFonts w:hint="default" w:ascii="Times New Roman" w:hAnsi="Times New Roman" w:eastAsia="宋体" w:cs="Times New Roman"/>
                <w:b w:val="0"/>
                <w:bCs w:val="0"/>
                <w:sz w:val="24"/>
                <w:szCs w:val="24"/>
                <w:highlight w:val="none"/>
                <w:lang w:val="en-US" w:eastAsia="zh-CN"/>
              </w:rPr>
              <w:t>，</w:t>
            </w:r>
            <w:r>
              <w:rPr>
                <w:rFonts w:hint="default" w:ascii="Times New Roman" w:hAnsi="Times New Roman" w:eastAsia="宋体" w:cs="Times New Roman"/>
                <w:color w:val="auto"/>
                <w:kern w:val="2"/>
                <w:sz w:val="24"/>
                <w:szCs w:val="24"/>
                <w:highlight w:val="none"/>
                <w:lang w:val="en-US" w:eastAsia="zh-CN" w:bidi="ar-SA"/>
              </w:rPr>
              <w:t>警示标识；对危险废物的收集和管理，委派专人负责，并做好登记记录，防止存放过程中的二次污染</w:t>
            </w:r>
            <w:r>
              <w:rPr>
                <w:rFonts w:hint="eastAsia" w:ascii="Times New Roman" w:hAnsi="Times New Roman" w:eastAsia="宋体" w:cs="Times New Roman"/>
                <w:color w:val="auto"/>
                <w:kern w:val="2"/>
                <w:sz w:val="24"/>
                <w:szCs w:val="24"/>
                <w:highlight w:val="none"/>
                <w:lang w:val="en-US" w:eastAsia="zh-CN" w:bidi="ar-SA"/>
              </w:rPr>
              <w:t>。</w:t>
            </w:r>
          </w:p>
          <w:p w14:paraId="00B1744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b/>
                <w:color w:val="auto"/>
                <w:sz w:val="24"/>
                <w:highlight w:val="none"/>
                <w:vertAlign w:val="baseline"/>
                <w:lang w:val="en-US" w:eastAsia="zh-CN"/>
              </w:rPr>
            </w:pPr>
            <w:r>
              <w:rPr>
                <w:rFonts w:hint="default" w:ascii="Times New Roman" w:hAnsi="Times New Roman"/>
                <w:b/>
                <w:color w:val="auto"/>
                <w:sz w:val="24"/>
                <w:highlight w:val="none"/>
                <w:vertAlign w:val="baseline"/>
                <w:lang w:val="en-US" w:eastAsia="zh-CN"/>
              </w:rPr>
              <w:drawing>
                <wp:inline distT="0" distB="0" distL="114300" distR="114300">
                  <wp:extent cx="5265420" cy="2809240"/>
                  <wp:effectExtent l="0" t="0" r="11430" b="10160"/>
                  <wp:docPr id="38" name="图片 38" descr="174176241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741762417399"/>
                          <pic:cNvPicPr>
                            <a:picLocks noChangeAspect="1"/>
                          </pic:cNvPicPr>
                        </pic:nvPicPr>
                        <pic:blipFill>
                          <a:blip r:embed="rId35"/>
                          <a:stretch>
                            <a:fillRect/>
                          </a:stretch>
                        </pic:blipFill>
                        <pic:spPr>
                          <a:xfrm>
                            <a:off x="0" y="0"/>
                            <a:ext cx="5265420" cy="2809240"/>
                          </a:xfrm>
                          <a:prstGeom prst="rect">
                            <a:avLst/>
                          </a:prstGeom>
                        </pic:spPr>
                      </pic:pic>
                    </a:graphicData>
                  </a:graphic>
                </wp:inline>
              </w:drawing>
            </w:r>
          </w:p>
          <w:p w14:paraId="1845D913">
            <w:pPr>
              <w:pStyle w:val="30"/>
              <w:jc w:val="center"/>
              <w:rPr>
                <w:rFonts w:hint="default" w:ascii="黑体" w:hAnsi="黑体" w:eastAsia="黑体" w:cs="黑体"/>
                <w:b w:val="0"/>
                <w:bCs/>
                <w:sz w:val="21"/>
                <w:szCs w:val="21"/>
                <w:highlight w:val="none"/>
                <w:lang w:val="en-US" w:eastAsia="zh-CN"/>
              </w:rPr>
            </w:pPr>
            <w:r>
              <w:rPr>
                <w:rFonts w:hint="eastAsia" w:ascii="黑体" w:hAnsi="黑体" w:eastAsia="黑体" w:cs="黑体"/>
                <w:b w:val="0"/>
                <w:bCs/>
                <w:color w:val="auto"/>
                <w:sz w:val="21"/>
                <w:szCs w:val="21"/>
                <w:highlight w:val="none"/>
                <w:vertAlign w:val="baseline"/>
                <w:lang w:val="en-US" w:eastAsia="zh-CN"/>
              </w:rPr>
              <w:t>危险废物暂存间</w:t>
            </w:r>
          </w:p>
          <w:p w14:paraId="6C9A36B3">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2.5环境风险</w:t>
            </w:r>
          </w:p>
          <w:p w14:paraId="409040C6">
            <w:pPr>
              <w:bidi w:val="0"/>
              <w:rPr>
                <w:rFonts w:hint="default"/>
                <w:highlight w:val="none"/>
                <w:lang w:val="en-US" w:eastAsia="zh-CN"/>
              </w:rPr>
            </w:pPr>
            <w:r>
              <w:rPr>
                <w:rFonts w:hint="eastAsia"/>
                <w:highlight w:val="none"/>
                <w:lang w:val="en-US" w:eastAsia="zh-CN"/>
              </w:rPr>
              <w:t>（1）危废间</w:t>
            </w:r>
            <w:r>
              <w:rPr>
                <w:rFonts w:hint="default"/>
                <w:highlight w:val="none"/>
                <w:lang w:val="en-US" w:eastAsia="zh-CN"/>
              </w:rPr>
              <w:t>风险</w:t>
            </w:r>
            <w:r>
              <w:rPr>
                <w:rFonts w:hint="eastAsia"/>
                <w:highlight w:val="none"/>
                <w:lang w:val="en-US" w:eastAsia="zh-CN"/>
              </w:rPr>
              <w:t>防范</w:t>
            </w:r>
            <w:r>
              <w:rPr>
                <w:rFonts w:hint="default"/>
                <w:highlight w:val="none"/>
                <w:lang w:val="en-US" w:eastAsia="zh-CN"/>
              </w:rPr>
              <w:t>措施</w:t>
            </w:r>
          </w:p>
          <w:p w14:paraId="20224E5E">
            <w:pPr>
              <w:bidi w:val="0"/>
              <w:rPr>
                <w:rFonts w:hint="eastAsia"/>
                <w:lang w:val="en-US" w:eastAsia="zh-CN"/>
              </w:rPr>
            </w:pPr>
            <w:r>
              <w:rPr>
                <w:rFonts w:hint="eastAsia"/>
                <w:highlight w:val="none"/>
                <w:lang w:val="en-US" w:eastAsia="zh-CN"/>
              </w:rPr>
              <w:t>本项目设置常备灭火器以及巡检人员。为了进一步降低环境风险发生的几率，建议项目在日常</w:t>
            </w:r>
            <w:r>
              <w:rPr>
                <w:rFonts w:hint="eastAsia"/>
                <w:lang w:val="en-US" w:eastAsia="zh-CN"/>
              </w:rPr>
              <w:t>管理中应该采取以下的防范措施：</w:t>
            </w:r>
          </w:p>
          <w:p w14:paraId="177C71A5">
            <w:pPr>
              <w:bidi w:val="0"/>
              <w:rPr>
                <w:rFonts w:hint="eastAsia"/>
                <w:lang w:val="en-US" w:eastAsia="zh-CN"/>
              </w:rPr>
            </w:pPr>
            <w:r>
              <w:rPr>
                <w:rFonts w:hint="eastAsia"/>
                <w:lang w:val="en-US" w:eastAsia="zh-CN"/>
              </w:rPr>
              <w:t>①应进行每天定时巡检。</w:t>
            </w:r>
          </w:p>
          <w:p w14:paraId="454BE552">
            <w:pPr>
              <w:bidi w:val="0"/>
              <w:rPr>
                <w:rFonts w:hint="eastAsia"/>
                <w:lang w:val="en-US" w:eastAsia="zh-CN"/>
              </w:rPr>
            </w:pPr>
            <w:r>
              <w:rPr>
                <w:rFonts w:hint="eastAsia"/>
                <w:lang w:val="en-US" w:eastAsia="zh-CN"/>
              </w:rPr>
              <w:t>②危废贮存库应当防风、防雨、防晒、防渗漏、隔离隔断、门口设置围堰；基础防渗材料渗透系数小于1×10-7cm/s，设置危险废物识别标志。</w:t>
            </w:r>
          </w:p>
          <w:p w14:paraId="142ECBB2">
            <w:pPr>
              <w:bidi w:val="0"/>
              <w:rPr>
                <w:rFonts w:hint="default"/>
                <w:lang w:val="en-US" w:eastAsia="zh-CN"/>
              </w:rPr>
            </w:pPr>
            <w:r>
              <w:rPr>
                <w:rFonts w:hint="eastAsia"/>
                <w:lang w:val="en-US" w:eastAsia="zh-CN"/>
              </w:rPr>
              <w:t>③需配备配套应急物资，如油毡、沙袋等，编制应急预案，并进行演练。防范措施技术可行、经济合理，性质有效</w:t>
            </w:r>
            <w:r>
              <w:rPr>
                <w:rFonts w:hint="default"/>
                <w:lang w:val="en-US" w:eastAsia="zh-CN"/>
              </w:rPr>
              <w:t>。</w:t>
            </w:r>
          </w:p>
          <w:p w14:paraId="1A0ECBD4">
            <w:pPr>
              <w:bidi w:val="0"/>
              <w:rPr>
                <w:rFonts w:hint="eastAsia"/>
                <w:highlight w:val="none"/>
                <w:lang w:val="en-US" w:eastAsia="zh-CN"/>
              </w:rPr>
            </w:pPr>
            <w:r>
              <w:rPr>
                <w:rFonts w:hint="eastAsia"/>
                <w:lang w:val="en-US" w:eastAsia="zh-CN"/>
              </w:rPr>
              <w:t>④定期对危险废物贮存设施进行检查，并委托具有专业资质的危险废物处理单位进行转移和处理。</w:t>
            </w:r>
          </w:p>
          <w:p w14:paraId="6FF9D290">
            <w:pPr>
              <w:bidi w:val="0"/>
              <w:rPr>
                <w:rFonts w:hint="eastAsia"/>
                <w:highlight w:val="none"/>
                <w:lang w:val="en-US" w:eastAsia="zh-CN"/>
              </w:rPr>
            </w:pPr>
            <w:r>
              <w:rPr>
                <w:rFonts w:hint="eastAsia"/>
                <w:highlight w:val="none"/>
                <w:lang w:val="en-US" w:eastAsia="zh-CN"/>
              </w:rPr>
              <w:t>⑤车间必须配备足够的相适用的各类灭火器材，并定点存放。本项目配备50具灭火器（20具推车式干粉灭火器，30具手提式干粉灭火器）。</w:t>
            </w:r>
          </w:p>
          <w:p w14:paraId="3F8D62F0">
            <w:pPr>
              <w:bidi w:val="0"/>
              <w:rPr>
                <w:rFonts w:hint="default"/>
                <w:highlight w:val="none"/>
                <w:lang w:val="en-US" w:eastAsia="zh-CN"/>
              </w:rPr>
            </w:pPr>
            <w:r>
              <w:rPr>
                <w:rFonts w:hint="eastAsia"/>
                <w:highlight w:val="none"/>
                <w:lang w:val="en-US" w:eastAsia="zh-CN"/>
              </w:rPr>
              <w:t>⑥要求经常检查灭火器，对过期的可以集中训练时使用，并及时充装</w:t>
            </w:r>
          </w:p>
          <w:p w14:paraId="65256D49">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default"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（2）</w:t>
            </w:r>
            <w:r>
              <w:rPr>
                <w:rFonts w:hint="default" w:ascii="Times New Roman" w:hAnsi="Times New Roman" w:eastAsia="宋体" w:cs="Times New Roman"/>
                <w:b w:val="0"/>
                <w:bCs w:val="0"/>
                <w:sz w:val="24"/>
                <w:szCs w:val="24"/>
                <w:highlight w:val="none"/>
                <w:lang w:val="en-US" w:eastAsia="zh-CN"/>
              </w:rPr>
              <w:t>风险管理</w:t>
            </w:r>
          </w:p>
          <w:p w14:paraId="400752F1">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default"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建设单位</w:t>
            </w:r>
            <w:r>
              <w:rPr>
                <w:rFonts w:hint="default" w:ascii="Times New Roman" w:hAnsi="Times New Roman" w:eastAsia="宋体" w:cs="Times New Roman"/>
                <w:b w:val="0"/>
                <w:bCs w:val="0"/>
                <w:sz w:val="24"/>
                <w:szCs w:val="24"/>
                <w:highlight w:val="none"/>
                <w:lang w:val="en-US" w:eastAsia="zh-CN"/>
              </w:rPr>
              <w:t>组建安全环保管理部门，配备管理人员。通过技能培训，承担工伤运行中的环保安全工作。安全环保管理部门将根据相关的环境管理要求，结合具体情况，制定公司的各项安全生产管理制度、严格的生产操作规则和完善的事故应急计划及相应的应急处理手段和设施，同时加强教育，以提高职工的安全意识和安全防范能力。</w:t>
            </w:r>
          </w:p>
          <w:p w14:paraId="0718AA79">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 xml:space="preserve">3 </w:t>
            </w:r>
            <w:r>
              <w:rPr>
                <w:rFonts w:hint="default" w:ascii="Times New Roman" w:hAnsi="Times New Roman"/>
                <w:b/>
                <w:color w:val="auto"/>
                <w:sz w:val="24"/>
                <w:highlight w:val="none"/>
                <w:vertAlign w:val="baseline"/>
                <w:lang w:val="en-US" w:eastAsia="zh-CN"/>
              </w:rPr>
              <w:t>环保设施投资及“三同时”落实情况</w:t>
            </w:r>
          </w:p>
          <w:p w14:paraId="198460C2">
            <w:pPr>
              <w:bidi w:val="0"/>
              <w:rPr>
                <w:rFonts w:hint="eastAsia" w:ascii="Times New Roman" w:hAnsi="Times New Roman" w:eastAsia="宋体"/>
                <w:lang w:val="en-US" w:eastAsia="zh-CN"/>
              </w:rPr>
            </w:pPr>
            <w:r>
              <w:rPr>
                <w:rFonts w:hint="eastAsia" w:ascii="Times New Roman" w:hAnsi="Times New Roman" w:eastAsia="宋体"/>
                <w:lang w:val="en-US" w:eastAsia="zh-CN"/>
              </w:rPr>
              <w:t>环评期间，建设项目总投资为515万元，其中环保投资61万元，占总投资比例的11.84%。</w:t>
            </w:r>
          </w:p>
          <w:p w14:paraId="6E06EACC">
            <w:pPr>
              <w:bidi w:val="0"/>
              <w:rPr>
                <w:rFonts w:hint="default" w:ascii="Times New Roman" w:hAnsi="Times New Roman" w:eastAsia="宋体"/>
                <w:highlight w:val="none"/>
                <w:lang w:val="en-US" w:eastAsia="zh-CN"/>
              </w:rPr>
            </w:pPr>
            <w:r>
              <w:rPr>
                <w:rFonts w:hint="eastAsia" w:ascii="Times New Roman" w:hAnsi="Times New Roman" w:eastAsia="宋体"/>
                <w:lang w:val="en-US" w:eastAsia="zh-CN"/>
              </w:rPr>
              <w:t>建设项目实际总投</w:t>
            </w:r>
            <w:r>
              <w:rPr>
                <w:rFonts w:hint="eastAsia" w:ascii="Times New Roman" w:hAnsi="Times New Roman" w:eastAsia="宋体"/>
                <w:highlight w:val="none"/>
                <w:lang w:val="en-US" w:eastAsia="zh-CN"/>
              </w:rPr>
              <w:t>资为450万元，其中环保投资35万元，环保投资占总投资比例为7.78%</w:t>
            </w:r>
            <w:r>
              <w:rPr>
                <w:rFonts w:hint="default" w:ascii="Times New Roman" w:hAnsi="Times New Roman" w:eastAsia="宋体"/>
                <w:highlight w:val="none"/>
                <w:lang w:val="en-US" w:eastAsia="zh-CN"/>
              </w:rPr>
              <w:t>。</w:t>
            </w:r>
          </w:p>
          <w:p w14:paraId="65DF59A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黑体" w:hAnsi="黑体" w:eastAsia="黑体" w:cs="黑体"/>
                <w:color w:val="000000"/>
                <w:kern w:val="0"/>
                <w:sz w:val="21"/>
                <w:szCs w:val="21"/>
                <w:highlight w:val="none"/>
                <w:shd w:val="clear" w:color="auto" w:fill="auto"/>
                <w:lang w:val="en-US" w:eastAsia="zh-CN" w:bidi="ar"/>
              </w:rPr>
            </w:pPr>
            <w:r>
              <w:rPr>
                <w:rFonts w:hint="eastAsia" w:ascii="黑体" w:hAnsi="黑体" w:eastAsia="黑体" w:cs="黑体"/>
                <w:color w:val="000000"/>
                <w:kern w:val="0"/>
                <w:sz w:val="21"/>
                <w:szCs w:val="21"/>
                <w:highlight w:val="none"/>
                <w:shd w:val="clear" w:color="auto" w:fill="auto"/>
                <w:lang w:val="en-US" w:eastAsia="zh-CN" w:bidi="ar"/>
              </w:rPr>
              <w:t>3-1 环保设施投资及“三同时”落实情况表</w:t>
            </w:r>
          </w:p>
          <w:tbl>
            <w:tblPr>
              <w:tblStyle w:val="25"/>
              <w:tblW w:w="8324"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653"/>
              <w:gridCol w:w="897"/>
              <w:gridCol w:w="791"/>
              <w:gridCol w:w="1484"/>
              <w:gridCol w:w="3163"/>
              <w:gridCol w:w="1336"/>
            </w:tblGrid>
            <w:tr w14:paraId="09F49B33">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108" w:type="dxa"/>
                  <w:bottom w:w="0" w:type="dxa"/>
                  <w:right w:w="108" w:type="dxa"/>
                </w:tblCellMar>
              </w:tblPrEx>
              <w:tc>
                <w:tcPr>
                  <w:tcW w:w="653" w:type="dxa"/>
                  <w:tcBorders>
                    <w:tl2br w:val="nil"/>
                    <w:tr2bl w:val="nil"/>
                  </w:tcBorders>
                  <w:noWrap w:val="0"/>
                  <w:vAlign w:val="center"/>
                </w:tcPr>
                <w:p w14:paraId="6043F67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w:t>
                  </w:r>
                </w:p>
              </w:tc>
              <w:tc>
                <w:tcPr>
                  <w:tcW w:w="1688" w:type="dxa"/>
                  <w:gridSpan w:val="2"/>
                  <w:tcBorders>
                    <w:tl2br w:val="nil"/>
                    <w:tr2bl w:val="nil"/>
                  </w:tcBorders>
                  <w:noWrap w:val="0"/>
                  <w:vAlign w:val="center"/>
                </w:tcPr>
                <w:p w14:paraId="1E0B09B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产污环节</w:t>
                  </w:r>
                </w:p>
              </w:tc>
              <w:tc>
                <w:tcPr>
                  <w:tcW w:w="1484" w:type="dxa"/>
                  <w:tcBorders>
                    <w:tl2br w:val="nil"/>
                    <w:tr2bl w:val="nil"/>
                  </w:tcBorders>
                  <w:noWrap w:val="0"/>
                  <w:vAlign w:val="center"/>
                </w:tcPr>
                <w:p w14:paraId="4063103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污染物</w:t>
                  </w:r>
                </w:p>
              </w:tc>
              <w:tc>
                <w:tcPr>
                  <w:tcW w:w="3163" w:type="dxa"/>
                  <w:tcBorders>
                    <w:tl2br w:val="nil"/>
                    <w:tr2bl w:val="nil"/>
                  </w:tcBorders>
                  <w:noWrap w:val="0"/>
                  <w:vAlign w:val="center"/>
                </w:tcPr>
                <w:p w14:paraId="1DAEC00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治理措施</w:t>
                  </w:r>
                </w:p>
              </w:tc>
              <w:tc>
                <w:tcPr>
                  <w:tcW w:w="1336" w:type="dxa"/>
                  <w:tcBorders>
                    <w:tl2br w:val="nil"/>
                    <w:tr2bl w:val="nil"/>
                  </w:tcBorders>
                  <w:noWrap w:val="0"/>
                  <w:vAlign w:val="center"/>
                </w:tcPr>
                <w:p w14:paraId="5345A7B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环保投资（万元）</w:t>
                  </w:r>
                </w:p>
              </w:tc>
            </w:tr>
            <w:tr w14:paraId="08924BF4">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108" w:type="dxa"/>
                  <w:bottom w:w="0" w:type="dxa"/>
                  <w:right w:w="108" w:type="dxa"/>
                </w:tblCellMar>
              </w:tblPrEx>
              <w:tc>
                <w:tcPr>
                  <w:tcW w:w="653" w:type="dxa"/>
                  <w:tcBorders>
                    <w:tl2br w:val="nil"/>
                    <w:tr2bl w:val="nil"/>
                  </w:tcBorders>
                  <w:noWrap w:val="0"/>
                  <w:vAlign w:val="center"/>
                </w:tcPr>
                <w:p w14:paraId="73E6A19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w:t>
                  </w:r>
                </w:p>
              </w:tc>
              <w:tc>
                <w:tcPr>
                  <w:tcW w:w="1688" w:type="dxa"/>
                  <w:gridSpan w:val="2"/>
                  <w:tcBorders>
                    <w:tl2br w:val="nil"/>
                    <w:tr2bl w:val="nil"/>
                  </w:tcBorders>
                  <w:noWrap w:val="0"/>
                  <w:vAlign w:val="center"/>
                </w:tcPr>
                <w:p w14:paraId="19AE386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泡沫制品包装生产线</w:t>
                  </w:r>
                </w:p>
              </w:tc>
              <w:tc>
                <w:tcPr>
                  <w:tcW w:w="1484" w:type="dxa"/>
                  <w:tcBorders>
                    <w:tl2br w:val="nil"/>
                    <w:tr2bl w:val="nil"/>
                  </w:tcBorders>
                  <w:noWrap w:val="0"/>
                  <w:vAlign w:val="center"/>
                </w:tcPr>
                <w:p w14:paraId="1DBDE36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非甲烷总烃、苯乙烯、甲苯、乙苯</w:t>
                  </w:r>
                </w:p>
              </w:tc>
              <w:tc>
                <w:tcPr>
                  <w:tcW w:w="3163" w:type="dxa"/>
                  <w:tcBorders>
                    <w:tl2br w:val="nil"/>
                    <w:tr2bl w:val="nil"/>
                  </w:tcBorders>
                  <w:noWrap w:val="0"/>
                  <w:vAlign w:val="center"/>
                </w:tcPr>
                <w:p w14:paraId="177D006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局部密闭式集气罩</w:t>
                  </w:r>
                  <w:r>
                    <w:rPr>
                      <w:rFonts w:hint="eastAsia" w:cs="Times New Roman"/>
                      <w:color w:val="auto"/>
                      <w:sz w:val="21"/>
                      <w:szCs w:val="21"/>
                      <w:highlight w:val="none"/>
                      <w:lang w:val="en-US" w:eastAsia="zh-CN"/>
                    </w:rPr>
                    <w:t>/集气管道</w:t>
                  </w:r>
                  <w:r>
                    <w:rPr>
                      <w:rFonts w:hint="default" w:ascii="Times New Roman" w:hAnsi="Times New Roman" w:eastAsia="宋体" w:cs="Times New Roman"/>
                      <w:color w:val="auto"/>
                      <w:sz w:val="21"/>
                      <w:szCs w:val="21"/>
                      <w:highlight w:val="none"/>
                      <w:lang w:val="en-US" w:eastAsia="zh-CN"/>
                    </w:rPr>
                    <w:t>+三级活性炭吸附装置</w:t>
                  </w:r>
                  <w:r>
                    <w:rPr>
                      <w:rFonts w:hint="eastAsia" w:cs="Times New Roman"/>
                      <w:color w:val="auto"/>
                      <w:sz w:val="21"/>
                      <w:szCs w:val="21"/>
                      <w:highlight w:val="none"/>
                      <w:lang w:val="en-US" w:eastAsia="zh-CN"/>
                    </w:rPr>
                    <w:t>+布袋除尘器</w:t>
                  </w:r>
                  <w:r>
                    <w:rPr>
                      <w:rFonts w:hint="default" w:ascii="Times New Roman" w:hAnsi="Times New Roman" w:eastAsia="宋体" w:cs="Times New Roman"/>
                      <w:color w:val="auto"/>
                      <w:sz w:val="21"/>
                      <w:szCs w:val="21"/>
                      <w:highlight w:val="none"/>
                      <w:lang w:val="en-US" w:eastAsia="zh-CN"/>
                    </w:rPr>
                    <w:t>+15米排气筒</w:t>
                  </w:r>
                </w:p>
              </w:tc>
              <w:tc>
                <w:tcPr>
                  <w:tcW w:w="1336" w:type="dxa"/>
                  <w:tcBorders>
                    <w:tl2br w:val="nil"/>
                    <w:tr2bl w:val="nil"/>
                  </w:tcBorders>
                  <w:noWrap w:val="0"/>
                  <w:vAlign w:val="center"/>
                </w:tcPr>
                <w:p w14:paraId="5D8E608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5</w:t>
                  </w:r>
                </w:p>
              </w:tc>
            </w:tr>
            <w:tr w14:paraId="4DD96E91">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108" w:type="dxa"/>
                  <w:bottom w:w="0" w:type="dxa"/>
                  <w:right w:w="108" w:type="dxa"/>
                </w:tblCellMar>
              </w:tblPrEx>
              <w:tc>
                <w:tcPr>
                  <w:tcW w:w="653" w:type="dxa"/>
                  <w:vMerge w:val="restart"/>
                  <w:tcBorders>
                    <w:tl2br w:val="nil"/>
                    <w:tr2bl w:val="nil"/>
                  </w:tcBorders>
                  <w:noWrap w:val="0"/>
                  <w:vAlign w:val="center"/>
                </w:tcPr>
                <w:p w14:paraId="343CA67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废水</w:t>
                  </w:r>
                </w:p>
              </w:tc>
              <w:tc>
                <w:tcPr>
                  <w:tcW w:w="1688" w:type="dxa"/>
                  <w:gridSpan w:val="2"/>
                  <w:tcBorders>
                    <w:tl2br w:val="nil"/>
                    <w:tr2bl w:val="nil"/>
                  </w:tcBorders>
                  <w:noWrap w:val="0"/>
                  <w:vAlign w:val="center"/>
                </w:tcPr>
                <w:p w14:paraId="71FFAAE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员工生活</w:t>
                  </w:r>
                </w:p>
              </w:tc>
              <w:tc>
                <w:tcPr>
                  <w:tcW w:w="1484" w:type="dxa"/>
                  <w:tcBorders>
                    <w:tl2br w:val="nil"/>
                    <w:tr2bl w:val="nil"/>
                  </w:tcBorders>
                  <w:noWrap w:val="0"/>
                  <w:vAlign w:val="center"/>
                </w:tcPr>
                <w:p w14:paraId="4E78806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COD、BOD、NH3-N、SS等</w:t>
                  </w:r>
                </w:p>
              </w:tc>
              <w:tc>
                <w:tcPr>
                  <w:tcW w:w="3163" w:type="dxa"/>
                  <w:tcBorders>
                    <w:tl2br w:val="nil"/>
                    <w:tr2bl w:val="nil"/>
                  </w:tcBorders>
                  <w:noWrap w:val="0"/>
                  <w:vAlign w:val="center"/>
                </w:tcPr>
                <w:p w14:paraId="7D5B03B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防渗旱厕</w:t>
                  </w:r>
                </w:p>
              </w:tc>
              <w:tc>
                <w:tcPr>
                  <w:tcW w:w="1336" w:type="dxa"/>
                  <w:tcBorders>
                    <w:tl2br w:val="nil"/>
                    <w:tr2bl w:val="nil"/>
                  </w:tcBorders>
                  <w:noWrap w:val="0"/>
                  <w:vAlign w:val="center"/>
                </w:tcPr>
                <w:p w14:paraId="5F3A992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r>
            <w:tr w14:paraId="631C9FDC">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108" w:type="dxa"/>
                  <w:bottom w:w="0" w:type="dxa"/>
                  <w:right w:w="108" w:type="dxa"/>
                </w:tblCellMar>
              </w:tblPrEx>
              <w:tc>
                <w:tcPr>
                  <w:tcW w:w="653" w:type="dxa"/>
                  <w:vMerge w:val="continue"/>
                  <w:tcBorders>
                    <w:tl2br w:val="nil"/>
                    <w:tr2bl w:val="nil"/>
                  </w:tcBorders>
                  <w:noWrap w:val="0"/>
                  <w:vAlign w:val="center"/>
                </w:tcPr>
                <w:p w14:paraId="16F9CEE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1688" w:type="dxa"/>
                  <w:gridSpan w:val="2"/>
                  <w:tcBorders>
                    <w:tl2br w:val="nil"/>
                    <w:tr2bl w:val="nil"/>
                  </w:tcBorders>
                  <w:noWrap w:val="0"/>
                  <w:vAlign w:val="center"/>
                </w:tcPr>
                <w:p w14:paraId="015012B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成型机间接冷却</w:t>
                  </w:r>
                </w:p>
              </w:tc>
              <w:tc>
                <w:tcPr>
                  <w:tcW w:w="1484" w:type="dxa"/>
                  <w:tcBorders>
                    <w:tl2br w:val="nil"/>
                    <w:tr2bl w:val="nil"/>
                  </w:tcBorders>
                  <w:noWrap w:val="0"/>
                  <w:vAlign w:val="center"/>
                </w:tcPr>
                <w:p w14:paraId="0EFD575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COD、NH3-N、SS等</w:t>
                  </w:r>
                </w:p>
              </w:tc>
              <w:tc>
                <w:tcPr>
                  <w:tcW w:w="3163" w:type="dxa"/>
                  <w:tcBorders>
                    <w:tl2br w:val="nil"/>
                    <w:tr2bl w:val="nil"/>
                  </w:tcBorders>
                  <w:noWrap w:val="0"/>
                  <w:vAlign w:val="center"/>
                </w:tcPr>
                <w:p w14:paraId="05C6B62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冷却水循环系统</w:t>
                  </w:r>
                </w:p>
              </w:tc>
              <w:tc>
                <w:tcPr>
                  <w:tcW w:w="1336" w:type="dxa"/>
                  <w:tcBorders>
                    <w:tl2br w:val="nil"/>
                    <w:tr2bl w:val="nil"/>
                  </w:tcBorders>
                  <w:noWrap w:val="0"/>
                  <w:vAlign w:val="center"/>
                </w:tcPr>
                <w:p w14:paraId="1FE78F7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r>
            <w:tr w14:paraId="264465E1">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108" w:type="dxa"/>
                  <w:bottom w:w="0" w:type="dxa"/>
                  <w:right w:w="108" w:type="dxa"/>
                </w:tblCellMar>
              </w:tblPrEx>
              <w:tc>
                <w:tcPr>
                  <w:tcW w:w="653" w:type="dxa"/>
                  <w:vMerge w:val="continue"/>
                  <w:tcBorders>
                    <w:tl2br w:val="nil"/>
                    <w:tr2bl w:val="nil"/>
                  </w:tcBorders>
                  <w:noWrap w:val="0"/>
                  <w:vAlign w:val="center"/>
                </w:tcPr>
                <w:p w14:paraId="3D904EC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1688" w:type="dxa"/>
                  <w:gridSpan w:val="2"/>
                  <w:tcBorders>
                    <w:tl2br w:val="nil"/>
                    <w:tr2bl w:val="nil"/>
                  </w:tcBorders>
                  <w:noWrap w:val="0"/>
                  <w:vAlign w:val="center"/>
                </w:tcPr>
                <w:p w14:paraId="0515EDD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高温蒸汽冷凝</w:t>
                  </w:r>
                </w:p>
              </w:tc>
              <w:tc>
                <w:tcPr>
                  <w:tcW w:w="1484" w:type="dxa"/>
                  <w:tcBorders>
                    <w:tl2br w:val="nil"/>
                    <w:tr2bl w:val="nil"/>
                  </w:tcBorders>
                  <w:noWrap w:val="0"/>
                  <w:vAlign w:val="center"/>
                </w:tcPr>
                <w:p w14:paraId="42B03AB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COD、NH3-N、SS等</w:t>
                  </w:r>
                </w:p>
              </w:tc>
              <w:tc>
                <w:tcPr>
                  <w:tcW w:w="3163" w:type="dxa"/>
                  <w:tcBorders>
                    <w:tl2br w:val="nil"/>
                    <w:tr2bl w:val="nil"/>
                  </w:tcBorders>
                  <w:noWrap w:val="0"/>
                  <w:vAlign w:val="center"/>
                </w:tcPr>
                <w:p w14:paraId="0ED4EFC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4个</w:t>
                  </w:r>
                  <w:r>
                    <w:rPr>
                      <w:rFonts w:hint="default" w:ascii="Times New Roman" w:hAnsi="Times New Roman" w:eastAsia="宋体" w:cs="Times New Roman"/>
                      <w:color w:val="auto"/>
                      <w:sz w:val="21"/>
                      <w:szCs w:val="21"/>
                      <w:highlight w:val="none"/>
                      <w:lang w:val="en-US" w:eastAsia="zh-CN"/>
                    </w:rPr>
                    <w:t>冷凝水收集池（</w:t>
                  </w: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0m3）</w:t>
                  </w:r>
                </w:p>
              </w:tc>
              <w:tc>
                <w:tcPr>
                  <w:tcW w:w="1336" w:type="dxa"/>
                  <w:tcBorders>
                    <w:tl2br w:val="nil"/>
                    <w:tr2bl w:val="nil"/>
                  </w:tcBorders>
                  <w:noWrap w:val="0"/>
                  <w:vAlign w:val="center"/>
                </w:tcPr>
                <w:p w14:paraId="1C02113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w:t>
                  </w:r>
                </w:p>
              </w:tc>
            </w:tr>
            <w:tr w14:paraId="5B2129D8">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108" w:type="dxa"/>
                  <w:bottom w:w="0" w:type="dxa"/>
                  <w:right w:w="108" w:type="dxa"/>
                </w:tblCellMar>
              </w:tblPrEx>
              <w:tc>
                <w:tcPr>
                  <w:tcW w:w="653" w:type="dxa"/>
                  <w:tcBorders>
                    <w:tl2br w:val="nil"/>
                    <w:tr2bl w:val="nil"/>
                  </w:tcBorders>
                  <w:noWrap w:val="0"/>
                  <w:vAlign w:val="center"/>
                </w:tcPr>
                <w:p w14:paraId="6CD1D58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w:t>
                  </w:r>
                </w:p>
              </w:tc>
              <w:tc>
                <w:tcPr>
                  <w:tcW w:w="1688" w:type="dxa"/>
                  <w:gridSpan w:val="2"/>
                  <w:tcBorders>
                    <w:tl2br w:val="nil"/>
                    <w:tr2bl w:val="nil"/>
                  </w:tcBorders>
                  <w:noWrap w:val="0"/>
                  <w:vAlign w:val="center"/>
                </w:tcPr>
                <w:p w14:paraId="1CBB751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机械设备</w:t>
                  </w:r>
                </w:p>
              </w:tc>
              <w:tc>
                <w:tcPr>
                  <w:tcW w:w="1484" w:type="dxa"/>
                  <w:tcBorders>
                    <w:tl2br w:val="nil"/>
                    <w:tr2bl w:val="nil"/>
                  </w:tcBorders>
                  <w:noWrap w:val="0"/>
                  <w:vAlign w:val="center"/>
                </w:tcPr>
                <w:p w14:paraId="73306E3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w:t>
                  </w:r>
                </w:p>
              </w:tc>
              <w:tc>
                <w:tcPr>
                  <w:tcW w:w="3163" w:type="dxa"/>
                  <w:tcBorders>
                    <w:tl2br w:val="nil"/>
                    <w:tr2bl w:val="nil"/>
                  </w:tcBorders>
                  <w:noWrap w:val="0"/>
                  <w:vAlign w:val="center"/>
                </w:tcPr>
                <w:p w14:paraId="4E8492B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基础减震、车间隔声等</w:t>
                  </w:r>
                </w:p>
              </w:tc>
              <w:tc>
                <w:tcPr>
                  <w:tcW w:w="1336" w:type="dxa"/>
                  <w:tcBorders>
                    <w:tl2br w:val="nil"/>
                    <w:tr2bl w:val="nil"/>
                  </w:tcBorders>
                  <w:noWrap w:val="0"/>
                  <w:vAlign w:val="center"/>
                </w:tcPr>
                <w:p w14:paraId="0C0D63C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r>
            <w:tr w14:paraId="1A93A977">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108" w:type="dxa"/>
                  <w:bottom w:w="0" w:type="dxa"/>
                  <w:right w:w="108" w:type="dxa"/>
                </w:tblCellMar>
              </w:tblPrEx>
              <w:tc>
                <w:tcPr>
                  <w:tcW w:w="653" w:type="dxa"/>
                  <w:vMerge w:val="restart"/>
                  <w:tcBorders>
                    <w:tl2br w:val="nil"/>
                    <w:tr2bl w:val="nil"/>
                  </w:tcBorders>
                  <w:noWrap w:val="0"/>
                  <w:vAlign w:val="center"/>
                </w:tcPr>
                <w:p w14:paraId="51630A6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固废</w:t>
                  </w:r>
                </w:p>
              </w:tc>
              <w:tc>
                <w:tcPr>
                  <w:tcW w:w="1688" w:type="dxa"/>
                  <w:gridSpan w:val="2"/>
                  <w:tcBorders>
                    <w:tl2br w:val="nil"/>
                    <w:tr2bl w:val="nil"/>
                  </w:tcBorders>
                  <w:noWrap w:val="0"/>
                  <w:vAlign w:val="center"/>
                </w:tcPr>
                <w:p w14:paraId="3896112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w:t>
                  </w:r>
                </w:p>
              </w:tc>
              <w:tc>
                <w:tcPr>
                  <w:tcW w:w="1484" w:type="dxa"/>
                  <w:tcBorders>
                    <w:tl2br w:val="nil"/>
                    <w:tr2bl w:val="nil"/>
                  </w:tcBorders>
                  <w:noWrap w:val="0"/>
                  <w:vAlign w:val="center"/>
                </w:tcPr>
                <w:p w14:paraId="163B5ED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废机油、油桶、废活性炭</w:t>
                  </w:r>
                </w:p>
              </w:tc>
              <w:tc>
                <w:tcPr>
                  <w:tcW w:w="3163" w:type="dxa"/>
                  <w:tcBorders>
                    <w:tl2br w:val="nil"/>
                    <w:tr2bl w:val="nil"/>
                  </w:tcBorders>
                  <w:noWrap w:val="0"/>
                  <w:vAlign w:val="center"/>
                </w:tcPr>
                <w:p w14:paraId="226880E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危险废物贮存</w:t>
                  </w:r>
                  <w:r>
                    <w:rPr>
                      <w:rFonts w:hint="eastAsia" w:ascii="Times New Roman" w:hAnsi="Times New Roman" w:eastAsia="宋体" w:cs="Times New Roman"/>
                      <w:color w:val="auto"/>
                      <w:sz w:val="21"/>
                      <w:szCs w:val="21"/>
                      <w:highlight w:val="none"/>
                      <w:lang w:val="en-US" w:eastAsia="zh-CN"/>
                    </w:rPr>
                    <w:t>库</w:t>
                  </w:r>
                </w:p>
              </w:tc>
              <w:tc>
                <w:tcPr>
                  <w:tcW w:w="1336" w:type="dxa"/>
                  <w:tcBorders>
                    <w:tl2br w:val="nil"/>
                    <w:tr2bl w:val="nil"/>
                  </w:tcBorders>
                  <w:noWrap w:val="0"/>
                  <w:vAlign w:val="center"/>
                </w:tcPr>
                <w:p w14:paraId="22B4827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r>
            <w:tr w14:paraId="2030509E">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108" w:type="dxa"/>
                  <w:bottom w:w="0" w:type="dxa"/>
                  <w:right w:w="108" w:type="dxa"/>
                </w:tblCellMar>
              </w:tblPrEx>
              <w:tc>
                <w:tcPr>
                  <w:tcW w:w="653" w:type="dxa"/>
                  <w:vMerge w:val="continue"/>
                  <w:tcBorders>
                    <w:tl2br w:val="nil"/>
                    <w:tr2bl w:val="nil"/>
                  </w:tcBorders>
                  <w:noWrap w:val="0"/>
                  <w:vAlign w:val="center"/>
                </w:tcPr>
                <w:p w14:paraId="0E1889B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897" w:type="dxa"/>
                  <w:tcBorders>
                    <w:tl2br w:val="nil"/>
                    <w:tr2bl w:val="nil"/>
                  </w:tcBorders>
                  <w:noWrap w:val="0"/>
                  <w:vAlign w:val="center"/>
                </w:tcPr>
                <w:p w14:paraId="298CBFC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生活垃圾</w:t>
                  </w:r>
                </w:p>
              </w:tc>
              <w:tc>
                <w:tcPr>
                  <w:tcW w:w="791" w:type="dxa"/>
                  <w:tcBorders>
                    <w:tl2br w:val="nil"/>
                    <w:tr2bl w:val="nil"/>
                  </w:tcBorders>
                  <w:noWrap w:val="0"/>
                  <w:vAlign w:val="center"/>
                </w:tcPr>
                <w:p w14:paraId="55DF6DE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员工生活</w:t>
                  </w:r>
                </w:p>
              </w:tc>
              <w:tc>
                <w:tcPr>
                  <w:tcW w:w="1484" w:type="dxa"/>
                  <w:tcBorders>
                    <w:tl2br w:val="nil"/>
                    <w:tr2bl w:val="nil"/>
                  </w:tcBorders>
                  <w:noWrap w:val="0"/>
                  <w:vAlign w:val="center"/>
                </w:tcPr>
                <w:p w14:paraId="0C6B92B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生活垃圾</w:t>
                  </w:r>
                </w:p>
              </w:tc>
              <w:tc>
                <w:tcPr>
                  <w:tcW w:w="3163" w:type="dxa"/>
                  <w:tcBorders>
                    <w:tl2br w:val="nil"/>
                    <w:tr2bl w:val="nil"/>
                  </w:tcBorders>
                  <w:noWrap w:val="0"/>
                  <w:vAlign w:val="center"/>
                </w:tcPr>
                <w:p w14:paraId="3ACE270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垃圾桶</w:t>
                  </w:r>
                </w:p>
              </w:tc>
              <w:tc>
                <w:tcPr>
                  <w:tcW w:w="1336" w:type="dxa"/>
                  <w:tcBorders>
                    <w:tl2br w:val="nil"/>
                    <w:tr2bl w:val="nil"/>
                  </w:tcBorders>
                  <w:noWrap w:val="0"/>
                  <w:vAlign w:val="center"/>
                </w:tcPr>
                <w:p w14:paraId="40C4536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r>
            <w:tr w14:paraId="1B08CCE0">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90" w:hRule="atLeast"/>
              </w:trPr>
              <w:tc>
                <w:tcPr>
                  <w:tcW w:w="6988" w:type="dxa"/>
                  <w:gridSpan w:val="5"/>
                  <w:tcBorders>
                    <w:tl2br w:val="nil"/>
                    <w:tr2bl w:val="nil"/>
                  </w:tcBorders>
                  <w:noWrap w:val="0"/>
                  <w:vAlign w:val="center"/>
                </w:tcPr>
                <w:p w14:paraId="054F3E1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1336" w:type="dxa"/>
                  <w:tcBorders>
                    <w:tl2br w:val="nil"/>
                    <w:tr2bl w:val="nil"/>
                  </w:tcBorders>
                  <w:noWrap w:val="0"/>
                  <w:vAlign w:val="center"/>
                </w:tcPr>
                <w:p w14:paraId="0DA9860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35</w:t>
                  </w:r>
                </w:p>
              </w:tc>
            </w:tr>
          </w:tbl>
          <w:p w14:paraId="303002F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建设项验收“三同时”落实情况详见下表。</w:t>
            </w:r>
          </w:p>
          <w:p w14:paraId="1BE2206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黑体" w:hAnsi="黑体" w:eastAsia="黑体" w:cs="黑体"/>
                <w:color w:val="000000"/>
                <w:kern w:val="0"/>
                <w:sz w:val="21"/>
                <w:szCs w:val="21"/>
                <w:highlight w:val="none"/>
                <w:shd w:val="clear" w:color="auto" w:fill="auto"/>
                <w:lang w:val="en-US" w:eastAsia="zh-CN" w:bidi="ar"/>
              </w:rPr>
            </w:pPr>
            <w:r>
              <w:rPr>
                <w:rFonts w:hint="eastAsia" w:ascii="黑体" w:hAnsi="黑体" w:eastAsia="黑体" w:cs="黑体"/>
                <w:color w:val="000000"/>
                <w:kern w:val="0"/>
                <w:sz w:val="21"/>
                <w:szCs w:val="21"/>
                <w:highlight w:val="none"/>
                <w:shd w:val="clear" w:color="auto" w:fill="auto"/>
                <w:lang w:val="en-US" w:eastAsia="zh-CN" w:bidi="ar"/>
              </w:rPr>
              <w:t>表3-2 项目环保措施及“三同时”验收一栏表</w:t>
            </w:r>
          </w:p>
          <w:tbl>
            <w:tblPr>
              <w:tblStyle w:val="2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12"/>
              <w:gridCol w:w="504"/>
              <w:gridCol w:w="1298"/>
              <w:gridCol w:w="2237"/>
              <w:gridCol w:w="1052"/>
              <w:gridCol w:w="2303"/>
            </w:tblGrid>
            <w:tr w14:paraId="21C48A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49" w:type="pct"/>
                  <w:tcBorders>
                    <w:tl2br w:val="nil"/>
                    <w:tr2bl w:val="nil"/>
                  </w:tcBorders>
                  <w:vAlign w:val="center"/>
                </w:tcPr>
                <w:p w14:paraId="56C5F47D">
                  <w:pPr>
                    <w:spacing w:line="240" w:lineRule="auto"/>
                    <w:ind w:firstLine="0" w:firstLineChars="0"/>
                    <w:jc w:val="center"/>
                    <w:rPr>
                      <w:rFonts w:hint="default"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类别</w:t>
                  </w:r>
                </w:p>
              </w:tc>
              <w:tc>
                <w:tcPr>
                  <w:tcW w:w="1084" w:type="pct"/>
                  <w:gridSpan w:val="2"/>
                  <w:tcBorders>
                    <w:tl2br w:val="nil"/>
                    <w:tr2bl w:val="nil"/>
                  </w:tcBorders>
                  <w:vAlign w:val="center"/>
                </w:tcPr>
                <w:p w14:paraId="122A6C1E">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项目</w:t>
                  </w:r>
                </w:p>
              </w:tc>
              <w:tc>
                <w:tcPr>
                  <w:tcW w:w="1346" w:type="pct"/>
                  <w:tcBorders>
                    <w:tl2br w:val="nil"/>
                    <w:tr2bl w:val="nil"/>
                  </w:tcBorders>
                  <w:vAlign w:val="center"/>
                </w:tcPr>
                <w:p w14:paraId="64DF4204">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环评要求</w:t>
                  </w:r>
                </w:p>
              </w:tc>
              <w:tc>
                <w:tcPr>
                  <w:tcW w:w="2019" w:type="pct"/>
                  <w:gridSpan w:val="2"/>
                  <w:tcBorders>
                    <w:tl2br w:val="nil"/>
                    <w:tr2bl w:val="nil"/>
                  </w:tcBorders>
                  <w:vAlign w:val="center"/>
                </w:tcPr>
                <w:p w14:paraId="2485A3E4">
                  <w:pPr>
                    <w:spacing w:line="240" w:lineRule="auto"/>
                    <w:ind w:firstLine="0" w:firstLineChars="0"/>
                    <w:jc w:val="center"/>
                    <w:rPr>
                      <w:rFonts w:hint="default"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实际落实情况</w:t>
                  </w:r>
                </w:p>
              </w:tc>
            </w:tr>
            <w:tr w14:paraId="47C34F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49" w:type="pct"/>
                  <w:vMerge w:val="restart"/>
                  <w:tcBorders>
                    <w:tl2br w:val="nil"/>
                    <w:tr2bl w:val="nil"/>
                  </w:tcBorders>
                  <w:vAlign w:val="center"/>
                </w:tcPr>
                <w:p w14:paraId="156AD7C1">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废气</w:t>
                  </w:r>
                </w:p>
              </w:tc>
              <w:tc>
                <w:tcPr>
                  <w:tcW w:w="1084" w:type="pct"/>
                  <w:gridSpan w:val="2"/>
                  <w:tcBorders>
                    <w:tl2br w:val="nil"/>
                    <w:tr2bl w:val="nil"/>
                  </w:tcBorders>
                  <w:vAlign w:val="center"/>
                </w:tcPr>
                <w:p w14:paraId="3536635C">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泡沫制品包装生产线</w:t>
                  </w:r>
                </w:p>
              </w:tc>
              <w:tc>
                <w:tcPr>
                  <w:tcW w:w="1346" w:type="pct"/>
                  <w:tcBorders>
                    <w:tl2br w:val="nil"/>
                    <w:tr2bl w:val="nil"/>
                  </w:tcBorders>
                  <w:vAlign w:val="center"/>
                </w:tcPr>
                <w:p w14:paraId="63E57B73">
                  <w:pPr>
                    <w:spacing w:line="240" w:lineRule="auto"/>
                    <w:ind w:firstLine="0" w:firstLineChars="0"/>
                    <w:jc w:val="center"/>
                    <w:rPr>
                      <w:rFonts w:hint="default"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局部密闭式集气罩+</w:t>
                  </w:r>
                  <w:r>
                    <w:rPr>
                      <w:rFonts w:hint="eastAsia" w:ascii="Times New Roman" w:hAnsi="Times New Roman" w:eastAsia="宋体" w:cs="Times New Roman"/>
                      <w:bCs w:val="0"/>
                      <w:snapToGrid/>
                      <w:color w:val="auto"/>
                      <w:kern w:val="2"/>
                      <w:sz w:val="21"/>
                      <w:szCs w:val="21"/>
                      <w:highlight w:val="none"/>
                      <w:lang w:val="en-US" w:eastAsia="zh-CN" w:bidi="ar-SA"/>
                    </w:rPr>
                    <w:t>布袋除尘器+</w:t>
                  </w:r>
                  <w:r>
                    <w:rPr>
                      <w:rFonts w:hint="default" w:ascii="Times New Roman" w:hAnsi="Times New Roman" w:eastAsia="宋体" w:cs="Times New Roman"/>
                      <w:bCs w:val="0"/>
                      <w:snapToGrid/>
                      <w:color w:val="auto"/>
                      <w:kern w:val="2"/>
                      <w:sz w:val="21"/>
                      <w:szCs w:val="21"/>
                      <w:highlight w:val="none"/>
                      <w:lang w:val="en-US" w:eastAsia="zh-CN" w:bidi="ar-SA"/>
                    </w:rPr>
                    <w:t>三级活性炭吸附装置处理+15m排气筒</w:t>
                  </w:r>
                </w:p>
              </w:tc>
              <w:tc>
                <w:tcPr>
                  <w:tcW w:w="633" w:type="pct"/>
                  <w:tcBorders>
                    <w:tl2br w:val="nil"/>
                    <w:tr2bl w:val="nil"/>
                  </w:tcBorders>
                  <w:vAlign w:val="center"/>
                </w:tcPr>
                <w:p w14:paraId="38AF394F">
                  <w:pPr>
                    <w:spacing w:line="240" w:lineRule="auto"/>
                    <w:ind w:firstLine="0" w:firstLineChars="0"/>
                    <w:jc w:val="center"/>
                    <w:rPr>
                      <w:rFonts w:hint="default"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泡沫制品包装生产线</w:t>
                  </w:r>
                </w:p>
              </w:tc>
              <w:tc>
                <w:tcPr>
                  <w:tcW w:w="1385" w:type="pct"/>
                  <w:tcBorders>
                    <w:tl2br w:val="nil"/>
                    <w:tr2bl w:val="nil"/>
                  </w:tcBorders>
                  <w:vAlign w:val="center"/>
                </w:tcPr>
                <w:p w14:paraId="305B0F2E">
                  <w:pPr>
                    <w:spacing w:line="240" w:lineRule="auto"/>
                    <w:ind w:firstLine="0" w:firstLineChars="0"/>
                    <w:jc w:val="center"/>
                    <w:rPr>
                      <w:rFonts w:hint="default"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封闭厂房+局部密闭式集气罩</w:t>
                  </w:r>
                  <w:r>
                    <w:rPr>
                      <w:rFonts w:hint="eastAsia" w:cs="Times New Roman"/>
                      <w:bCs w:val="0"/>
                      <w:snapToGrid/>
                      <w:color w:val="auto"/>
                      <w:kern w:val="2"/>
                      <w:sz w:val="21"/>
                      <w:szCs w:val="21"/>
                      <w:highlight w:val="none"/>
                      <w:lang w:val="en-US" w:eastAsia="zh-CN" w:bidi="ar-SA"/>
                    </w:rPr>
                    <w:t>/集气管道</w:t>
                  </w:r>
                  <w:r>
                    <w:rPr>
                      <w:rFonts w:hint="default" w:ascii="Times New Roman" w:hAnsi="Times New Roman" w:eastAsia="宋体" w:cs="Times New Roman"/>
                      <w:bCs w:val="0"/>
                      <w:snapToGrid/>
                      <w:color w:val="auto"/>
                      <w:kern w:val="2"/>
                      <w:sz w:val="21"/>
                      <w:szCs w:val="21"/>
                      <w:highlight w:val="none"/>
                      <w:lang w:val="en-US" w:eastAsia="zh-CN" w:bidi="ar-SA"/>
                    </w:rPr>
                    <w:t>+</w:t>
                  </w:r>
                  <w:r>
                    <w:rPr>
                      <w:rFonts w:hint="eastAsia" w:ascii="Times New Roman" w:hAnsi="Times New Roman" w:eastAsia="宋体" w:cs="Times New Roman"/>
                      <w:bCs w:val="0"/>
                      <w:snapToGrid/>
                      <w:color w:val="auto"/>
                      <w:kern w:val="2"/>
                      <w:sz w:val="21"/>
                      <w:szCs w:val="21"/>
                      <w:highlight w:val="none"/>
                      <w:lang w:val="en-US" w:eastAsia="zh-CN" w:bidi="ar-SA"/>
                    </w:rPr>
                    <w:t>布袋除尘器+</w:t>
                  </w:r>
                  <w:r>
                    <w:rPr>
                      <w:rFonts w:hint="default" w:ascii="Times New Roman" w:hAnsi="Times New Roman" w:eastAsia="宋体" w:cs="Times New Roman"/>
                      <w:bCs w:val="0"/>
                      <w:snapToGrid/>
                      <w:color w:val="auto"/>
                      <w:kern w:val="2"/>
                      <w:sz w:val="21"/>
                      <w:szCs w:val="21"/>
                      <w:highlight w:val="none"/>
                      <w:lang w:val="en-US" w:eastAsia="zh-CN" w:bidi="ar-SA"/>
                    </w:rPr>
                    <w:t>三级活性炭吸附装置处理+15m排气筒</w:t>
                  </w:r>
                </w:p>
              </w:tc>
            </w:tr>
            <w:tr w14:paraId="5CE3E6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6" w:hRule="atLeast"/>
                <w:jc w:val="center"/>
              </w:trPr>
              <w:tc>
                <w:tcPr>
                  <w:tcW w:w="549" w:type="pct"/>
                  <w:vMerge w:val="continue"/>
                  <w:tcBorders>
                    <w:tl2br w:val="nil"/>
                    <w:tr2bl w:val="nil"/>
                  </w:tcBorders>
                  <w:vAlign w:val="center"/>
                </w:tcPr>
                <w:p w14:paraId="64A23A61">
                  <w:pPr>
                    <w:spacing w:line="240" w:lineRule="auto"/>
                    <w:ind w:firstLine="0" w:firstLineChars="0"/>
                    <w:jc w:val="center"/>
                    <w:rPr>
                      <w:rFonts w:hint="default" w:ascii="Times New Roman" w:hAnsi="Times New Roman" w:eastAsia="宋体" w:cs="Times New Roman"/>
                      <w:bCs w:val="0"/>
                      <w:snapToGrid/>
                      <w:color w:val="auto"/>
                      <w:kern w:val="2"/>
                      <w:sz w:val="21"/>
                      <w:szCs w:val="21"/>
                      <w:highlight w:val="none"/>
                      <w:lang w:val="en-US" w:eastAsia="zh-CN" w:bidi="ar-SA"/>
                    </w:rPr>
                  </w:pPr>
                </w:p>
              </w:tc>
              <w:tc>
                <w:tcPr>
                  <w:tcW w:w="1084" w:type="pct"/>
                  <w:gridSpan w:val="2"/>
                  <w:tcBorders>
                    <w:tl2br w:val="nil"/>
                    <w:tr2bl w:val="nil"/>
                  </w:tcBorders>
                  <w:vAlign w:val="center"/>
                </w:tcPr>
                <w:p w14:paraId="0C46E08C">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木制品加工</w:t>
                  </w:r>
                </w:p>
              </w:tc>
              <w:tc>
                <w:tcPr>
                  <w:tcW w:w="1346" w:type="pct"/>
                  <w:tcBorders>
                    <w:tl2br w:val="nil"/>
                    <w:tr2bl w:val="nil"/>
                  </w:tcBorders>
                  <w:vAlign w:val="center"/>
                </w:tcPr>
                <w:p w14:paraId="2DB181DD">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布袋除尘器</w:t>
                  </w:r>
                </w:p>
              </w:tc>
              <w:tc>
                <w:tcPr>
                  <w:tcW w:w="2019" w:type="pct"/>
                  <w:gridSpan w:val="2"/>
                  <w:tcBorders>
                    <w:tl2br w:val="nil"/>
                    <w:tr2bl w:val="nil"/>
                  </w:tcBorders>
                  <w:vAlign w:val="center"/>
                </w:tcPr>
                <w:p w14:paraId="1423DD92">
                  <w:pPr>
                    <w:spacing w:line="240" w:lineRule="auto"/>
                    <w:ind w:firstLine="0" w:firstLineChars="0"/>
                    <w:jc w:val="center"/>
                    <w:rPr>
                      <w:rFonts w:hint="default"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封闭厂房，无组织排放</w:t>
                  </w:r>
                </w:p>
              </w:tc>
            </w:tr>
            <w:tr w14:paraId="24A9E4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6" w:hRule="atLeast"/>
                <w:jc w:val="center"/>
              </w:trPr>
              <w:tc>
                <w:tcPr>
                  <w:tcW w:w="549" w:type="pct"/>
                  <w:vMerge w:val="restart"/>
                  <w:tcBorders>
                    <w:tl2br w:val="nil"/>
                    <w:tr2bl w:val="nil"/>
                  </w:tcBorders>
                  <w:vAlign w:val="center"/>
                </w:tcPr>
                <w:p w14:paraId="4D5EE6EA">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废水</w:t>
                  </w:r>
                </w:p>
              </w:tc>
              <w:tc>
                <w:tcPr>
                  <w:tcW w:w="1084" w:type="pct"/>
                  <w:gridSpan w:val="2"/>
                  <w:tcBorders>
                    <w:tl2br w:val="nil"/>
                    <w:tr2bl w:val="nil"/>
                  </w:tcBorders>
                  <w:vAlign w:val="center"/>
                </w:tcPr>
                <w:p w14:paraId="14675107">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冷却水</w:t>
                  </w:r>
                </w:p>
              </w:tc>
              <w:tc>
                <w:tcPr>
                  <w:tcW w:w="1346" w:type="pct"/>
                  <w:tcBorders>
                    <w:tl2br w:val="nil"/>
                    <w:tr2bl w:val="nil"/>
                  </w:tcBorders>
                  <w:vAlign w:val="center"/>
                </w:tcPr>
                <w:p w14:paraId="63084E51">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冷却水循环使用不外排</w:t>
                  </w:r>
                </w:p>
              </w:tc>
              <w:tc>
                <w:tcPr>
                  <w:tcW w:w="2019" w:type="pct"/>
                  <w:gridSpan w:val="2"/>
                  <w:tcBorders>
                    <w:tl2br w:val="nil"/>
                    <w:tr2bl w:val="nil"/>
                  </w:tcBorders>
                  <w:vAlign w:val="center"/>
                </w:tcPr>
                <w:p w14:paraId="26282590">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冷却水循环使用不外排</w:t>
                  </w:r>
                </w:p>
              </w:tc>
            </w:tr>
            <w:tr w14:paraId="2C1B2D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6" w:hRule="atLeast"/>
                <w:jc w:val="center"/>
              </w:trPr>
              <w:tc>
                <w:tcPr>
                  <w:tcW w:w="549" w:type="pct"/>
                  <w:vMerge w:val="continue"/>
                  <w:tcBorders>
                    <w:tl2br w:val="nil"/>
                    <w:tr2bl w:val="nil"/>
                  </w:tcBorders>
                  <w:vAlign w:val="center"/>
                </w:tcPr>
                <w:p w14:paraId="501557A0">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p>
              </w:tc>
              <w:tc>
                <w:tcPr>
                  <w:tcW w:w="1084" w:type="pct"/>
                  <w:gridSpan w:val="2"/>
                  <w:tcBorders>
                    <w:tl2br w:val="nil"/>
                    <w:tr2bl w:val="nil"/>
                  </w:tcBorders>
                  <w:vAlign w:val="center"/>
                </w:tcPr>
                <w:p w14:paraId="421FDE47">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高温蒸汽冷凝</w:t>
                  </w:r>
                  <w:r>
                    <w:rPr>
                      <w:rFonts w:hint="eastAsia" w:ascii="Times New Roman" w:hAnsi="Times New Roman" w:eastAsia="宋体" w:cs="Times New Roman"/>
                      <w:bCs w:val="0"/>
                      <w:snapToGrid/>
                      <w:color w:val="auto"/>
                      <w:kern w:val="2"/>
                      <w:sz w:val="21"/>
                      <w:szCs w:val="21"/>
                      <w:highlight w:val="none"/>
                      <w:lang w:val="en-US" w:eastAsia="zh-CN" w:bidi="ar-SA"/>
                    </w:rPr>
                    <w:t>水</w:t>
                  </w:r>
                </w:p>
              </w:tc>
              <w:tc>
                <w:tcPr>
                  <w:tcW w:w="1346" w:type="pct"/>
                  <w:tcBorders>
                    <w:tl2br w:val="nil"/>
                    <w:tr2bl w:val="nil"/>
                  </w:tcBorders>
                  <w:vAlign w:val="center"/>
                </w:tcPr>
                <w:p w14:paraId="46BF5421">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冷凝水排入冷凝水收集池，收集后送入冷却水循环系统，循环使用不外排</w:t>
                  </w:r>
                </w:p>
              </w:tc>
              <w:tc>
                <w:tcPr>
                  <w:tcW w:w="2019" w:type="pct"/>
                  <w:gridSpan w:val="2"/>
                  <w:tcBorders>
                    <w:tl2br w:val="nil"/>
                    <w:tr2bl w:val="nil"/>
                  </w:tcBorders>
                  <w:vAlign w:val="center"/>
                </w:tcPr>
                <w:p w14:paraId="19040999">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冷凝水排入冷凝水收集池，收集后送入冷却水循环系统，循环使用不外排</w:t>
                  </w:r>
                </w:p>
              </w:tc>
            </w:tr>
            <w:tr w14:paraId="54ED43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6" w:hRule="atLeast"/>
                <w:jc w:val="center"/>
              </w:trPr>
              <w:tc>
                <w:tcPr>
                  <w:tcW w:w="549" w:type="pct"/>
                  <w:vMerge w:val="continue"/>
                  <w:tcBorders>
                    <w:tl2br w:val="nil"/>
                    <w:tr2bl w:val="nil"/>
                  </w:tcBorders>
                  <w:vAlign w:val="center"/>
                </w:tcPr>
                <w:p w14:paraId="7D72B22B">
                  <w:pPr>
                    <w:spacing w:line="240" w:lineRule="auto"/>
                    <w:ind w:firstLine="0" w:firstLineChars="0"/>
                    <w:jc w:val="center"/>
                    <w:rPr>
                      <w:rFonts w:hint="default" w:ascii="Times New Roman" w:hAnsi="Times New Roman" w:eastAsia="宋体" w:cs="Times New Roman"/>
                      <w:bCs w:val="0"/>
                      <w:snapToGrid/>
                      <w:color w:val="auto"/>
                      <w:kern w:val="2"/>
                      <w:sz w:val="21"/>
                      <w:szCs w:val="21"/>
                      <w:highlight w:val="none"/>
                      <w:lang w:val="en-US" w:eastAsia="zh-CN" w:bidi="ar-SA"/>
                    </w:rPr>
                  </w:pPr>
                </w:p>
              </w:tc>
              <w:tc>
                <w:tcPr>
                  <w:tcW w:w="1084" w:type="pct"/>
                  <w:gridSpan w:val="2"/>
                  <w:tcBorders>
                    <w:tl2br w:val="nil"/>
                    <w:tr2bl w:val="nil"/>
                  </w:tcBorders>
                  <w:vAlign w:val="center"/>
                </w:tcPr>
                <w:p w14:paraId="2CBE5DA4">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生活污水</w:t>
                  </w:r>
                </w:p>
              </w:tc>
              <w:tc>
                <w:tcPr>
                  <w:tcW w:w="1346" w:type="pct"/>
                  <w:tcBorders>
                    <w:tl2br w:val="nil"/>
                    <w:tr2bl w:val="nil"/>
                  </w:tcBorders>
                  <w:vAlign w:val="center"/>
                </w:tcPr>
                <w:p w14:paraId="54394CB0">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排入化粪池处理后排入市政管网</w:t>
                  </w:r>
                </w:p>
              </w:tc>
              <w:tc>
                <w:tcPr>
                  <w:tcW w:w="2019" w:type="pct"/>
                  <w:gridSpan w:val="2"/>
                  <w:tcBorders>
                    <w:tl2br w:val="nil"/>
                    <w:tr2bl w:val="nil"/>
                  </w:tcBorders>
                  <w:vAlign w:val="center"/>
                </w:tcPr>
                <w:p w14:paraId="59389880">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排入防渗旱厕，定期清掏不外排</w:t>
                  </w:r>
                </w:p>
              </w:tc>
            </w:tr>
            <w:tr w14:paraId="191274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6" w:hRule="atLeast"/>
                <w:jc w:val="center"/>
              </w:trPr>
              <w:tc>
                <w:tcPr>
                  <w:tcW w:w="549" w:type="pct"/>
                  <w:tcBorders>
                    <w:tl2br w:val="nil"/>
                    <w:tr2bl w:val="nil"/>
                  </w:tcBorders>
                  <w:vAlign w:val="center"/>
                </w:tcPr>
                <w:p w14:paraId="06BD1644">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噪声</w:t>
                  </w:r>
                </w:p>
              </w:tc>
              <w:tc>
                <w:tcPr>
                  <w:tcW w:w="1084" w:type="pct"/>
                  <w:gridSpan w:val="2"/>
                  <w:tcBorders>
                    <w:tl2br w:val="nil"/>
                    <w:tr2bl w:val="nil"/>
                  </w:tcBorders>
                  <w:vAlign w:val="center"/>
                </w:tcPr>
                <w:p w14:paraId="34E17E99">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设备噪声</w:t>
                  </w:r>
                </w:p>
              </w:tc>
              <w:tc>
                <w:tcPr>
                  <w:tcW w:w="1346" w:type="pct"/>
                  <w:tcBorders>
                    <w:tl2br w:val="nil"/>
                    <w:tr2bl w:val="nil"/>
                  </w:tcBorders>
                  <w:vAlign w:val="center"/>
                </w:tcPr>
                <w:p w14:paraId="74131F03">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低噪设备、建筑物隔声</w:t>
                  </w:r>
                </w:p>
              </w:tc>
              <w:tc>
                <w:tcPr>
                  <w:tcW w:w="2019" w:type="pct"/>
                  <w:gridSpan w:val="2"/>
                  <w:tcBorders>
                    <w:tl2br w:val="nil"/>
                    <w:tr2bl w:val="nil"/>
                  </w:tcBorders>
                  <w:vAlign w:val="center"/>
                </w:tcPr>
                <w:p w14:paraId="4B4E2CC7">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低噪设备、建筑物隔声</w:t>
                  </w:r>
                </w:p>
              </w:tc>
            </w:tr>
            <w:tr w14:paraId="0030D0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50" w:hRule="atLeast"/>
                <w:jc w:val="center"/>
              </w:trPr>
              <w:tc>
                <w:tcPr>
                  <w:tcW w:w="549" w:type="pct"/>
                  <w:vMerge w:val="restart"/>
                  <w:tcBorders>
                    <w:tl2br w:val="nil"/>
                    <w:tr2bl w:val="nil"/>
                  </w:tcBorders>
                  <w:vAlign w:val="center"/>
                </w:tcPr>
                <w:p w14:paraId="756ED7CD">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固体废物</w:t>
                  </w:r>
                </w:p>
              </w:tc>
              <w:tc>
                <w:tcPr>
                  <w:tcW w:w="303" w:type="pct"/>
                  <w:vMerge w:val="restart"/>
                  <w:tcBorders>
                    <w:tl2br w:val="nil"/>
                    <w:tr2bl w:val="nil"/>
                  </w:tcBorders>
                  <w:vAlign w:val="center"/>
                </w:tcPr>
                <w:p w14:paraId="58D8C58C">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危险废物</w:t>
                  </w:r>
                </w:p>
              </w:tc>
              <w:tc>
                <w:tcPr>
                  <w:tcW w:w="781" w:type="pct"/>
                  <w:tcBorders>
                    <w:tl2br w:val="nil"/>
                    <w:tr2bl w:val="nil"/>
                  </w:tcBorders>
                  <w:vAlign w:val="center"/>
                </w:tcPr>
                <w:p w14:paraId="444DA149">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废机油</w:t>
                  </w:r>
                </w:p>
              </w:tc>
              <w:tc>
                <w:tcPr>
                  <w:tcW w:w="1346" w:type="pct"/>
                  <w:vMerge w:val="restart"/>
                  <w:tcBorders>
                    <w:tl2br w:val="nil"/>
                    <w:tr2bl w:val="nil"/>
                  </w:tcBorders>
                  <w:vAlign w:val="center"/>
                </w:tcPr>
                <w:p w14:paraId="7BB0622E">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暂存在危废间内，交由资质单位统一处理</w:t>
                  </w:r>
                </w:p>
              </w:tc>
              <w:tc>
                <w:tcPr>
                  <w:tcW w:w="2019" w:type="pct"/>
                  <w:gridSpan w:val="2"/>
                  <w:vMerge w:val="restart"/>
                  <w:tcBorders>
                    <w:tl2br w:val="nil"/>
                    <w:tr2bl w:val="nil"/>
                  </w:tcBorders>
                  <w:vAlign w:val="center"/>
                </w:tcPr>
                <w:p w14:paraId="14ED83BF">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暂存在危废间内，交由资质单位统一处理</w:t>
                  </w:r>
                </w:p>
              </w:tc>
            </w:tr>
            <w:tr w14:paraId="750692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3" w:hRule="atLeast"/>
                <w:jc w:val="center"/>
              </w:trPr>
              <w:tc>
                <w:tcPr>
                  <w:tcW w:w="549" w:type="pct"/>
                  <w:vMerge w:val="continue"/>
                  <w:tcBorders>
                    <w:tl2br w:val="nil"/>
                    <w:tr2bl w:val="nil"/>
                  </w:tcBorders>
                  <w:vAlign w:val="center"/>
                </w:tcPr>
                <w:p w14:paraId="03ED03ED">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p>
              </w:tc>
              <w:tc>
                <w:tcPr>
                  <w:tcW w:w="303" w:type="pct"/>
                  <w:vMerge w:val="continue"/>
                  <w:tcBorders>
                    <w:tl2br w:val="nil"/>
                    <w:tr2bl w:val="nil"/>
                  </w:tcBorders>
                  <w:vAlign w:val="center"/>
                </w:tcPr>
                <w:p w14:paraId="787FFEFE">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p>
              </w:tc>
              <w:tc>
                <w:tcPr>
                  <w:tcW w:w="781" w:type="pct"/>
                  <w:tcBorders>
                    <w:tl2br w:val="nil"/>
                    <w:tr2bl w:val="nil"/>
                  </w:tcBorders>
                  <w:vAlign w:val="center"/>
                </w:tcPr>
                <w:p w14:paraId="339F45A6">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废油桶</w:t>
                  </w:r>
                </w:p>
              </w:tc>
              <w:tc>
                <w:tcPr>
                  <w:tcW w:w="1346" w:type="pct"/>
                  <w:vMerge w:val="continue"/>
                  <w:tcBorders>
                    <w:tl2br w:val="nil"/>
                    <w:tr2bl w:val="nil"/>
                  </w:tcBorders>
                  <w:vAlign w:val="center"/>
                </w:tcPr>
                <w:p w14:paraId="4D1D78FF">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p>
              </w:tc>
              <w:tc>
                <w:tcPr>
                  <w:tcW w:w="2019" w:type="pct"/>
                  <w:gridSpan w:val="2"/>
                  <w:vMerge w:val="continue"/>
                  <w:tcBorders>
                    <w:tl2br w:val="nil"/>
                    <w:tr2bl w:val="nil"/>
                  </w:tcBorders>
                  <w:vAlign w:val="center"/>
                </w:tcPr>
                <w:p w14:paraId="39037DB0">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p>
              </w:tc>
            </w:tr>
            <w:tr w14:paraId="62C31A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3" w:hRule="atLeast"/>
                <w:jc w:val="center"/>
              </w:trPr>
              <w:tc>
                <w:tcPr>
                  <w:tcW w:w="549" w:type="pct"/>
                  <w:vMerge w:val="continue"/>
                  <w:tcBorders>
                    <w:tl2br w:val="nil"/>
                    <w:tr2bl w:val="nil"/>
                  </w:tcBorders>
                  <w:vAlign w:val="center"/>
                </w:tcPr>
                <w:p w14:paraId="053436C0">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p>
              </w:tc>
              <w:tc>
                <w:tcPr>
                  <w:tcW w:w="303" w:type="pct"/>
                  <w:vMerge w:val="continue"/>
                  <w:tcBorders>
                    <w:tl2br w:val="nil"/>
                    <w:tr2bl w:val="nil"/>
                  </w:tcBorders>
                  <w:vAlign w:val="center"/>
                </w:tcPr>
                <w:p w14:paraId="2B5F3032">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p>
              </w:tc>
              <w:tc>
                <w:tcPr>
                  <w:tcW w:w="781" w:type="pct"/>
                  <w:tcBorders>
                    <w:tl2br w:val="nil"/>
                    <w:tr2bl w:val="nil"/>
                  </w:tcBorders>
                  <w:vAlign w:val="center"/>
                </w:tcPr>
                <w:p w14:paraId="4D944BD7">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废活性炭</w:t>
                  </w:r>
                </w:p>
              </w:tc>
              <w:tc>
                <w:tcPr>
                  <w:tcW w:w="1346" w:type="pct"/>
                  <w:vMerge w:val="continue"/>
                  <w:tcBorders>
                    <w:tl2br w:val="nil"/>
                    <w:tr2bl w:val="nil"/>
                  </w:tcBorders>
                  <w:vAlign w:val="center"/>
                </w:tcPr>
                <w:p w14:paraId="24AC8D56">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p>
              </w:tc>
              <w:tc>
                <w:tcPr>
                  <w:tcW w:w="2019" w:type="pct"/>
                  <w:gridSpan w:val="2"/>
                  <w:vMerge w:val="continue"/>
                  <w:tcBorders>
                    <w:tl2br w:val="nil"/>
                    <w:tr2bl w:val="nil"/>
                  </w:tcBorders>
                  <w:vAlign w:val="center"/>
                </w:tcPr>
                <w:p w14:paraId="586C295C">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p>
              </w:tc>
            </w:tr>
            <w:tr w14:paraId="103379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3" w:hRule="atLeast"/>
                <w:jc w:val="center"/>
              </w:trPr>
              <w:tc>
                <w:tcPr>
                  <w:tcW w:w="549" w:type="pct"/>
                  <w:vMerge w:val="continue"/>
                  <w:tcBorders>
                    <w:tl2br w:val="nil"/>
                    <w:tr2bl w:val="nil"/>
                  </w:tcBorders>
                  <w:vAlign w:val="center"/>
                </w:tcPr>
                <w:p w14:paraId="39F1939D">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p>
              </w:tc>
              <w:tc>
                <w:tcPr>
                  <w:tcW w:w="1084" w:type="pct"/>
                  <w:gridSpan w:val="2"/>
                  <w:tcBorders>
                    <w:tl2br w:val="nil"/>
                    <w:tr2bl w:val="nil"/>
                  </w:tcBorders>
                  <w:vAlign w:val="center"/>
                </w:tcPr>
                <w:p w14:paraId="011DFB4C">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废包材</w:t>
                  </w:r>
                </w:p>
              </w:tc>
              <w:tc>
                <w:tcPr>
                  <w:tcW w:w="1346" w:type="pct"/>
                  <w:tcBorders>
                    <w:tl2br w:val="nil"/>
                    <w:tr2bl w:val="nil"/>
                  </w:tcBorders>
                  <w:vAlign w:val="center"/>
                </w:tcPr>
                <w:p w14:paraId="637F91D5">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集中收集后厂家回收重复利用</w:t>
                  </w:r>
                </w:p>
              </w:tc>
              <w:tc>
                <w:tcPr>
                  <w:tcW w:w="2019" w:type="pct"/>
                  <w:gridSpan w:val="2"/>
                  <w:tcBorders>
                    <w:tl2br w:val="nil"/>
                    <w:tr2bl w:val="nil"/>
                  </w:tcBorders>
                  <w:vAlign w:val="center"/>
                </w:tcPr>
                <w:p w14:paraId="5D610D05">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集中收集后厂家回收重复利用</w:t>
                  </w:r>
                </w:p>
              </w:tc>
            </w:tr>
            <w:tr w14:paraId="6587FD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3" w:hRule="atLeast"/>
                <w:jc w:val="center"/>
              </w:trPr>
              <w:tc>
                <w:tcPr>
                  <w:tcW w:w="549" w:type="pct"/>
                  <w:vMerge w:val="continue"/>
                  <w:tcBorders>
                    <w:tl2br w:val="nil"/>
                    <w:tr2bl w:val="nil"/>
                  </w:tcBorders>
                  <w:vAlign w:val="center"/>
                </w:tcPr>
                <w:p w14:paraId="28BC95B1">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p>
              </w:tc>
              <w:tc>
                <w:tcPr>
                  <w:tcW w:w="1084" w:type="pct"/>
                  <w:gridSpan w:val="2"/>
                  <w:tcBorders>
                    <w:tl2br w:val="nil"/>
                    <w:tr2bl w:val="nil"/>
                  </w:tcBorders>
                  <w:vAlign w:val="center"/>
                </w:tcPr>
                <w:p w14:paraId="0047B4C1">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泡沫边角料</w:t>
                  </w:r>
                </w:p>
              </w:tc>
              <w:tc>
                <w:tcPr>
                  <w:tcW w:w="1346" w:type="pct"/>
                  <w:tcBorders>
                    <w:tl2br w:val="nil"/>
                    <w:tr2bl w:val="nil"/>
                  </w:tcBorders>
                  <w:vAlign w:val="center"/>
                </w:tcPr>
                <w:p w14:paraId="37282F31">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收集后</w:t>
                  </w:r>
                  <w:r>
                    <w:rPr>
                      <w:rFonts w:hint="eastAsia" w:ascii="Times New Roman" w:hAnsi="Times New Roman" w:eastAsia="宋体" w:cs="Times New Roman"/>
                      <w:bCs w:val="0"/>
                      <w:snapToGrid/>
                      <w:color w:val="auto"/>
                      <w:kern w:val="2"/>
                      <w:sz w:val="21"/>
                      <w:szCs w:val="21"/>
                      <w:highlight w:val="none"/>
                      <w:lang w:val="en-US" w:eastAsia="zh-CN" w:bidi="ar-SA"/>
                    </w:rPr>
                    <w:t>由</w:t>
                  </w:r>
                  <w:r>
                    <w:rPr>
                      <w:rFonts w:hint="default" w:ascii="Times New Roman" w:hAnsi="Times New Roman" w:eastAsia="宋体" w:cs="Times New Roman"/>
                      <w:bCs w:val="0"/>
                      <w:snapToGrid/>
                      <w:color w:val="auto"/>
                      <w:kern w:val="2"/>
                      <w:sz w:val="21"/>
                      <w:szCs w:val="21"/>
                      <w:highlight w:val="none"/>
                      <w:lang w:val="en-US" w:eastAsia="zh-CN" w:bidi="ar-SA"/>
                    </w:rPr>
                    <w:t>环卫部门处理</w:t>
                  </w:r>
                </w:p>
              </w:tc>
              <w:tc>
                <w:tcPr>
                  <w:tcW w:w="2019" w:type="pct"/>
                  <w:gridSpan w:val="2"/>
                  <w:tcBorders>
                    <w:tl2br w:val="nil"/>
                    <w:tr2bl w:val="nil"/>
                  </w:tcBorders>
                  <w:vAlign w:val="center"/>
                </w:tcPr>
                <w:p w14:paraId="41369F0B">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收集后</w:t>
                  </w:r>
                  <w:r>
                    <w:rPr>
                      <w:rFonts w:hint="eastAsia" w:ascii="Times New Roman" w:hAnsi="Times New Roman" w:eastAsia="宋体" w:cs="Times New Roman"/>
                      <w:bCs w:val="0"/>
                      <w:snapToGrid/>
                      <w:color w:val="auto"/>
                      <w:kern w:val="2"/>
                      <w:sz w:val="21"/>
                      <w:szCs w:val="21"/>
                      <w:highlight w:val="none"/>
                      <w:lang w:val="en-US" w:eastAsia="zh-CN" w:bidi="ar-SA"/>
                    </w:rPr>
                    <w:t>由</w:t>
                  </w:r>
                  <w:r>
                    <w:rPr>
                      <w:rFonts w:hint="default" w:ascii="Times New Roman" w:hAnsi="Times New Roman" w:eastAsia="宋体" w:cs="Times New Roman"/>
                      <w:bCs w:val="0"/>
                      <w:snapToGrid/>
                      <w:color w:val="auto"/>
                      <w:kern w:val="2"/>
                      <w:sz w:val="21"/>
                      <w:szCs w:val="21"/>
                      <w:highlight w:val="none"/>
                      <w:lang w:val="en-US" w:eastAsia="zh-CN" w:bidi="ar-SA"/>
                    </w:rPr>
                    <w:t>环卫部门处理</w:t>
                  </w:r>
                </w:p>
              </w:tc>
            </w:tr>
            <w:tr w14:paraId="71CCDC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3" w:hRule="atLeast"/>
                <w:jc w:val="center"/>
              </w:trPr>
              <w:tc>
                <w:tcPr>
                  <w:tcW w:w="549" w:type="pct"/>
                  <w:vMerge w:val="continue"/>
                  <w:tcBorders>
                    <w:tl2br w:val="nil"/>
                    <w:tr2bl w:val="nil"/>
                  </w:tcBorders>
                  <w:vAlign w:val="center"/>
                </w:tcPr>
                <w:p w14:paraId="7D1A6232">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p>
              </w:tc>
              <w:tc>
                <w:tcPr>
                  <w:tcW w:w="1084" w:type="pct"/>
                  <w:gridSpan w:val="2"/>
                  <w:tcBorders>
                    <w:tl2br w:val="nil"/>
                    <w:tr2bl w:val="nil"/>
                  </w:tcBorders>
                  <w:vAlign w:val="center"/>
                </w:tcPr>
                <w:p w14:paraId="76185215">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木边角料及木屑</w:t>
                  </w:r>
                </w:p>
              </w:tc>
              <w:tc>
                <w:tcPr>
                  <w:tcW w:w="1346" w:type="pct"/>
                  <w:tcBorders>
                    <w:tl2br w:val="nil"/>
                    <w:tr2bl w:val="nil"/>
                  </w:tcBorders>
                  <w:vAlign w:val="center"/>
                </w:tcPr>
                <w:p w14:paraId="1A19744F">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收集后</w:t>
                  </w:r>
                  <w:r>
                    <w:rPr>
                      <w:rFonts w:hint="eastAsia" w:ascii="Times New Roman" w:hAnsi="Times New Roman" w:eastAsia="宋体" w:cs="Times New Roman"/>
                      <w:bCs w:val="0"/>
                      <w:snapToGrid/>
                      <w:color w:val="auto"/>
                      <w:kern w:val="2"/>
                      <w:sz w:val="21"/>
                      <w:szCs w:val="21"/>
                      <w:highlight w:val="none"/>
                      <w:lang w:val="en-US" w:eastAsia="zh-CN" w:bidi="ar-SA"/>
                    </w:rPr>
                    <w:t>由</w:t>
                  </w:r>
                  <w:r>
                    <w:rPr>
                      <w:rFonts w:hint="default" w:ascii="Times New Roman" w:hAnsi="Times New Roman" w:eastAsia="宋体" w:cs="Times New Roman"/>
                      <w:bCs w:val="0"/>
                      <w:snapToGrid/>
                      <w:color w:val="auto"/>
                      <w:kern w:val="2"/>
                      <w:sz w:val="21"/>
                      <w:szCs w:val="21"/>
                      <w:highlight w:val="none"/>
                      <w:lang w:val="en-US" w:eastAsia="zh-CN" w:bidi="ar-SA"/>
                    </w:rPr>
                    <w:t>环卫部门处理</w:t>
                  </w:r>
                </w:p>
              </w:tc>
              <w:tc>
                <w:tcPr>
                  <w:tcW w:w="2019" w:type="pct"/>
                  <w:gridSpan w:val="2"/>
                  <w:tcBorders>
                    <w:tl2br w:val="nil"/>
                    <w:tr2bl w:val="nil"/>
                  </w:tcBorders>
                  <w:vAlign w:val="center"/>
                </w:tcPr>
                <w:p w14:paraId="0B4ABD49">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不产生边角料及</w:t>
                  </w:r>
                  <w:r>
                    <w:rPr>
                      <w:rFonts w:hint="default" w:ascii="Times New Roman" w:hAnsi="Times New Roman" w:eastAsia="宋体" w:cs="Times New Roman"/>
                      <w:bCs w:val="0"/>
                      <w:snapToGrid/>
                      <w:color w:val="auto"/>
                      <w:kern w:val="2"/>
                      <w:sz w:val="21"/>
                      <w:szCs w:val="21"/>
                      <w:highlight w:val="none"/>
                      <w:lang w:val="en-US" w:eastAsia="zh-CN" w:bidi="ar-SA"/>
                    </w:rPr>
                    <w:t>木屑</w:t>
                  </w:r>
                </w:p>
              </w:tc>
            </w:tr>
            <w:tr w14:paraId="505FCB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3" w:hRule="atLeast"/>
                <w:jc w:val="center"/>
              </w:trPr>
              <w:tc>
                <w:tcPr>
                  <w:tcW w:w="549" w:type="pct"/>
                  <w:vMerge w:val="continue"/>
                  <w:tcBorders>
                    <w:tl2br w:val="nil"/>
                    <w:tr2bl w:val="nil"/>
                  </w:tcBorders>
                  <w:vAlign w:val="center"/>
                </w:tcPr>
                <w:p w14:paraId="772D7C8A">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p>
              </w:tc>
              <w:tc>
                <w:tcPr>
                  <w:tcW w:w="1084" w:type="pct"/>
                  <w:gridSpan w:val="2"/>
                  <w:tcBorders>
                    <w:tl2br w:val="nil"/>
                    <w:tr2bl w:val="nil"/>
                  </w:tcBorders>
                  <w:vAlign w:val="center"/>
                </w:tcPr>
                <w:p w14:paraId="1B71BBE0">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除尘灰</w:t>
                  </w:r>
                </w:p>
              </w:tc>
              <w:tc>
                <w:tcPr>
                  <w:tcW w:w="1346" w:type="pct"/>
                  <w:tcBorders>
                    <w:tl2br w:val="nil"/>
                    <w:tr2bl w:val="nil"/>
                  </w:tcBorders>
                  <w:vAlign w:val="center"/>
                </w:tcPr>
                <w:p w14:paraId="345C3777">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收集后</w:t>
                  </w:r>
                  <w:r>
                    <w:rPr>
                      <w:rFonts w:hint="eastAsia" w:ascii="Times New Roman" w:hAnsi="Times New Roman" w:eastAsia="宋体" w:cs="Times New Roman"/>
                      <w:bCs w:val="0"/>
                      <w:snapToGrid/>
                      <w:color w:val="auto"/>
                      <w:kern w:val="2"/>
                      <w:sz w:val="21"/>
                      <w:szCs w:val="21"/>
                      <w:highlight w:val="none"/>
                      <w:lang w:val="en-US" w:eastAsia="zh-CN" w:bidi="ar-SA"/>
                    </w:rPr>
                    <w:t>由</w:t>
                  </w:r>
                  <w:r>
                    <w:rPr>
                      <w:rFonts w:hint="default" w:ascii="Times New Roman" w:hAnsi="Times New Roman" w:eastAsia="宋体" w:cs="Times New Roman"/>
                      <w:bCs w:val="0"/>
                      <w:snapToGrid/>
                      <w:color w:val="auto"/>
                      <w:kern w:val="2"/>
                      <w:sz w:val="21"/>
                      <w:szCs w:val="21"/>
                      <w:highlight w:val="none"/>
                      <w:lang w:val="en-US" w:eastAsia="zh-CN" w:bidi="ar-SA"/>
                    </w:rPr>
                    <w:t>环卫部门处理</w:t>
                  </w:r>
                </w:p>
              </w:tc>
              <w:tc>
                <w:tcPr>
                  <w:tcW w:w="2019" w:type="pct"/>
                  <w:gridSpan w:val="2"/>
                  <w:tcBorders>
                    <w:tl2br w:val="nil"/>
                    <w:tr2bl w:val="nil"/>
                  </w:tcBorders>
                  <w:vAlign w:val="center"/>
                </w:tcPr>
                <w:p w14:paraId="71ECD5FB">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收集后</w:t>
                  </w:r>
                  <w:r>
                    <w:rPr>
                      <w:rFonts w:hint="eastAsia" w:ascii="Times New Roman" w:hAnsi="Times New Roman" w:eastAsia="宋体" w:cs="Times New Roman"/>
                      <w:bCs w:val="0"/>
                      <w:snapToGrid/>
                      <w:color w:val="auto"/>
                      <w:kern w:val="2"/>
                      <w:sz w:val="21"/>
                      <w:szCs w:val="21"/>
                      <w:highlight w:val="none"/>
                      <w:lang w:val="en-US" w:eastAsia="zh-CN" w:bidi="ar-SA"/>
                    </w:rPr>
                    <w:t>由</w:t>
                  </w:r>
                  <w:r>
                    <w:rPr>
                      <w:rFonts w:hint="default" w:ascii="Times New Roman" w:hAnsi="Times New Roman" w:eastAsia="宋体" w:cs="Times New Roman"/>
                      <w:bCs w:val="0"/>
                      <w:snapToGrid/>
                      <w:color w:val="auto"/>
                      <w:kern w:val="2"/>
                      <w:sz w:val="21"/>
                      <w:szCs w:val="21"/>
                      <w:highlight w:val="none"/>
                      <w:lang w:val="en-US" w:eastAsia="zh-CN" w:bidi="ar-SA"/>
                    </w:rPr>
                    <w:t>环卫部门处理</w:t>
                  </w:r>
                </w:p>
              </w:tc>
            </w:tr>
            <w:tr w14:paraId="742F4A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3" w:hRule="atLeast"/>
                <w:jc w:val="center"/>
              </w:trPr>
              <w:tc>
                <w:tcPr>
                  <w:tcW w:w="549" w:type="pct"/>
                  <w:vMerge w:val="continue"/>
                  <w:tcBorders>
                    <w:tl2br w:val="nil"/>
                    <w:tr2bl w:val="nil"/>
                  </w:tcBorders>
                  <w:vAlign w:val="center"/>
                </w:tcPr>
                <w:p w14:paraId="423C7021">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p>
              </w:tc>
              <w:tc>
                <w:tcPr>
                  <w:tcW w:w="1084" w:type="pct"/>
                  <w:gridSpan w:val="2"/>
                  <w:tcBorders>
                    <w:tl2br w:val="nil"/>
                    <w:tr2bl w:val="nil"/>
                  </w:tcBorders>
                  <w:vAlign w:val="center"/>
                </w:tcPr>
                <w:p w14:paraId="2A7E80EF">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生活垃圾</w:t>
                  </w:r>
                </w:p>
              </w:tc>
              <w:tc>
                <w:tcPr>
                  <w:tcW w:w="1346" w:type="pct"/>
                  <w:tcBorders>
                    <w:tl2br w:val="nil"/>
                    <w:tr2bl w:val="nil"/>
                  </w:tcBorders>
                  <w:vAlign w:val="center"/>
                </w:tcPr>
                <w:p w14:paraId="739C90D3">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统一收集后交由环卫部门统一清运</w:t>
                  </w:r>
                </w:p>
              </w:tc>
              <w:tc>
                <w:tcPr>
                  <w:tcW w:w="2019" w:type="pct"/>
                  <w:gridSpan w:val="2"/>
                  <w:tcBorders>
                    <w:tl2br w:val="nil"/>
                    <w:tr2bl w:val="nil"/>
                  </w:tcBorders>
                  <w:vAlign w:val="center"/>
                </w:tcPr>
                <w:p w14:paraId="7B969507">
                  <w:pPr>
                    <w:spacing w:line="240" w:lineRule="auto"/>
                    <w:ind w:firstLine="0" w:firstLineChars="0"/>
                    <w:jc w:val="center"/>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统一收集后交由环卫部门统一清运</w:t>
                  </w:r>
                </w:p>
              </w:tc>
            </w:tr>
          </w:tbl>
          <w:p w14:paraId="5B0E5AB3">
            <w:pPr>
              <w:rPr>
                <w:rFonts w:hint="eastAsia" w:ascii="Times New Roman" w:hAnsi="Times New Roman" w:eastAsia="黑体"/>
                <w:b/>
                <w:color w:val="auto"/>
                <w:sz w:val="24"/>
                <w:szCs w:val="24"/>
                <w:highlight w:val="yellow"/>
                <w:vertAlign w:val="baseline"/>
                <w:lang w:val="en-US" w:eastAsia="zh-CN"/>
              </w:rPr>
            </w:pPr>
          </w:p>
          <w:p w14:paraId="4B3278BA">
            <w:pPr>
              <w:pStyle w:val="15"/>
              <w:ind w:left="0" w:leftChars="0" w:firstLine="0" w:firstLineChars="0"/>
              <w:rPr>
                <w:rFonts w:hint="eastAsia"/>
                <w:highlight w:val="yellow"/>
                <w:lang w:val="en-US" w:eastAsia="zh-CN"/>
              </w:rPr>
            </w:pPr>
          </w:p>
          <w:p w14:paraId="32F49622">
            <w:pPr>
              <w:pStyle w:val="15"/>
              <w:ind w:left="0" w:leftChars="0" w:firstLine="0" w:firstLineChars="0"/>
              <w:rPr>
                <w:rFonts w:hint="eastAsia"/>
                <w:highlight w:val="yellow"/>
                <w:lang w:val="en-US" w:eastAsia="zh-CN"/>
              </w:rPr>
            </w:pPr>
          </w:p>
          <w:p w14:paraId="6027C3B4">
            <w:pPr>
              <w:pStyle w:val="15"/>
              <w:ind w:left="0" w:leftChars="0" w:firstLine="0" w:firstLineChars="0"/>
              <w:rPr>
                <w:rFonts w:hint="eastAsia"/>
                <w:highlight w:val="yellow"/>
                <w:lang w:val="en-US" w:eastAsia="zh-CN"/>
              </w:rPr>
            </w:pPr>
          </w:p>
          <w:p w14:paraId="28A350C0">
            <w:pPr>
              <w:ind w:left="0" w:leftChars="0" w:firstLine="0" w:firstLineChars="0"/>
              <w:rPr>
                <w:rFonts w:hint="default"/>
                <w:lang w:val="en-US" w:eastAsia="zh-CN"/>
              </w:rPr>
            </w:pPr>
          </w:p>
        </w:tc>
      </w:tr>
    </w:tbl>
    <w:p w14:paraId="0A446410">
      <w:pPr>
        <w:rPr>
          <w:rFonts w:hint="eastAsia" w:ascii="Times New Roman" w:hAnsi="Times New Roman" w:eastAsia="黑体"/>
          <w:b/>
          <w:color w:val="auto"/>
          <w:sz w:val="24"/>
          <w:szCs w:val="24"/>
          <w:highlight w:val="yellow"/>
          <w:vertAlign w:val="baseline"/>
          <w:lang w:val="en-US" w:eastAsia="zh-CN"/>
        </w:rPr>
      </w:pPr>
      <w:r>
        <w:rPr>
          <w:rFonts w:hint="eastAsia" w:ascii="Times New Roman" w:hAnsi="Times New Roman" w:eastAsia="黑体"/>
          <w:b/>
          <w:color w:val="auto"/>
          <w:sz w:val="24"/>
          <w:szCs w:val="24"/>
          <w:highlight w:val="yellow"/>
          <w:vertAlign w:val="baseline"/>
          <w:lang w:val="en-US" w:eastAsia="zh-CN"/>
        </w:rPr>
        <w:br w:type="page"/>
      </w:r>
    </w:p>
    <w:p w14:paraId="46BBE8B3">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eastAsia="黑体"/>
          <w:b/>
          <w:color w:val="auto"/>
          <w:sz w:val="24"/>
          <w:szCs w:val="24"/>
          <w:highlight w:val="none"/>
          <w:vertAlign w:val="baseline"/>
          <w:lang w:val="en-US" w:eastAsia="zh-CN"/>
        </w:rPr>
      </w:pPr>
      <w:r>
        <w:rPr>
          <w:rFonts w:hint="eastAsia" w:ascii="Times New Roman" w:hAnsi="Times New Roman" w:eastAsia="黑体"/>
          <w:b/>
          <w:color w:val="auto"/>
          <w:sz w:val="24"/>
          <w:szCs w:val="24"/>
          <w:highlight w:val="none"/>
          <w:vertAlign w:val="baseline"/>
          <w:lang w:val="en-US" w:eastAsia="zh-CN"/>
        </w:rPr>
        <w:t>表四</w:t>
      </w:r>
    </w:p>
    <w:tbl>
      <w:tblPr>
        <w:tblStyle w:val="25"/>
        <w:tblW w:w="0" w:type="auto"/>
        <w:tblInd w:w="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40"/>
      </w:tblGrid>
      <w:tr w14:paraId="0DCC6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68" w:hRule="atLeast"/>
        </w:trPr>
        <w:tc>
          <w:tcPr>
            <w:tcW w:w="8340" w:type="dxa"/>
          </w:tcPr>
          <w:p w14:paraId="50B1B9D0">
            <w:pPr>
              <w:widowControl/>
              <w:wordWrap w:val="0"/>
              <w:adjustRightInd w:val="0"/>
              <w:snapToGrid w:val="0"/>
              <w:spacing w:line="360" w:lineRule="auto"/>
              <w:ind w:left="0" w:leftChars="0" w:firstLine="0" w:firstLineChars="0"/>
              <w:jc w:val="left"/>
              <w:rPr>
                <w:rFonts w:hint="default" w:ascii="Times New Roman" w:hAnsi="Times New Roman" w:eastAsia="宋体" w:cs="Times New Roman"/>
                <w:kern w:val="0"/>
                <w:sz w:val="24"/>
                <w:highlight w:val="none"/>
                <w:lang w:val="en-US" w:eastAsia="zh-CN"/>
              </w:rPr>
            </w:pPr>
            <w:r>
              <w:rPr>
                <w:rFonts w:hint="default" w:ascii="Times New Roman" w:hAnsi="Times New Roman" w:eastAsia="宋体" w:cs="Times New Roman"/>
                <w:kern w:val="0"/>
                <w:sz w:val="24"/>
                <w:highlight w:val="none"/>
                <w:lang w:val="en-US" w:eastAsia="zh-CN"/>
              </w:rPr>
              <w:t>建设项目环境影响报告表主要结论及审批部门审批决定：</w:t>
            </w:r>
          </w:p>
          <w:p w14:paraId="65B0E787">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b/>
                <w:color w:val="auto"/>
                <w:sz w:val="24"/>
                <w:highlight w:val="none"/>
                <w:vertAlign w:val="baseline"/>
                <w:lang w:val="en-US" w:eastAsia="zh-CN"/>
              </w:rPr>
            </w:pPr>
            <w:r>
              <w:rPr>
                <w:rFonts w:hint="default" w:ascii="Times New Roman" w:hAnsi="Times New Roman"/>
                <w:b/>
                <w:color w:val="auto"/>
                <w:sz w:val="24"/>
                <w:highlight w:val="none"/>
                <w:vertAlign w:val="baseline"/>
                <w:lang w:val="en-US" w:eastAsia="zh-CN"/>
              </w:rPr>
              <w:t>1 建设项目环评报告表主要结论</w:t>
            </w:r>
          </w:p>
          <w:p w14:paraId="5A05757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项目的建设符合国家产业政策，选址基本合理。建设单位在严格落实环境影响报告表提出的环保对策和措施，认真执行“三同时”制度的前提下，排放的污染得到合理处置，项目对周围环境影响较小。因此，从环保角度考虑，本项目的建设是可行的。</w:t>
            </w:r>
          </w:p>
          <w:p w14:paraId="46216925">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2审批部门批复</w:t>
            </w:r>
          </w:p>
          <w:p w14:paraId="2105DDF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一、项目概况</w:t>
            </w:r>
          </w:p>
          <w:p w14:paraId="3F97B34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项目位于辽宁省本溪市明山区高台子办事处原赫地社区二组，项目总投资为515万元，环保投资61万元，环保投资占比11.84%。本项目属于新建项目，占地面积16191m²，主要建设内容为新建一条设计生产能力1000m3/a的木制品生产线、一条设计生产能力500t/a 的EPS泡沫制品包装生产线，利用本溪热电分公司蒸汽，配备相应生产设施及污染治理设施。</w:t>
            </w:r>
          </w:p>
          <w:p w14:paraId="225D791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根据《产业结构调整指导目录》(2024年本)，本项目属于“允许类”，符合国家产业政策。在严格落实报告表和本批复提出的各项生态环境保护措施和环境风险防控措施后，从生态环境角度，同意环境影响报告表中所列建设项目地点、生产规模和环境保护措施进行建设。</w:t>
            </w:r>
          </w:p>
          <w:p w14:paraId="0E48E16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二、项目建设应严格落实《报告表》提出的各项环境保护措施和风险防控措施，重点做好以下工作</w:t>
            </w:r>
            <w:r>
              <w:rPr>
                <w:rFonts w:hint="eastAsia" w:cs="Times New Roman"/>
                <w:b w:val="0"/>
                <w:bCs w:val="0"/>
                <w:sz w:val="24"/>
                <w:szCs w:val="24"/>
                <w:highlight w:val="none"/>
                <w:lang w:val="en-US" w:eastAsia="zh-CN"/>
              </w:rPr>
              <w:t>：</w:t>
            </w:r>
          </w:p>
          <w:p w14:paraId="6D52037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sz w:val="24"/>
                <w:szCs w:val="24"/>
                <w:highlight w:val="none"/>
                <w:lang w:val="en-US" w:eastAsia="zh-CN"/>
              </w:rPr>
            </w:pPr>
            <w:r>
              <w:rPr>
                <w:rFonts w:hint="eastAsia" w:cs="Times New Roman"/>
                <w:b w:val="0"/>
                <w:bCs w:val="0"/>
                <w:sz w:val="24"/>
                <w:szCs w:val="24"/>
                <w:highlight w:val="none"/>
                <w:lang w:val="en-US" w:eastAsia="zh-CN"/>
              </w:rPr>
              <w:t>（一）</w:t>
            </w:r>
            <w:r>
              <w:rPr>
                <w:rFonts w:hint="eastAsia" w:ascii="Times New Roman" w:hAnsi="Times New Roman" w:eastAsia="宋体" w:cs="Times New Roman"/>
                <w:b w:val="0"/>
                <w:bCs w:val="0"/>
                <w:sz w:val="24"/>
                <w:szCs w:val="24"/>
                <w:highlight w:val="none"/>
                <w:lang w:val="en-US" w:eastAsia="zh-CN"/>
              </w:rPr>
              <w:t>严格落实施工期污染防治措施。施工期建筑工地要做到工地周边围挡、物料堆放覆盖、工地湿法作业、路面硬化、出入车辆清洗、渣土车辆密闭运输“六个百分百”，运输散体材料和废弃物的车辆密闭、包扎、覆盖，定时洒水抑尘后，施工期扬尘排放浓度应满足《施工及堆料场地扬尘排放标准》</w:t>
            </w:r>
            <w:r>
              <w:rPr>
                <w:rFonts w:hint="eastAsia" w:cs="Times New Roman"/>
                <w:b w:val="0"/>
                <w:bCs w:val="0"/>
                <w:sz w:val="24"/>
                <w:szCs w:val="24"/>
                <w:highlight w:val="none"/>
                <w:lang w:val="en-US" w:eastAsia="zh-CN"/>
              </w:rPr>
              <w:t>（</w:t>
            </w:r>
            <w:r>
              <w:rPr>
                <w:rFonts w:hint="eastAsia" w:ascii="Times New Roman" w:hAnsi="Times New Roman" w:eastAsia="宋体" w:cs="Times New Roman"/>
                <w:b w:val="0"/>
                <w:bCs w:val="0"/>
                <w:sz w:val="24"/>
                <w:szCs w:val="24"/>
                <w:highlight w:val="none"/>
                <w:lang w:val="en-US" w:eastAsia="zh-CN"/>
              </w:rPr>
              <w:t>DB21/2642-2016</w:t>
            </w:r>
            <w:r>
              <w:rPr>
                <w:rFonts w:hint="eastAsia" w:cs="Times New Roman"/>
                <w:b w:val="0"/>
                <w:bCs w:val="0"/>
                <w:sz w:val="24"/>
                <w:szCs w:val="24"/>
                <w:highlight w:val="none"/>
                <w:lang w:val="en-US" w:eastAsia="zh-CN"/>
              </w:rPr>
              <w:t>）</w:t>
            </w:r>
            <w:r>
              <w:rPr>
                <w:rFonts w:hint="eastAsia" w:ascii="Times New Roman" w:hAnsi="Times New Roman" w:eastAsia="宋体" w:cs="Times New Roman"/>
                <w:b w:val="0"/>
                <w:bCs w:val="0"/>
                <w:sz w:val="24"/>
                <w:szCs w:val="24"/>
                <w:highlight w:val="none"/>
                <w:lang w:val="en-US" w:eastAsia="zh-CN"/>
              </w:rPr>
              <w:t>中城镇建成区扬尘排放浓度限值要求;施工期间施工废水经简易沉砂池澄清处理后回用;施工期噪声通过选用低噪声设备，合理安排施工时间，加强现场运输管理后，施工厂界噪声应满足《建筑施工场界环境噪声排放标准》</w:t>
            </w:r>
            <w:r>
              <w:rPr>
                <w:rFonts w:hint="eastAsia" w:cs="Times New Roman"/>
                <w:b w:val="0"/>
                <w:bCs w:val="0"/>
                <w:sz w:val="24"/>
                <w:szCs w:val="24"/>
                <w:highlight w:val="none"/>
                <w:lang w:val="en-US" w:eastAsia="zh-CN"/>
              </w:rPr>
              <w:t>（</w:t>
            </w:r>
            <w:r>
              <w:rPr>
                <w:rFonts w:hint="eastAsia" w:ascii="Times New Roman" w:hAnsi="Times New Roman" w:eastAsia="宋体" w:cs="Times New Roman"/>
                <w:b w:val="0"/>
                <w:bCs w:val="0"/>
                <w:sz w:val="24"/>
                <w:szCs w:val="24"/>
                <w:highlight w:val="none"/>
                <w:lang w:val="en-US" w:eastAsia="zh-CN"/>
              </w:rPr>
              <w:t>GB12523-2011</w:t>
            </w:r>
            <w:r>
              <w:rPr>
                <w:rFonts w:hint="eastAsia" w:cs="Times New Roman"/>
                <w:b w:val="0"/>
                <w:bCs w:val="0"/>
                <w:sz w:val="24"/>
                <w:szCs w:val="24"/>
                <w:highlight w:val="none"/>
                <w:lang w:val="en-US" w:eastAsia="zh-CN"/>
              </w:rPr>
              <w:t>）</w:t>
            </w:r>
            <w:r>
              <w:rPr>
                <w:rFonts w:hint="eastAsia" w:ascii="Times New Roman" w:hAnsi="Times New Roman" w:eastAsia="宋体" w:cs="Times New Roman"/>
                <w:b w:val="0"/>
                <w:bCs w:val="0"/>
                <w:sz w:val="24"/>
                <w:szCs w:val="24"/>
                <w:highlight w:val="none"/>
                <w:lang w:val="en-US" w:eastAsia="zh-CN"/>
              </w:rPr>
              <w:t>相关限值要求</w:t>
            </w:r>
            <w:r>
              <w:rPr>
                <w:rFonts w:hint="eastAsia" w:cs="Times New Roman"/>
                <w:b w:val="0"/>
                <w:bCs w:val="0"/>
                <w:sz w:val="24"/>
                <w:szCs w:val="24"/>
                <w:highlight w:val="none"/>
                <w:lang w:val="en-US" w:eastAsia="zh-CN"/>
              </w:rPr>
              <w:t>；</w:t>
            </w:r>
            <w:r>
              <w:rPr>
                <w:rFonts w:hint="eastAsia" w:ascii="Times New Roman" w:hAnsi="Times New Roman" w:eastAsia="宋体" w:cs="Times New Roman"/>
                <w:b w:val="0"/>
                <w:bCs w:val="0"/>
                <w:sz w:val="24"/>
                <w:szCs w:val="24"/>
                <w:highlight w:val="none"/>
                <w:lang w:val="en-US" w:eastAsia="zh-CN"/>
              </w:rPr>
              <w:t>施工期产生的不可回收利用的建筑垃圾收集后运到市政部门指定地点集中处理，施工人员生活垃圾由环卫部门统一收集处理。</w:t>
            </w:r>
          </w:p>
          <w:p w14:paraId="5AA870A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sz w:val="24"/>
                <w:szCs w:val="24"/>
                <w:highlight w:val="none"/>
                <w:lang w:val="en-US" w:eastAsia="zh-CN"/>
              </w:rPr>
            </w:pPr>
            <w:r>
              <w:rPr>
                <w:rFonts w:hint="eastAsia" w:cs="Times New Roman"/>
                <w:b w:val="0"/>
                <w:bCs w:val="0"/>
                <w:sz w:val="24"/>
                <w:szCs w:val="24"/>
                <w:highlight w:val="none"/>
                <w:lang w:val="en-US" w:eastAsia="zh-CN"/>
              </w:rPr>
              <w:t>（二）</w:t>
            </w:r>
            <w:r>
              <w:rPr>
                <w:rFonts w:hint="eastAsia" w:ascii="Times New Roman" w:hAnsi="Times New Roman" w:eastAsia="宋体" w:cs="Times New Roman"/>
                <w:b w:val="0"/>
                <w:bCs w:val="0"/>
                <w:sz w:val="24"/>
                <w:szCs w:val="24"/>
                <w:highlight w:val="none"/>
                <w:lang w:val="en-US" w:eastAsia="zh-CN"/>
              </w:rPr>
              <w:t>严格落实大气污染防治措施。运营期预发G4工序、成型G6工序设置局部密闭式集气罩(配套软质垂帘)，熟化仓G5工序为密闭设置，干燥G7工序为封闭正压设置,产生的废气经收集后通过布袋除尘器(TA001)处理+三级活性炭吸附装置处理后，经1根15m高排气筒(DA001)排放，颗粒物、非甲烷总烃排放浓度应满足《合成树脂工业污染物排放标准》(GB31572-2015)及2024年修改单表5大气污染物特别排放限值要求;带锯G1、截锯切割G2、钉枪固定G3工序均设置局部密闭罩，产生的废气经集气罩收集后通过布袋除尘</w:t>
            </w:r>
            <w:r>
              <w:rPr>
                <w:rFonts w:hint="eastAsia" w:cs="Times New Roman"/>
                <w:b w:val="0"/>
                <w:bCs w:val="0"/>
                <w:sz w:val="24"/>
                <w:szCs w:val="24"/>
                <w:highlight w:val="none"/>
                <w:lang w:val="en-US" w:eastAsia="zh-CN"/>
              </w:rPr>
              <w:t>（</w:t>
            </w:r>
            <w:r>
              <w:rPr>
                <w:rFonts w:hint="eastAsia" w:ascii="Times New Roman" w:hAnsi="Times New Roman" w:eastAsia="宋体" w:cs="Times New Roman"/>
                <w:b w:val="0"/>
                <w:bCs w:val="0"/>
                <w:sz w:val="24"/>
                <w:szCs w:val="24"/>
                <w:highlight w:val="none"/>
                <w:lang w:val="en-US" w:eastAsia="zh-CN"/>
              </w:rPr>
              <w:t>TA002</w:t>
            </w:r>
            <w:r>
              <w:rPr>
                <w:rFonts w:hint="eastAsia" w:cs="Times New Roman"/>
                <w:b w:val="0"/>
                <w:bCs w:val="0"/>
                <w:sz w:val="24"/>
                <w:szCs w:val="24"/>
                <w:highlight w:val="none"/>
                <w:lang w:val="en-US" w:eastAsia="zh-CN"/>
              </w:rPr>
              <w:t>）</w:t>
            </w:r>
            <w:r>
              <w:rPr>
                <w:rFonts w:hint="eastAsia" w:ascii="Times New Roman" w:hAnsi="Times New Roman" w:eastAsia="宋体" w:cs="Times New Roman"/>
                <w:b w:val="0"/>
                <w:bCs w:val="0"/>
                <w:sz w:val="24"/>
                <w:szCs w:val="24"/>
                <w:highlight w:val="none"/>
                <w:lang w:val="en-US" w:eastAsia="zh-CN"/>
              </w:rPr>
              <w:t>处理后，经1根15m高排气筒(DA002)排放，颗粒物排放应满足《大气污染物综合排放标准》(GB16297-1996)中表2标准限值要求。本项目采取封闭厂房和封闭车间，厂区内非甲烷总烃无组织排放浓度应满足《挥发性有机物无组织排放控制标准》(GB37822-2019)表A.1中标准限值要求，厂界颗粒物无组织排放浓度应满足《大气污染物综合排放标准》(GB16297-1996)标准限值要求。</w:t>
            </w:r>
          </w:p>
          <w:p w14:paraId="69F9938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sz w:val="24"/>
                <w:szCs w:val="24"/>
                <w:highlight w:val="none"/>
                <w:lang w:val="en-US" w:eastAsia="zh-CN"/>
              </w:rPr>
            </w:pPr>
            <w:r>
              <w:rPr>
                <w:rFonts w:hint="eastAsia" w:cs="Times New Roman"/>
                <w:b w:val="0"/>
                <w:bCs w:val="0"/>
                <w:sz w:val="24"/>
                <w:szCs w:val="24"/>
                <w:highlight w:val="none"/>
                <w:lang w:val="en-US" w:eastAsia="zh-CN"/>
              </w:rPr>
              <w:t>（三）</w:t>
            </w:r>
            <w:r>
              <w:rPr>
                <w:rFonts w:hint="eastAsia" w:ascii="Times New Roman" w:hAnsi="Times New Roman" w:eastAsia="宋体" w:cs="Times New Roman"/>
                <w:b w:val="0"/>
                <w:bCs w:val="0"/>
                <w:sz w:val="24"/>
                <w:szCs w:val="24"/>
                <w:highlight w:val="none"/>
                <w:lang w:val="en-US" w:eastAsia="zh-CN"/>
              </w:rPr>
              <w:t>严格落实水污染防治措施。运营期蒸汽冷凝水作为循环冷却补充水，冷却废水循环使用，不外排，员工产生的生活污水排入化粪池处理后，经污水管网排入本溪市高台子镇污水处理厂。</w:t>
            </w:r>
          </w:p>
          <w:p w14:paraId="0545D67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sz w:val="24"/>
                <w:szCs w:val="24"/>
                <w:highlight w:val="none"/>
                <w:lang w:val="en-US" w:eastAsia="zh-CN"/>
              </w:rPr>
            </w:pPr>
            <w:r>
              <w:rPr>
                <w:rFonts w:hint="eastAsia" w:cs="Times New Roman"/>
                <w:b w:val="0"/>
                <w:bCs w:val="0"/>
                <w:sz w:val="24"/>
                <w:szCs w:val="24"/>
                <w:highlight w:val="none"/>
                <w:lang w:val="en-US" w:eastAsia="zh-CN"/>
              </w:rPr>
              <w:t>（四）</w:t>
            </w:r>
            <w:r>
              <w:rPr>
                <w:rFonts w:hint="eastAsia" w:ascii="Times New Roman" w:hAnsi="Times New Roman" w:eastAsia="宋体" w:cs="Times New Roman"/>
                <w:b w:val="0"/>
                <w:bCs w:val="0"/>
                <w:sz w:val="24"/>
                <w:szCs w:val="24"/>
                <w:highlight w:val="none"/>
                <w:lang w:val="en-US" w:eastAsia="zh-CN"/>
              </w:rPr>
              <w:t>严格落实噪声污染防治措施。运营期噪声通过基础减振、厂房隔声、距离衰减等降噪措施后，厂界噪声应满足《工业企业厂界环境噪声排放标准》(GB12348-2008)3类标准要求。</w:t>
            </w:r>
          </w:p>
          <w:p w14:paraId="2BA1B08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sz w:val="24"/>
                <w:szCs w:val="24"/>
                <w:highlight w:val="none"/>
                <w:lang w:val="en-US" w:eastAsia="zh-CN"/>
              </w:rPr>
            </w:pPr>
            <w:r>
              <w:rPr>
                <w:rFonts w:hint="eastAsia" w:cs="Times New Roman"/>
                <w:b w:val="0"/>
                <w:bCs w:val="0"/>
                <w:sz w:val="24"/>
                <w:szCs w:val="24"/>
                <w:highlight w:val="none"/>
                <w:lang w:val="en-US" w:eastAsia="zh-CN"/>
              </w:rPr>
              <w:t>（五）</w:t>
            </w:r>
            <w:r>
              <w:rPr>
                <w:rFonts w:hint="eastAsia" w:ascii="Times New Roman" w:hAnsi="Times New Roman" w:eastAsia="宋体" w:cs="Times New Roman"/>
                <w:b w:val="0"/>
                <w:bCs w:val="0"/>
                <w:sz w:val="24"/>
                <w:szCs w:val="24"/>
                <w:highlight w:val="none"/>
                <w:lang w:val="en-US" w:eastAsia="zh-CN"/>
              </w:rPr>
              <w:t>严格落实固体废物污染防控措施。运营期木制品生产线木边角料及木屑、EPS泡沫制品包装生产线泡沫边角料、除尘器收集的除尘灰收集后交由环卫部门统一处理，一般固体废物应满足《一般工业固体废物贮存和填埋污染控制标准》(GB18599-2020)相应标准要求</w:t>
            </w:r>
            <w:r>
              <w:rPr>
                <w:rFonts w:hint="eastAsia" w:cs="Times New Roman"/>
                <w:b w:val="0"/>
                <w:bCs w:val="0"/>
                <w:sz w:val="24"/>
                <w:szCs w:val="24"/>
                <w:highlight w:val="none"/>
                <w:lang w:val="en-US" w:eastAsia="zh-CN"/>
              </w:rPr>
              <w:t>；</w:t>
            </w:r>
            <w:r>
              <w:rPr>
                <w:rFonts w:hint="eastAsia" w:ascii="Times New Roman" w:hAnsi="Times New Roman" w:eastAsia="宋体" w:cs="Times New Roman"/>
                <w:b w:val="0"/>
                <w:bCs w:val="0"/>
                <w:sz w:val="24"/>
                <w:szCs w:val="24"/>
                <w:highlight w:val="none"/>
                <w:lang w:val="en-US" w:eastAsia="zh-CN"/>
              </w:rPr>
              <w:t>废活性炭、废机油、废油桶暂存于危废贮存库(50m2)内，定期委托有危废处理资质的单位进行处理，危险废物应满足《危险废物贮存污染控制标准》(GB18597-2023)</w:t>
            </w:r>
            <w:r>
              <w:rPr>
                <w:rFonts w:hint="eastAsia" w:cs="Times New Roman"/>
                <w:b w:val="0"/>
                <w:bCs w:val="0"/>
                <w:sz w:val="24"/>
                <w:szCs w:val="24"/>
                <w:highlight w:val="none"/>
                <w:lang w:val="en-US" w:eastAsia="zh-CN"/>
              </w:rPr>
              <w:t>；</w:t>
            </w:r>
            <w:r>
              <w:rPr>
                <w:rFonts w:hint="eastAsia" w:ascii="Times New Roman" w:hAnsi="Times New Roman" w:eastAsia="宋体" w:cs="Times New Roman"/>
                <w:b w:val="0"/>
                <w:bCs w:val="0"/>
                <w:sz w:val="24"/>
                <w:szCs w:val="24"/>
                <w:highlight w:val="none"/>
                <w:lang w:val="en-US" w:eastAsia="zh-CN"/>
              </w:rPr>
              <w:t>生活垃圾由当地环卫部门定期清运处理。</w:t>
            </w:r>
          </w:p>
          <w:p w14:paraId="7BFDA82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sz w:val="24"/>
                <w:szCs w:val="24"/>
                <w:highlight w:val="none"/>
                <w:lang w:val="en-US" w:eastAsia="zh-CN"/>
              </w:rPr>
            </w:pPr>
            <w:r>
              <w:rPr>
                <w:rFonts w:hint="eastAsia" w:cs="Times New Roman"/>
                <w:b w:val="0"/>
                <w:bCs w:val="0"/>
                <w:sz w:val="24"/>
                <w:szCs w:val="24"/>
                <w:highlight w:val="none"/>
                <w:lang w:val="en-US" w:eastAsia="zh-CN"/>
              </w:rPr>
              <w:t>（六）</w:t>
            </w:r>
            <w:r>
              <w:rPr>
                <w:rFonts w:hint="eastAsia" w:ascii="Times New Roman" w:hAnsi="Times New Roman" w:eastAsia="宋体" w:cs="Times New Roman"/>
                <w:b w:val="0"/>
                <w:bCs w:val="0"/>
                <w:sz w:val="24"/>
                <w:szCs w:val="24"/>
                <w:highlight w:val="none"/>
                <w:lang w:val="en-US" w:eastAsia="zh-CN"/>
              </w:rPr>
              <w:t>加强土壤及地下水环境管理。项目采取分区防渗管控措施，危废贮存库、冷凝水收集池、化粪池作为重点防渗区(Mb≥6.0m，K≤1</w:t>
            </w:r>
            <w:r>
              <w:rPr>
                <w:rFonts w:hint="eastAsia" w:cs="Times New Roman"/>
                <w:b w:val="0"/>
                <w:bCs w:val="0"/>
                <w:sz w:val="24"/>
                <w:szCs w:val="24"/>
                <w:highlight w:val="none"/>
                <w:lang w:val="en-US" w:eastAsia="zh-CN"/>
              </w:rPr>
              <w:t>*</w:t>
            </w:r>
            <w:r>
              <w:rPr>
                <w:rFonts w:hint="eastAsia" w:ascii="Times New Roman" w:hAnsi="Times New Roman" w:eastAsia="宋体" w:cs="Times New Roman"/>
                <w:b w:val="0"/>
                <w:bCs w:val="0"/>
                <w:sz w:val="24"/>
                <w:szCs w:val="24"/>
                <w:highlight w:val="none"/>
                <w:lang w:val="en-US" w:eastAsia="zh-CN"/>
              </w:rPr>
              <w:t>10</w:t>
            </w:r>
            <w:r>
              <w:rPr>
                <w:rFonts w:hint="eastAsia" w:ascii="Times New Roman" w:hAnsi="Times New Roman" w:eastAsia="宋体" w:cs="Times New Roman"/>
                <w:b w:val="0"/>
                <w:bCs w:val="0"/>
                <w:sz w:val="24"/>
                <w:szCs w:val="24"/>
                <w:highlight w:val="none"/>
                <w:vertAlign w:val="superscript"/>
                <w:lang w:val="en-US" w:eastAsia="zh-CN"/>
              </w:rPr>
              <w:t>-7</w:t>
            </w:r>
            <w:r>
              <w:rPr>
                <w:rFonts w:hint="eastAsia" w:ascii="Times New Roman" w:hAnsi="Times New Roman" w:eastAsia="宋体" w:cs="Times New Roman"/>
                <w:b w:val="0"/>
                <w:bCs w:val="0"/>
                <w:sz w:val="24"/>
                <w:szCs w:val="24"/>
                <w:highlight w:val="none"/>
                <w:lang w:val="en-US" w:eastAsia="zh-CN"/>
              </w:rPr>
              <w:t>cm/s)，生产车间及库房作为一般防渗区(Mb≥1.5m，K≤1</w:t>
            </w:r>
            <w:r>
              <w:rPr>
                <w:rFonts w:hint="eastAsia" w:cs="Times New Roman"/>
                <w:b w:val="0"/>
                <w:bCs w:val="0"/>
                <w:sz w:val="24"/>
                <w:szCs w:val="24"/>
                <w:highlight w:val="none"/>
                <w:lang w:val="en-US" w:eastAsia="zh-CN"/>
              </w:rPr>
              <w:t>*</w:t>
            </w:r>
            <w:r>
              <w:rPr>
                <w:rFonts w:hint="eastAsia" w:ascii="Times New Roman" w:hAnsi="Times New Roman" w:eastAsia="宋体" w:cs="Times New Roman"/>
                <w:b w:val="0"/>
                <w:bCs w:val="0"/>
                <w:sz w:val="24"/>
                <w:szCs w:val="24"/>
                <w:highlight w:val="none"/>
                <w:lang w:val="en-US" w:eastAsia="zh-CN"/>
              </w:rPr>
              <w:t>10</w:t>
            </w:r>
            <w:r>
              <w:rPr>
                <w:rFonts w:hint="eastAsia" w:ascii="Times New Roman" w:hAnsi="Times New Roman" w:eastAsia="宋体" w:cs="Times New Roman"/>
                <w:b w:val="0"/>
                <w:bCs w:val="0"/>
                <w:sz w:val="24"/>
                <w:szCs w:val="24"/>
                <w:highlight w:val="none"/>
                <w:vertAlign w:val="superscript"/>
                <w:lang w:val="en-US" w:eastAsia="zh-CN"/>
              </w:rPr>
              <w:t>-7</w:t>
            </w:r>
            <w:r>
              <w:rPr>
                <w:rFonts w:hint="eastAsia" w:ascii="Times New Roman" w:hAnsi="Times New Roman" w:eastAsia="宋体" w:cs="Times New Roman"/>
                <w:b w:val="0"/>
                <w:bCs w:val="0"/>
                <w:sz w:val="24"/>
                <w:szCs w:val="24"/>
                <w:highlight w:val="none"/>
                <w:lang w:val="en-US" w:eastAsia="zh-CN"/>
              </w:rPr>
              <w:t>cm/s)，其他区域作为简单防渗区。</w:t>
            </w:r>
          </w:p>
          <w:p w14:paraId="6680F00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sz w:val="24"/>
                <w:szCs w:val="24"/>
                <w:highlight w:val="none"/>
                <w:lang w:val="en-US" w:eastAsia="zh-CN"/>
              </w:rPr>
            </w:pPr>
            <w:r>
              <w:rPr>
                <w:rFonts w:hint="eastAsia" w:cs="Times New Roman"/>
                <w:b w:val="0"/>
                <w:bCs w:val="0"/>
                <w:sz w:val="24"/>
                <w:szCs w:val="24"/>
                <w:highlight w:val="none"/>
                <w:lang w:val="en-US" w:eastAsia="zh-CN"/>
              </w:rPr>
              <w:t>（七）</w:t>
            </w:r>
            <w:r>
              <w:rPr>
                <w:rFonts w:hint="eastAsia" w:ascii="Times New Roman" w:hAnsi="Times New Roman" w:eastAsia="宋体" w:cs="Times New Roman"/>
                <w:b w:val="0"/>
                <w:bCs w:val="0"/>
                <w:sz w:val="24"/>
                <w:szCs w:val="24"/>
                <w:highlight w:val="none"/>
                <w:lang w:val="en-US" w:eastAsia="zh-CN"/>
              </w:rPr>
              <w:t>严格落实环境风险防控措施。本项目涉及的风险物质为废机油，废机油暂存于危废贮存库内，危废贮存库应当防风、防雨、防晒、防渗漏、隔离隔断、门口设置围堰，设置危险废物识别标志，配套应急物资，定期进行检查。建立健全安全、环境管理体系，制定严格的安全管理制度，制定应急计划，加强职工培训，提高应急处理能力，编制突发环境事件应急预案并完成备案，开展应急预案演练等。</w:t>
            </w:r>
          </w:p>
          <w:p w14:paraId="43C3EF2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三、你公司应落实生态环境保护主体责任，严格执行排污许可制度和总量控制制度。建立企业内部生态环境管理机构和体系，明确人员、职责和制度，加强生态环境管理，推进各项生态环境保护措施落实。按照相关法律法规和技术标准规范要求，开展环保设备设施安全风险辨识评估和隐患排查治理，落实安全生产各项责任措施。项目建设必须严格执行配套的环境保护设施与主体工程，同时设计、同时施工、同时投产使用的环境保护“三同时”制度,落实各项环境保护措施以及环境保护设施投资，项目竣工后,须按规定程序实施竣工环境保护验收，并向社会进行公示。</w:t>
            </w:r>
          </w:p>
          <w:p w14:paraId="4ED62F0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四、环境影响报告表批准后，该项目的性质、规模、地点、生产工艺或者污染防治措施发生重大变动，且可能导致环境影响显著变化</w:t>
            </w:r>
            <w:r>
              <w:rPr>
                <w:rFonts w:hint="eastAsia" w:cs="Times New Roman"/>
                <w:b w:val="0"/>
                <w:bCs w:val="0"/>
                <w:sz w:val="24"/>
                <w:szCs w:val="24"/>
                <w:highlight w:val="none"/>
                <w:lang w:val="en-US" w:eastAsia="zh-CN"/>
              </w:rPr>
              <w:t>（</w:t>
            </w:r>
            <w:r>
              <w:rPr>
                <w:rFonts w:hint="eastAsia" w:ascii="Times New Roman" w:hAnsi="Times New Roman" w:eastAsia="宋体" w:cs="Times New Roman"/>
                <w:b w:val="0"/>
                <w:bCs w:val="0"/>
                <w:sz w:val="24"/>
                <w:szCs w:val="24"/>
                <w:highlight w:val="none"/>
                <w:lang w:val="en-US" w:eastAsia="zh-CN"/>
              </w:rPr>
              <w:t>特别是不利环境影响加重</w:t>
            </w:r>
            <w:r>
              <w:rPr>
                <w:rFonts w:hint="eastAsia" w:cs="Times New Roman"/>
                <w:b w:val="0"/>
                <w:bCs w:val="0"/>
                <w:sz w:val="24"/>
                <w:szCs w:val="24"/>
                <w:highlight w:val="none"/>
                <w:lang w:val="en-US" w:eastAsia="zh-CN"/>
              </w:rPr>
              <w:t>）</w:t>
            </w:r>
            <w:r>
              <w:rPr>
                <w:rFonts w:hint="eastAsia" w:ascii="Times New Roman" w:hAnsi="Times New Roman" w:eastAsia="宋体" w:cs="Times New Roman"/>
                <w:b w:val="0"/>
                <w:bCs w:val="0"/>
                <w:sz w:val="24"/>
                <w:szCs w:val="24"/>
                <w:highlight w:val="none"/>
                <w:lang w:val="en-US" w:eastAsia="zh-CN"/>
              </w:rPr>
              <w:t>，应当重新报批该项目环境影响文件。</w:t>
            </w:r>
          </w:p>
          <w:p w14:paraId="7D5B05B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五、项目日常环境监督检查工作由本溪市生态环境保护综合行政执法队负责。</w:t>
            </w:r>
          </w:p>
          <w:p w14:paraId="1CB4329D">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b/>
                <w:color w:val="auto"/>
                <w:sz w:val="24"/>
                <w:highlight w:val="none"/>
                <w:vertAlign w:val="baseline"/>
                <w:lang w:val="en-US" w:eastAsia="zh-CN"/>
              </w:rPr>
            </w:pPr>
            <w:r>
              <w:rPr>
                <w:rFonts w:hint="default" w:ascii="Times New Roman" w:hAnsi="Times New Roman"/>
                <w:b/>
                <w:color w:val="auto"/>
                <w:sz w:val="24"/>
                <w:highlight w:val="none"/>
                <w:vertAlign w:val="baseline"/>
                <w:lang w:val="en-US" w:eastAsia="zh-CN"/>
              </w:rPr>
              <w:t>3 项目审批部门批复意见同实际建设情况</w:t>
            </w:r>
          </w:p>
          <w:p w14:paraId="331097D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本项目审批部门批复意见同实际建设情况对比见下表。</w:t>
            </w:r>
          </w:p>
          <w:p w14:paraId="7775ECA2">
            <w:pPr>
              <w:pStyle w:val="3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黑体" w:cs="Times New Roman"/>
                <w:sz w:val="21"/>
                <w:szCs w:val="21"/>
                <w:highlight w:val="none"/>
              </w:rPr>
            </w:pPr>
            <w:r>
              <w:rPr>
                <w:rFonts w:hint="eastAsia" w:ascii="Times New Roman" w:hAnsi="Times New Roman" w:eastAsia="黑体" w:cs="Times New Roman"/>
                <w:sz w:val="21"/>
                <w:szCs w:val="21"/>
                <w:highlight w:val="none"/>
              </w:rPr>
              <w:t>表</w:t>
            </w:r>
            <w:r>
              <w:rPr>
                <w:rFonts w:hint="eastAsia" w:eastAsia="黑体" w:cs="Times New Roman"/>
                <w:sz w:val="21"/>
                <w:szCs w:val="21"/>
                <w:highlight w:val="none"/>
                <w:lang w:val="en-US" w:eastAsia="zh-CN"/>
              </w:rPr>
              <w:t>4-1</w:t>
            </w:r>
            <w:r>
              <w:rPr>
                <w:rFonts w:hint="eastAsia" w:ascii="Times New Roman" w:hAnsi="Times New Roman" w:eastAsia="黑体" w:cs="Times New Roman"/>
                <w:sz w:val="21"/>
                <w:szCs w:val="21"/>
                <w:highlight w:val="none"/>
              </w:rPr>
              <w:t>项目审批部门批复意见同实际建设情况对比表</w:t>
            </w:r>
          </w:p>
          <w:tbl>
            <w:tblPr>
              <w:tblStyle w:val="24"/>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1"/>
              <w:gridCol w:w="3485"/>
              <w:gridCol w:w="3101"/>
              <w:gridCol w:w="867"/>
            </w:tblGrid>
            <w:tr w14:paraId="09ADBE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1" w:type="dxa"/>
                  <w:noWrap w:val="0"/>
                  <w:vAlign w:val="center"/>
                </w:tcPr>
                <w:p w14:paraId="2FF3B1CA">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序号</w:t>
                  </w:r>
                </w:p>
              </w:tc>
              <w:tc>
                <w:tcPr>
                  <w:tcW w:w="3485" w:type="dxa"/>
                  <w:noWrap w:val="0"/>
                  <w:vAlign w:val="center"/>
                </w:tcPr>
                <w:p w14:paraId="0F792B7C">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审批部门批复</w:t>
                  </w:r>
                </w:p>
              </w:tc>
              <w:tc>
                <w:tcPr>
                  <w:tcW w:w="3101" w:type="dxa"/>
                  <w:noWrap w:val="0"/>
                  <w:vAlign w:val="center"/>
                </w:tcPr>
                <w:p w14:paraId="2817F8ED">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实际建设情况</w:t>
                  </w:r>
                </w:p>
              </w:tc>
              <w:tc>
                <w:tcPr>
                  <w:tcW w:w="867" w:type="dxa"/>
                  <w:noWrap w:val="0"/>
                  <w:vAlign w:val="center"/>
                </w:tcPr>
                <w:p w14:paraId="5AC5E00D">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对比的</w:t>
                  </w:r>
                </w:p>
                <w:p w14:paraId="69DFC39F">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一致性</w:t>
                  </w:r>
                </w:p>
              </w:tc>
            </w:tr>
            <w:tr w14:paraId="5BB8CA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1" w:type="dxa"/>
                  <w:noWrap w:val="0"/>
                  <w:vAlign w:val="center"/>
                </w:tcPr>
                <w:p w14:paraId="4CF22220">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w:t>
                  </w:r>
                </w:p>
              </w:tc>
              <w:tc>
                <w:tcPr>
                  <w:tcW w:w="3485" w:type="dxa"/>
                  <w:noWrap w:val="0"/>
                  <w:vAlign w:val="center"/>
                </w:tcPr>
                <w:p w14:paraId="1CD4DBF1">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项目位于辽宁省本溪市明山区高台子办事处原赫地社区二组，项目总投资为515万元，环保投资61万元，环保投资占比11.84%。本项目属于新建项目，占地面积16191m²，主要建设内容为新建一条设计生产能力1000m3/a的木制品生产线、一条设计生产能力500t/a 的EPS泡沫制品包装生产线，利用本溪热电分公司蒸汽，配备相应生产设施及污染治理设施。</w:t>
                  </w:r>
                </w:p>
                <w:p w14:paraId="62A4D986">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根据《产业结构调整指导目录》(2024年本)，本项目属于“允许类”，符合国家产业政策。在严格落实报告表和本批复提出的各项生态环境保护措施和环境风险防控措施后，从生态环境角度，同意环境影响报告表中所列建设项目地点、生产规模和环境保护措施进行建设</w:t>
                  </w:r>
                </w:p>
              </w:tc>
              <w:tc>
                <w:tcPr>
                  <w:tcW w:w="3101" w:type="dxa"/>
                  <w:noWrap w:val="0"/>
                  <w:vAlign w:val="center"/>
                </w:tcPr>
                <w:p w14:paraId="2A763252">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项目位于辽宁省本溪市明山区高台子办事处原赫地社区二组，项目总投资为515万元，环保投资35万元，环保投资占比7.78%。本项目属于新建项目，占地面积16191m²，主要建设内容为新建一条设计生产能力1000m3/a的木制品生产线、一条设计生产能力500t/a 的EPS泡沫制品包装生产线，利用本溪热电分公司蒸汽，配备相应生产设施及污染治理设施。</w:t>
                  </w:r>
                </w:p>
                <w:p w14:paraId="0C9B1B43">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根据《产业结构调整指导目录》(2024年本)，本项目属于“允许类”，符合国家产业政策。在严格落实报告表和本批复提出的各项生态环境保护措施和环境风险防控措施后，从生态环境角度，同意环境影响报告表中所列建设项目地点、生产规模和环境保护措施进行建设</w:t>
                  </w:r>
                </w:p>
              </w:tc>
              <w:tc>
                <w:tcPr>
                  <w:tcW w:w="867" w:type="dxa"/>
                  <w:noWrap w:val="0"/>
                  <w:vAlign w:val="center"/>
                </w:tcPr>
                <w:p w14:paraId="6F679727">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一致</w:t>
                  </w:r>
                </w:p>
              </w:tc>
            </w:tr>
            <w:tr w14:paraId="65D1FE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1" w:type="dxa"/>
                  <w:noWrap w:val="0"/>
                  <w:vAlign w:val="center"/>
                </w:tcPr>
                <w:p w14:paraId="00D91C63">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2</w:t>
                  </w:r>
                </w:p>
              </w:tc>
              <w:tc>
                <w:tcPr>
                  <w:tcW w:w="3485" w:type="dxa"/>
                  <w:noWrap w:val="0"/>
                  <w:vAlign w:val="center"/>
                </w:tcPr>
                <w:p w14:paraId="193FB7E1">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严格落实施工期污染防治措施。施工期建筑工地要做到工地周边围挡、物料堆放覆盖、工地湿法作业、路面硬化、出入车辆清洗、渣土车辆密闭运输“六个百分百”，运输散体材料和废弃物的车辆密闭、包扎、覆盖，定时洒水抑尘后，施工期扬尘排放浓度应满足《施工及堆料场地扬尘排放标准》（DB21/2642-2016）中城镇建成区扬尘排放浓度限值要求</w:t>
                  </w:r>
                  <w:r>
                    <w:rPr>
                      <w:rFonts w:hint="eastAsia" w:cs="Times New Roman"/>
                      <w:sz w:val="21"/>
                      <w:szCs w:val="21"/>
                      <w:highlight w:val="none"/>
                      <w:lang w:val="en-US" w:eastAsia="zh-CN"/>
                    </w:rPr>
                    <w:t>；</w:t>
                  </w:r>
                  <w:r>
                    <w:rPr>
                      <w:rFonts w:hint="eastAsia" w:ascii="Times New Roman" w:hAnsi="Times New Roman" w:eastAsia="宋体" w:cs="Times New Roman"/>
                      <w:sz w:val="21"/>
                      <w:szCs w:val="21"/>
                      <w:highlight w:val="none"/>
                      <w:lang w:val="en-US" w:eastAsia="zh-CN"/>
                    </w:rPr>
                    <w:t>施工期间施工废水经简易沉砂池澄清处理后回用;施工期噪声通过选用低噪声设备，合理安排施工时间，加强现场运输管理后，施工厂界噪声应满足《建筑施工场界环境噪声排放标准》（GB12523-2011）相关限值要求；施工期产生的不可回收利用的建筑垃圾收集后运到市政部门指定地点集中处理，施工人员生活垃圾由环卫部门统一收集处理</w:t>
                  </w:r>
                </w:p>
              </w:tc>
              <w:tc>
                <w:tcPr>
                  <w:tcW w:w="3101" w:type="dxa"/>
                  <w:noWrap w:val="0"/>
                  <w:vAlign w:val="center"/>
                </w:tcPr>
                <w:p w14:paraId="4A6D50CE">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施工期建筑工地周边围挡、物料堆放覆盖、路面硬化，运输散体材料和废弃物的车辆密闭、包扎、覆盖，定时洒水抑尘后；施工期无施工废水产生，生活污水排入防渗旱厕定期清掏不外排；施工期噪声通过选用低噪声设备，合理安排施工时间，加强现场运输管理；施工期产生的不可回收利用的建筑垃圾收集后运到市政部门指定地点集中处理，施工人员生活垃圾由环卫部门统一收集处理</w:t>
                  </w:r>
                </w:p>
              </w:tc>
              <w:tc>
                <w:tcPr>
                  <w:tcW w:w="867" w:type="dxa"/>
                  <w:noWrap w:val="0"/>
                  <w:vAlign w:val="center"/>
                </w:tcPr>
                <w:p w14:paraId="038E696E">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基本</w:t>
                  </w:r>
                </w:p>
                <w:p w14:paraId="3083A16D">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一致</w:t>
                  </w:r>
                </w:p>
              </w:tc>
            </w:tr>
            <w:tr w14:paraId="434235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1" w:type="dxa"/>
                  <w:noWrap w:val="0"/>
                  <w:vAlign w:val="center"/>
                </w:tcPr>
                <w:p w14:paraId="453A6AC2">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3</w:t>
                  </w:r>
                </w:p>
              </w:tc>
              <w:tc>
                <w:tcPr>
                  <w:tcW w:w="3485" w:type="dxa"/>
                  <w:noWrap w:val="0"/>
                  <w:vAlign w:val="center"/>
                </w:tcPr>
                <w:p w14:paraId="162CEEC4">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严格落实大气污染防治措施。运营期预发G4工序、成型G6工序设置局部密闭式集气罩(配套软质垂帘)，熟化仓G5工序为密闭设置，干燥G7工序为封闭正压设置,产生的废气经收集后通过布袋除尘器(TA001)处理+三级活性炭吸附装置处理后，经1根15m高排气筒(DA001)排放，颗粒物、非甲烷总烃排放浓度应满足《合成树脂工业污染物排放标准》(GB31572-2015)及2024年修改单表5大气污染物特别排放限值要求</w:t>
                  </w:r>
                  <w:r>
                    <w:rPr>
                      <w:rFonts w:hint="eastAsia" w:cs="Times New Roman"/>
                      <w:sz w:val="21"/>
                      <w:szCs w:val="21"/>
                      <w:highlight w:val="none"/>
                      <w:lang w:val="en-US" w:eastAsia="zh-CN"/>
                    </w:rPr>
                    <w:t>；</w:t>
                  </w:r>
                  <w:r>
                    <w:rPr>
                      <w:rFonts w:hint="eastAsia" w:ascii="Times New Roman" w:hAnsi="Times New Roman" w:eastAsia="宋体" w:cs="Times New Roman"/>
                      <w:sz w:val="21"/>
                      <w:szCs w:val="21"/>
                      <w:highlight w:val="none"/>
                      <w:lang w:val="en-US" w:eastAsia="zh-CN"/>
                    </w:rPr>
                    <w:t>带锯G1、截锯切割G2、钉枪固定G3工序均设置局部密闭罩，产生的废气经集气罩收集后通过布袋除尘（TA002）处理后，经1根15m高排气筒(DA002)排放，颗粒物排放应满足《大气污染物综合排放标准》(GB16297-1996)中表2标准限值要求。本项目采取封闭厂房和封闭车间，厂区内非甲烷总烃无组织排放浓度应满足《挥发性有机物无组织排放控制标准》(GB37822-2019)表A.1中标准限值要求，厂界颗粒物无组织排放浓度应满足《大气污染物综合排放标准》(GB16297-1996)标准限值要求</w:t>
                  </w:r>
                </w:p>
              </w:tc>
              <w:tc>
                <w:tcPr>
                  <w:tcW w:w="3101" w:type="dxa"/>
                  <w:noWrap w:val="0"/>
                  <w:vAlign w:val="center"/>
                </w:tcPr>
                <w:p w14:paraId="1B8FB012">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泡沫制品</w:t>
                  </w:r>
                  <w:r>
                    <w:rPr>
                      <w:rFonts w:hint="default" w:ascii="Times New Roman" w:hAnsi="Times New Roman" w:eastAsia="宋体" w:cs="Times New Roman"/>
                      <w:color w:val="auto"/>
                      <w:sz w:val="21"/>
                      <w:szCs w:val="21"/>
                      <w:highlight w:val="none"/>
                      <w:lang w:val="en-US" w:eastAsia="zh-CN"/>
                    </w:rPr>
                    <w:t>包装生产车间为封闭设置，预发</w:t>
                  </w:r>
                  <w:r>
                    <w:rPr>
                      <w:rFonts w:hint="eastAsia" w:ascii="Times New Roman" w:hAnsi="Times New Roman" w:eastAsia="宋体" w:cs="Times New Roman"/>
                      <w:color w:val="auto"/>
                      <w:sz w:val="21"/>
                      <w:szCs w:val="21"/>
                      <w:highlight w:val="none"/>
                      <w:lang w:val="en-US" w:eastAsia="zh-CN"/>
                    </w:rPr>
                    <w:t>设备密闭且设密闭式集气罩，</w:t>
                  </w:r>
                  <w:r>
                    <w:rPr>
                      <w:rFonts w:hint="default" w:ascii="Times New Roman" w:hAnsi="Times New Roman" w:eastAsia="宋体" w:cs="Times New Roman"/>
                      <w:color w:val="auto"/>
                      <w:sz w:val="21"/>
                      <w:szCs w:val="21"/>
                      <w:highlight w:val="none"/>
                      <w:lang w:val="en-US" w:eastAsia="zh-CN"/>
                    </w:rPr>
                    <w:t>成型设备</w:t>
                  </w:r>
                  <w:r>
                    <w:rPr>
                      <w:rFonts w:hint="eastAsia" w:ascii="Times New Roman" w:hAnsi="Times New Roman" w:eastAsia="宋体" w:cs="Times New Roman"/>
                      <w:color w:val="auto"/>
                      <w:sz w:val="21"/>
                      <w:szCs w:val="21"/>
                      <w:highlight w:val="none"/>
                      <w:lang w:val="en-US" w:eastAsia="zh-CN"/>
                    </w:rPr>
                    <w:t>为</w:t>
                  </w:r>
                  <w:r>
                    <w:rPr>
                      <w:rFonts w:hint="default" w:ascii="Times New Roman" w:hAnsi="Times New Roman" w:eastAsia="宋体" w:cs="Times New Roman"/>
                      <w:color w:val="auto"/>
                      <w:sz w:val="21"/>
                      <w:szCs w:val="21"/>
                      <w:highlight w:val="none"/>
                      <w:lang w:val="en-US" w:eastAsia="zh-CN"/>
                    </w:rPr>
                    <w:t>密闭，熟化仓为密闭设置；干燥室为封闭</w:t>
                  </w:r>
                  <w:r>
                    <w:rPr>
                      <w:rFonts w:hint="eastAsia" w:ascii="Times New Roman" w:hAnsi="Times New Roman" w:eastAsia="宋体" w:cs="Times New Roman"/>
                      <w:color w:val="auto"/>
                      <w:sz w:val="21"/>
                      <w:szCs w:val="21"/>
                      <w:highlight w:val="none"/>
                      <w:lang w:val="en-US" w:eastAsia="zh-CN"/>
                    </w:rPr>
                    <w:t>负压车间，各生产车间均为封闭负压车间，且内均设有集气管道收集各污染工序产生的废气，生产废气经收集后通过</w:t>
                  </w:r>
                  <w:r>
                    <w:rPr>
                      <w:rFonts w:hint="default" w:ascii="Times New Roman" w:hAnsi="Times New Roman" w:eastAsia="宋体" w:cs="Times New Roman"/>
                      <w:color w:val="auto"/>
                      <w:sz w:val="21"/>
                      <w:szCs w:val="21"/>
                      <w:highlight w:val="none"/>
                      <w:lang w:val="en-US" w:eastAsia="zh-CN"/>
                    </w:rPr>
                    <w:t>活性炭吸附装置</w:t>
                  </w:r>
                  <w:r>
                    <w:rPr>
                      <w:rFonts w:hint="eastAsia" w:ascii="Times New Roman" w:hAnsi="Times New Roman" w:eastAsia="宋体" w:cs="Times New Roman"/>
                      <w:color w:val="auto"/>
                      <w:sz w:val="21"/>
                      <w:szCs w:val="21"/>
                      <w:highlight w:val="none"/>
                      <w:lang w:val="en-US" w:eastAsia="zh-CN"/>
                    </w:rPr>
                    <w:t>及布袋除尘器</w:t>
                  </w:r>
                  <w:r>
                    <w:rPr>
                      <w:rFonts w:hint="default" w:ascii="Times New Roman" w:hAnsi="Times New Roman" w:eastAsia="宋体" w:cs="Times New Roman"/>
                      <w:color w:val="auto"/>
                      <w:sz w:val="21"/>
                      <w:szCs w:val="21"/>
                      <w:highlight w:val="none"/>
                      <w:lang w:val="en-US" w:eastAsia="zh-CN"/>
                    </w:rPr>
                    <w:t>处理后通过1根15米高排气筒（DA001）排放</w:t>
                  </w:r>
                  <w:r>
                    <w:rPr>
                      <w:rFonts w:hint="eastAsia" w:ascii="Times New Roman" w:hAnsi="Times New Roman" w:eastAsia="宋体" w:cs="Times New Roman"/>
                      <w:color w:val="auto"/>
                      <w:sz w:val="21"/>
                      <w:szCs w:val="21"/>
                      <w:highlight w:val="none"/>
                      <w:lang w:val="en-US" w:eastAsia="zh-CN"/>
                    </w:rPr>
                    <w:t>；</w:t>
                  </w:r>
                </w:p>
                <w:p w14:paraId="62B375AA">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木制品生产线原料直接根据市场需求购买半成品，工艺流程不涉及带锯切割和截锯截尺工序，只通过钉枪固定后形成木制品成品外售，由于该工序颗粒物产生量较少，同时生产工序位于封闭厂房内，本项目木制品生产线工序未设置袋式除尘器，产生的</w:t>
                  </w:r>
                  <w:r>
                    <w:rPr>
                      <w:rFonts w:hint="default" w:ascii="Times New Roman" w:hAnsi="Times New Roman" w:eastAsia="宋体" w:cs="Times New Roman"/>
                      <w:color w:val="auto"/>
                      <w:sz w:val="21"/>
                      <w:szCs w:val="21"/>
                      <w:highlight w:val="none"/>
                      <w:lang w:val="en-US" w:eastAsia="zh-CN"/>
                    </w:rPr>
                    <w:t>颗粒物</w:t>
                  </w:r>
                  <w:r>
                    <w:rPr>
                      <w:rFonts w:hint="eastAsia" w:ascii="Times New Roman" w:hAnsi="Times New Roman" w:eastAsia="宋体" w:cs="Times New Roman"/>
                      <w:color w:val="auto"/>
                      <w:sz w:val="21"/>
                      <w:szCs w:val="21"/>
                      <w:highlight w:val="none"/>
                      <w:lang w:val="en-US" w:eastAsia="zh-CN"/>
                    </w:rPr>
                    <w:t>为无组织</w:t>
                  </w:r>
                  <w:r>
                    <w:rPr>
                      <w:rFonts w:hint="default" w:ascii="Times New Roman" w:hAnsi="Times New Roman" w:eastAsia="宋体" w:cs="Times New Roman"/>
                      <w:color w:val="auto"/>
                      <w:sz w:val="21"/>
                      <w:szCs w:val="21"/>
                      <w:highlight w:val="none"/>
                      <w:lang w:val="en-US" w:eastAsia="zh-CN"/>
                    </w:rPr>
                    <w:t>排放</w:t>
                  </w:r>
                </w:p>
              </w:tc>
              <w:tc>
                <w:tcPr>
                  <w:tcW w:w="867" w:type="dxa"/>
                  <w:noWrap w:val="0"/>
                  <w:vAlign w:val="center"/>
                </w:tcPr>
                <w:p w14:paraId="50FC5FDD">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不</w:t>
                  </w:r>
                  <w:r>
                    <w:rPr>
                      <w:rFonts w:hint="eastAsia" w:ascii="Times New Roman" w:hAnsi="Times New Roman" w:eastAsia="宋体" w:cs="Times New Roman"/>
                      <w:sz w:val="21"/>
                      <w:szCs w:val="21"/>
                      <w:highlight w:val="none"/>
                      <w:lang w:val="en-US" w:eastAsia="zh-CN"/>
                    </w:rPr>
                    <w:t>一致</w:t>
                  </w:r>
                </w:p>
              </w:tc>
            </w:tr>
            <w:tr w14:paraId="08DE12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1" w:type="dxa"/>
                  <w:noWrap w:val="0"/>
                  <w:vAlign w:val="center"/>
                </w:tcPr>
                <w:p w14:paraId="43AD59BF">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4</w:t>
                  </w:r>
                </w:p>
              </w:tc>
              <w:tc>
                <w:tcPr>
                  <w:tcW w:w="3485" w:type="dxa"/>
                  <w:noWrap w:val="0"/>
                  <w:vAlign w:val="center"/>
                </w:tcPr>
                <w:p w14:paraId="7831F121">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严格落实水污染防治措施。运营期蒸汽冷凝水作为循环冷却补充水，冷却废水循环使用，不外排，员工产生的生活污水排入化粪池处理后，经污水管网排入本溪市高台子镇污水处理厂</w:t>
                  </w:r>
                </w:p>
              </w:tc>
              <w:tc>
                <w:tcPr>
                  <w:tcW w:w="3101" w:type="dxa"/>
                  <w:noWrap w:val="0"/>
                  <w:vAlign w:val="center"/>
                </w:tcPr>
                <w:p w14:paraId="109FF379">
                  <w:pPr>
                    <w:widowControl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生活污水排入防渗旱厕，定期清掏不外排；脱模工序的间接冷却水（单独存在管道中，不与生产工序接触），循环使用，不外排。</w:t>
                  </w:r>
                  <w:r>
                    <w:rPr>
                      <w:rFonts w:hint="default" w:ascii="Times New Roman" w:hAnsi="Times New Roman" w:eastAsia="宋体" w:cs="Times New Roman"/>
                      <w:color w:val="auto"/>
                      <w:sz w:val="21"/>
                      <w:szCs w:val="21"/>
                      <w:highlight w:val="none"/>
                      <w:lang w:val="en-US" w:eastAsia="zh-CN"/>
                    </w:rPr>
                    <w:t>高温蒸汽冷凝水</w:t>
                  </w:r>
                  <w:r>
                    <w:rPr>
                      <w:rFonts w:hint="eastAsia" w:ascii="Times New Roman" w:hAnsi="Times New Roman" w:eastAsia="宋体" w:cs="Times New Roman"/>
                      <w:color w:val="auto"/>
                      <w:sz w:val="21"/>
                      <w:szCs w:val="21"/>
                      <w:highlight w:val="none"/>
                      <w:lang w:val="en-US" w:eastAsia="zh-CN"/>
                    </w:rPr>
                    <w:t>排入</w:t>
                  </w:r>
                  <w:r>
                    <w:rPr>
                      <w:rFonts w:hint="default" w:ascii="Times New Roman" w:hAnsi="Times New Roman" w:eastAsia="宋体" w:cs="Times New Roman"/>
                      <w:color w:val="auto"/>
                      <w:sz w:val="21"/>
                      <w:szCs w:val="21"/>
                      <w:highlight w:val="none"/>
                      <w:lang w:val="en-US" w:eastAsia="zh-CN"/>
                    </w:rPr>
                    <w:t>收集池（</w:t>
                  </w:r>
                  <w:r>
                    <w:rPr>
                      <w:rFonts w:hint="eastAsia" w:ascii="Times New Roman" w:hAnsi="Times New Roman" w:eastAsia="宋体" w:cs="Times New Roman"/>
                      <w:color w:val="auto"/>
                      <w:sz w:val="21"/>
                      <w:szCs w:val="21"/>
                      <w:highlight w:val="none"/>
                      <w:lang w:val="en-US" w:eastAsia="zh-CN"/>
                    </w:rPr>
                    <w:t>4个收集池，每个</w:t>
                  </w:r>
                  <w:r>
                    <w:rPr>
                      <w:rFonts w:hint="default" w:ascii="Times New Roman" w:hAnsi="Times New Roman" w:eastAsia="宋体" w:cs="Times New Roman"/>
                      <w:color w:val="auto"/>
                      <w:sz w:val="21"/>
                      <w:szCs w:val="21"/>
                      <w:highlight w:val="none"/>
                      <w:lang w:val="en-US" w:eastAsia="zh-CN"/>
                    </w:rPr>
                    <w:t>容积为</w:t>
                  </w: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0m3），收集后送入冷却水循环系统，作为冷却补充水使用，不外排</w:t>
                  </w:r>
                </w:p>
              </w:tc>
              <w:tc>
                <w:tcPr>
                  <w:tcW w:w="867" w:type="dxa"/>
                  <w:noWrap w:val="0"/>
                  <w:vAlign w:val="center"/>
                </w:tcPr>
                <w:p w14:paraId="18C5FF5F">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不</w:t>
                  </w:r>
                  <w:r>
                    <w:rPr>
                      <w:rFonts w:hint="eastAsia" w:ascii="Times New Roman" w:hAnsi="Times New Roman" w:eastAsia="宋体" w:cs="Times New Roman"/>
                      <w:sz w:val="21"/>
                      <w:szCs w:val="21"/>
                      <w:highlight w:val="none"/>
                      <w:lang w:val="en-US" w:eastAsia="zh-CN"/>
                    </w:rPr>
                    <w:t>一致</w:t>
                  </w:r>
                </w:p>
              </w:tc>
            </w:tr>
            <w:tr w14:paraId="569C3A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1" w:type="dxa"/>
                  <w:noWrap w:val="0"/>
                  <w:vAlign w:val="center"/>
                </w:tcPr>
                <w:p w14:paraId="726D1941">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5</w:t>
                  </w:r>
                </w:p>
              </w:tc>
              <w:tc>
                <w:tcPr>
                  <w:tcW w:w="3485" w:type="dxa"/>
                  <w:noWrap w:val="0"/>
                  <w:vAlign w:val="center"/>
                </w:tcPr>
                <w:p w14:paraId="79BFA31D">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严格落实噪声污染防治措施。运营期噪声通过基础减振、厂房隔声、距离衰减等降噪措施后，厂界噪声应满足《工业企业厂界环境噪声排放标准》(GB12348-2008)3类标准要求</w:t>
                  </w:r>
                </w:p>
              </w:tc>
              <w:tc>
                <w:tcPr>
                  <w:tcW w:w="3101" w:type="dxa"/>
                  <w:noWrap w:val="0"/>
                  <w:vAlign w:val="center"/>
                </w:tcPr>
                <w:p w14:paraId="27BD9FBF">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本项目选用</w:t>
                  </w:r>
                  <w:r>
                    <w:rPr>
                      <w:rFonts w:hint="default" w:ascii="Times New Roman" w:hAnsi="Times New Roman" w:eastAsia="宋体" w:cs="Times New Roman"/>
                      <w:color w:val="auto"/>
                      <w:sz w:val="21"/>
                      <w:szCs w:val="21"/>
                      <w:highlight w:val="none"/>
                      <w:lang w:val="en-US" w:eastAsia="zh-CN"/>
                    </w:rPr>
                    <w:t>低噪设备，</w:t>
                  </w:r>
                  <w:r>
                    <w:rPr>
                      <w:rFonts w:hint="eastAsia" w:ascii="Times New Roman" w:hAnsi="Times New Roman" w:eastAsia="宋体" w:cs="Times New Roman"/>
                      <w:color w:val="auto"/>
                      <w:sz w:val="21"/>
                      <w:szCs w:val="21"/>
                      <w:highlight w:val="none"/>
                      <w:lang w:val="en-US" w:eastAsia="zh-CN"/>
                    </w:rPr>
                    <w:t>通过</w:t>
                  </w:r>
                  <w:r>
                    <w:rPr>
                      <w:rFonts w:hint="default" w:ascii="Times New Roman" w:hAnsi="Times New Roman" w:eastAsia="宋体" w:cs="Times New Roman"/>
                      <w:color w:val="auto"/>
                      <w:sz w:val="21"/>
                      <w:szCs w:val="21"/>
                      <w:highlight w:val="none"/>
                      <w:lang w:val="en-US" w:eastAsia="zh-CN"/>
                    </w:rPr>
                    <w:t>厂房隔声，建筑物隔声</w:t>
                  </w:r>
                  <w:r>
                    <w:rPr>
                      <w:rFonts w:hint="eastAsia" w:ascii="Times New Roman" w:hAnsi="Times New Roman" w:eastAsia="宋体" w:cs="Times New Roman"/>
                      <w:color w:val="auto"/>
                      <w:sz w:val="21"/>
                      <w:szCs w:val="21"/>
                      <w:highlight w:val="none"/>
                      <w:lang w:val="en-US" w:eastAsia="zh-CN"/>
                    </w:rPr>
                    <w:t>等措施，有效降低噪声</w:t>
                  </w:r>
                </w:p>
              </w:tc>
              <w:tc>
                <w:tcPr>
                  <w:tcW w:w="867" w:type="dxa"/>
                  <w:noWrap w:val="0"/>
                  <w:vAlign w:val="center"/>
                </w:tcPr>
                <w:p w14:paraId="241C3FD4">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一致</w:t>
                  </w:r>
                </w:p>
              </w:tc>
            </w:tr>
            <w:tr w14:paraId="4EF516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1" w:type="dxa"/>
                  <w:noWrap w:val="0"/>
                  <w:vAlign w:val="center"/>
                </w:tcPr>
                <w:p w14:paraId="7E805CC7">
                  <w:pPr>
                    <w:widowControl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6</w:t>
                  </w:r>
                </w:p>
              </w:tc>
              <w:tc>
                <w:tcPr>
                  <w:tcW w:w="3485" w:type="dxa"/>
                  <w:noWrap w:val="0"/>
                  <w:vAlign w:val="center"/>
                </w:tcPr>
                <w:p w14:paraId="483AC3B3">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严格落实固体废物污染防控措施。运营期木制品生产线木边角料及木屑、EPS泡沫制品包装生产线泡沫边角料、除尘器收集的除尘灰收集后交由环卫部门统一处理，一般固体废物应满足《一般工业固体废物贮存和填埋污染控制标准》(GB18599-2020)相应标准要求；废活性炭、废机油、废油桶暂存于危废贮存库(50m2)内，定期委托有危废处理资质的单位进行处理，危险废物应满足《危险废物贮存污染控制标准》(GB18597-2023)；生活垃圾由当地环卫部门定期清运处理</w:t>
                  </w:r>
                </w:p>
              </w:tc>
              <w:tc>
                <w:tcPr>
                  <w:tcW w:w="3101" w:type="dxa"/>
                  <w:noWrap w:val="0"/>
                  <w:vAlign w:val="center"/>
                </w:tcPr>
                <w:p w14:paraId="7C5E9BA2">
                  <w:pPr>
                    <w:widowControl w:val="0"/>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企业木制品生产线原料直接根据市场需求购买半成品，工艺流程不涉及带锯切割和截锯截尺工序，只通过钉枪固定后形成木制品成品外售，该工序不会产生木边角料和</w:t>
                  </w:r>
                  <w:r>
                    <w:rPr>
                      <w:rFonts w:hint="default" w:ascii="Times New Roman" w:hAnsi="Times New Roman" w:eastAsia="宋体" w:cs="Times New Roman"/>
                      <w:color w:val="auto"/>
                      <w:sz w:val="21"/>
                      <w:szCs w:val="21"/>
                      <w:highlight w:val="none"/>
                      <w:lang w:val="en-US" w:eastAsia="zh-CN"/>
                    </w:rPr>
                    <w:t>木屑</w:t>
                  </w:r>
                  <w:r>
                    <w:rPr>
                      <w:rFonts w:hint="eastAsia" w:ascii="Times New Roman" w:hAnsi="Times New Roman" w:eastAsia="宋体" w:cs="Times New Roman"/>
                      <w:color w:val="auto"/>
                      <w:sz w:val="21"/>
                      <w:szCs w:val="21"/>
                      <w:highlight w:val="none"/>
                      <w:lang w:val="en-US" w:eastAsia="zh-CN"/>
                    </w:rPr>
                    <w:t>。本项目不设</w:t>
                  </w:r>
                  <w:r>
                    <w:rPr>
                      <w:rFonts w:hint="default" w:ascii="Times New Roman" w:hAnsi="Times New Roman" w:eastAsia="宋体" w:cs="Times New Roman"/>
                      <w:color w:val="auto"/>
                      <w:sz w:val="21"/>
                      <w:szCs w:val="21"/>
                      <w:highlight w:val="none"/>
                      <w:lang w:val="en-US" w:eastAsia="zh-CN"/>
                    </w:rPr>
                    <w:t>木屑仓库</w:t>
                  </w:r>
                  <w:r>
                    <w:rPr>
                      <w:rFonts w:hint="eastAsia" w:ascii="Times New Roman" w:hAnsi="Times New Roman" w:eastAsia="宋体" w:cs="Times New Roman"/>
                      <w:color w:val="auto"/>
                      <w:sz w:val="21"/>
                      <w:szCs w:val="21"/>
                      <w:highlight w:val="none"/>
                      <w:lang w:val="en-US" w:eastAsia="zh-CN"/>
                    </w:rPr>
                    <w:t>；除尘灰产生量较小，集中收集后由</w:t>
                  </w:r>
                  <w:r>
                    <w:rPr>
                      <w:rFonts w:hint="default" w:ascii="Times New Roman" w:hAnsi="Times New Roman" w:eastAsia="宋体" w:cs="Times New Roman"/>
                      <w:color w:val="auto"/>
                      <w:sz w:val="21"/>
                      <w:szCs w:val="21"/>
                      <w:highlight w:val="none"/>
                      <w:lang w:val="en-US" w:eastAsia="zh-CN"/>
                    </w:rPr>
                    <w:t>环卫部门处理</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泡沫边角料经包装袋收集后，</w:t>
                  </w:r>
                  <w:r>
                    <w:rPr>
                      <w:rFonts w:hint="eastAsia" w:ascii="Times New Roman" w:hAnsi="Times New Roman" w:eastAsia="宋体" w:cs="Times New Roman"/>
                      <w:color w:val="auto"/>
                      <w:sz w:val="21"/>
                      <w:szCs w:val="21"/>
                      <w:highlight w:val="none"/>
                      <w:lang w:val="en-US" w:eastAsia="zh-CN"/>
                    </w:rPr>
                    <w:t>由</w:t>
                  </w:r>
                  <w:r>
                    <w:rPr>
                      <w:rFonts w:hint="default" w:ascii="Times New Roman" w:hAnsi="Times New Roman" w:eastAsia="宋体" w:cs="Times New Roman"/>
                      <w:color w:val="auto"/>
                      <w:sz w:val="21"/>
                      <w:szCs w:val="21"/>
                      <w:highlight w:val="none"/>
                      <w:lang w:val="en-US" w:eastAsia="zh-CN"/>
                    </w:rPr>
                    <w:t>环卫部门处理</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职工生活垃圾由环卫部门清运处理</w:t>
                  </w:r>
                  <w:r>
                    <w:rPr>
                      <w:rFonts w:hint="eastAsia" w:ascii="Times New Roman" w:hAnsi="Times New Roman" w:eastAsia="宋体" w:cs="Times New Roman"/>
                      <w:color w:val="auto"/>
                      <w:sz w:val="21"/>
                      <w:szCs w:val="21"/>
                      <w:highlight w:val="none"/>
                      <w:lang w:val="en-US" w:eastAsia="zh-CN"/>
                    </w:rPr>
                    <w:t>；厂区西北侧设有危险废物暂存间一座，占地面积约为30m2。危废暂存间分区暂存</w:t>
                  </w:r>
                  <w:r>
                    <w:rPr>
                      <w:rFonts w:hint="default" w:ascii="Times New Roman" w:hAnsi="Times New Roman" w:eastAsia="宋体" w:cs="Times New Roman"/>
                      <w:color w:val="auto"/>
                      <w:sz w:val="21"/>
                      <w:szCs w:val="21"/>
                      <w:highlight w:val="none"/>
                      <w:lang w:val="en-US" w:eastAsia="zh-CN"/>
                    </w:rPr>
                    <w:t>废机油、油桶、废活性炭等危险废物，定期委托有资质单位处理。</w:t>
                  </w:r>
                </w:p>
              </w:tc>
              <w:tc>
                <w:tcPr>
                  <w:tcW w:w="867" w:type="dxa"/>
                  <w:noWrap w:val="0"/>
                  <w:vAlign w:val="center"/>
                </w:tcPr>
                <w:p w14:paraId="440E1DD9">
                  <w:pPr>
                    <w:widowControl w:val="0"/>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基本</w:t>
                  </w:r>
                </w:p>
                <w:p w14:paraId="3783C0CD">
                  <w:pPr>
                    <w:widowControl w:val="0"/>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一致</w:t>
                  </w:r>
                </w:p>
              </w:tc>
            </w:tr>
            <w:tr w14:paraId="02323A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1" w:type="dxa"/>
                  <w:noWrap w:val="0"/>
                  <w:vAlign w:val="center"/>
                </w:tcPr>
                <w:p w14:paraId="4B1F3534">
                  <w:pPr>
                    <w:widowControl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7</w:t>
                  </w:r>
                </w:p>
              </w:tc>
              <w:tc>
                <w:tcPr>
                  <w:tcW w:w="3485" w:type="dxa"/>
                  <w:noWrap w:val="0"/>
                  <w:vAlign w:val="center"/>
                </w:tcPr>
                <w:p w14:paraId="57A0CF0A">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加强土壤及地下水环境管理。项目采取分区防渗管控措施，危废贮存库、冷凝水收集池、化粪池作为重点防渗区(Mb≥6.0m，K≤1*10-7cm/s)，生产车间及库房作为一般防渗区(Mb≥1.5m，K≤1*10-7cm/s)，其他区域作为简单防渗区</w:t>
                  </w:r>
                </w:p>
              </w:tc>
              <w:tc>
                <w:tcPr>
                  <w:tcW w:w="3101" w:type="dxa"/>
                  <w:noWrap w:val="0"/>
                  <w:vAlign w:val="center"/>
                </w:tcPr>
                <w:p w14:paraId="5059045D">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项目采取分区防渗管控措施，危废贮存库、冷凝水收集池、防渗旱厕作为重点防渗区(Mb≥6.0m，K≤1*10-7cm/s)，生产车间及库房作为一般防渗区(Mb≥1.5m，K≤1*10-7cm/s)，其他区域作为简单防渗区</w:t>
                  </w:r>
                </w:p>
              </w:tc>
              <w:tc>
                <w:tcPr>
                  <w:tcW w:w="867" w:type="dxa"/>
                  <w:noWrap w:val="0"/>
                  <w:vAlign w:val="center"/>
                </w:tcPr>
                <w:p w14:paraId="0AB19913">
                  <w:pPr>
                    <w:widowControl w:val="0"/>
                    <w:spacing w:line="240" w:lineRule="auto"/>
                    <w:ind w:firstLine="0" w:firstLineChars="0"/>
                    <w:jc w:val="center"/>
                    <w:rPr>
                      <w:rFonts w:hint="eastAsia" w:cs="Times New Roman"/>
                      <w:sz w:val="21"/>
                      <w:szCs w:val="21"/>
                      <w:highlight w:val="none"/>
                      <w:lang w:val="en-US" w:eastAsia="zh-CN"/>
                    </w:rPr>
                  </w:pPr>
                  <w:r>
                    <w:rPr>
                      <w:rFonts w:hint="eastAsia" w:cs="Times New Roman"/>
                      <w:sz w:val="21"/>
                      <w:szCs w:val="21"/>
                      <w:highlight w:val="none"/>
                      <w:lang w:val="en-US" w:eastAsia="zh-CN"/>
                    </w:rPr>
                    <w:t>基本</w:t>
                  </w:r>
                </w:p>
                <w:p w14:paraId="3112CF71">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一致</w:t>
                  </w:r>
                </w:p>
              </w:tc>
            </w:tr>
            <w:tr w14:paraId="27305E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1" w:type="dxa"/>
                  <w:noWrap w:val="0"/>
                  <w:vAlign w:val="center"/>
                </w:tcPr>
                <w:p w14:paraId="453D9ED7">
                  <w:pPr>
                    <w:widowControl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8</w:t>
                  </w:r>
                </w:p>
              </w:tc>
              <w:tc>
                <w:tcPr>
                  <w:tcW w:w="3485" w:type="dxa"/>
                  <w:noWrap w:val="0"/>
                  <w:vAlign w:val="center"/>
                </w:tcPr>
                <w:p w14:paraId="6BE4CA31">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严格落实环境风险防控措施。本项目涉及的风险物质为废机油，废机油暂存于危废贮存库内，危废贮存库应当防风、防雨、防晒、防渗漏、隔离隔断、门口设置围堰，设置危险废物识别标志，配套应急物资，定期进行检查。建立健全安全、环境管理体系，制定严格的安全管理制度，制定应急计划，加强职工培训，提高应急处理能力，编制突发环境事件应急预案并完成备案，开展应急预案演练等</w:t>
                  </w:r>
                </w:p>
              </w:tc>
              <w:tc>
                <w:tcPr>
                  <w:tcW w:w="3101" w:type="dxa"/>
                  <w:noWrap w:val="0"/>
                  <w:vAlign w:val="center"/>
                </w:tcPr>
                <w:p w14:paraId="0DAD8E2B">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废机油暂存于危废暂存间内，</w:t>
                  </w:r>
                  <w:r>
                    <w:rPr>
                      <w:rFonts w:hint="default" w:ascii="Times New Roman" w:hAnsi="Times New Roman" w:eastAsia="宋体" w:cs="Times New Roman"/>
                      <w:sz w:val="21"/>
                      <w:szCs w:val="21"/>
                      <w:highlight w:val="none"/>
                      <w:lang w:val="en-US" w:eastAsia="zh-CN"/>
                    </w:rPr>
                    <w:t>《危险废物贮存污染控制标准》（GB18597-20</w:t>
                  </w:r>
                  <w:r>
                    <w:rPr>
                      <w:rFonts w:hint="eastAsia" w:ascii="Times New Roman" w:hAnsi="Times New Roman" w:eastAsia="宋体" w:cs="Times New Roman"/>
                      <w:sz w:val="21"/>
                      <w:szCs w:val="21"/>
                      <w:highlight w:val="none"/>
                      <w:lang w:val="en-US" w:eastAsia="zh-CN"/>
                    </w:rPr>
                    <w:t>23</w:t>
                  </w:r>
                  <w:r>
                    <w:rPr>
                      <w:rFonts w:hint="default" w:ascii="Times New Roman" w:hAnsi="Times New Roman" w:eastAsia="宋体" w:cs="Times New Roman"/>
                      <w:sz w:val="21"/>
                      <w:szCs w:val="21"/>
                      <w:highlight w:val="none"/>
                      <w:lang w:val="en-US" w:eastAsia="zh-CN"/>
                    </w:rPr>
                    <w:t>）的要求建造</w:t>
                  </w:r>
                  <w:r>
                    <w:rPr>
                      <w:rFonts w:hint="eastAsia" w:ascii="Times New Roman" w:hAnsi="Times New Roman" w:eastAsia="宋体" w:cs="Times New Roman"/>
                      <w:sz w:val="21"/>
                      <w:szCs w:val="21"/>
                      <w:highlight w:val="none"/>
                      <w:lang w:val="en-US" w:eastAsia="zh-CN"/>
                    </w:rPr>
                    <w:t>，门口设设置危险废物识别标志，配套应急物资，定期进行检查。</w:t>
                  </w:r>
                  <w:r>
                    <w:rPr>
                      <w:rFonts w:hint="eastAsia" w:cs="Times New Roman"/>
                      <w:sz w:val="21"/>
                      <w:szCs w:val="21"/>
                      <w:highlight w:val="none"/>
                      <w:lang w:val="en-US" w:eastAsia="zh-CN"/>
                    </w:rPr>
                    <w:t>企业目前正在编制应急预案，同时</w:t>
                  </w:r>
                  <w:r>
                    <w:rPr>
                      <w:rFonts w:hint="eastAsia" w:ascii="Times New Roman" w:hAnsi="Times New Roman" w:eastAsia="宋体" w:cs="Times New Roman"/>
                      <w:sz w:val="21"/>
                      <w:szCs w:val="21"/>
                      <w:highlight w:val="none"/>
                      <w:lang w:val="en-US" w:eastAsia="zh-CN"/>
                    </w:rPr>
                    <w:t>建立健全安全、环境管理体系，制定严格的安全管理制度，制定应急计划，加强职工培训，提高应急处理能力</w:t>
                  </w:r>
                  <w:r>
                    <w:rPr>
                      <w:rFonts w:hint="eastAsia" w:cs="Times New Roman"/>
                      <w:sz w:val="21"/>
                      <w:szCs w:val="21"/>
                      <w:highlight w:val="none"/>
                      <w:lang w:val="en-US" w:eastAsia="zh-CN"/>
                    </w:rPr>
                    <w:t>。</w:t>
                  </w:r>
                </w:p>
              </w:tc>
              <w:tc>
                <w:tcPr>
                  <w:tcW w:w="867" w:type="dxa"/>
                  <w:noWrap w:val="0"/>
                  <w:vAlign w:val="center"/>
                </w:tcPr>
                <w:p w14:paraId="655120DE">
                  <w:pPr>
                    <w:widowControl w:val="0"/>
                    <w:spacing w:line="240" w:lineRule="auto"/>
                    <w:ind w:firstLine="0" w:firstLineChars="0"/>
                    <w:jc w:val="center"/>
                    <w:rPr>
                      <w:rFonts w:hint="eastAsia" w:cs="Times New Roman"/>
                      <w:sz w:val="21"/>
                      <w:szCs w:val="21"/>
                      <w:highlight w:val="none"/>
                      <w:lang w:val="en-US" w:eastAsia="zh-CN"/>
                    </w:rPr>
                  </w:pPr>
                  <w:r>
                    <w:rPr>
                      <w:rFonts w:hint="eastAsia" w:cs="Times New Roman"/>
                      <w:sz w:val="21"/>
                      <w:szCs w:val="21"/>
                      <w:highlight w:val="none"/>
                      <w:lang w:val="en-US" w:eastAsia="zh-CN"/>
                    </w:rPr>
                    <w:t>基本</w:t>
                  </w:r>
                </w:p>
                <w:p w14:paraId="1D2BBB39">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一致</w:t>
                  </w:r>
                </w:p>
              </w:tc>
            </w:tr>
            <w:tr w14:paraId="451932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1" w:type="dxa"/>
                  <w:noWrap w:val="0"/>
                  <w:vAlign w:val="center"/>
                </w:tcPr>
                <w:p w14:paraId="7A8C7253">
                  <w:pPr>
                    <w:widowControl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9</w:t>
                  </w:r>
                </w:p>
              </w:tc>
              <w:tc>
                <w:tcPr>
                  <w:tcW w:w="3485" w:type="dxa"/>
                  <w:noWrap w:val="0"/>
                  <w:vAlign w:val="center"/>
                </w:tcPr>
                <w:p w14:paraId="7ECFF2DC">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你公司应落实生态环境保护主体责任，严格执行排污许可制度和总量控制制度。建立企业内部生态环境管理机构和体系，明确人员、职责和制度，加强生态环境管理，推进各项生态环境保护措施落实。按照相关法律法规和技术标准规范要求，开展环保设备设施安全风险辨识评估和隐患排查治理，落实安全生产各项责任措施。项目建设必须严格执行配套的环境保护设施与主体工程，同时设计、同时施工、同时投产使用的环境保护“三同时”制度</w:t>
                  </w:r>
                  <w:r>
                    <w:rPr>
                      <w:rFonts w:hint="eastAsia" w:cs="Times New Roman"/>
                      <w:sz w:val="21"/>
                      <w:szCs w:val="21"/>
                      <w:highlight w:val="none"/>
                      <w:lang w:val="en-US" w:eastAsia="zh-CN"/>
                    </w:rPr>
                    <w:t>，</w:t>
                  </w:r>
                  <w:r>
                    <w:rPr>
                      <w:rFonts w:hint="eastAsia" w:ascii="Times New Roman" w:hAnsi="Times New Roman" w:eastAsia="宋体" w:cs="Times New Roman"/>
                      <w:sz w:val="21"/>
                      <w:szCs w:val="21"/>
                      <w:highlight w:val="none"/>
                      <w:lang w:val="en-US" w:eastAsia="zh-CN"/>
                    </w:rPr>
                    <w:t>落实各项环境保护措施以及环境保护设施投资，项目竣工后,须按规定程序实施竣工环境保护验收，并向社会进行公示</w:t>
                  </w:r>
                </w:p>
              </w:tc>
              <w:tc>
                <w:tcPr>
                  <w:tcW w:w="3101" w:type="dxa"/>
                  <w:noWrap w:val="0"/>
                  <w:vAlign w:val="center"/>
                </w:tcPr>
                <w:p w14:paraId="73A8E218">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 w:val="21"/>
                      <w:szCs w:val="21"/>
                      <w:highlight w:val="none"/>
                    </w:rPr>
                    <w:t>本项目为</w:t>
                  </w:r>
                  <w:r>
                    <w:rPr>
                      <w:rFonts w:hint="default" w:ascii="Times New Roman" w:hAnsi="Times New Roman" w:eastAsia="宋体" w:cs="Times New Roman"/>
                      <w:color w:val="auto"/>
                      <w:sz w:val="21"/>
                      <w:szCs w:val="21"/>
                      <w:highlight w:val="none"/>
                      <w:lang w:val="en-US" w:eastAsia="zh-CN"/>
                    </w:rPr>
                    <w:t>登记</w:t>
                  </w:r>
                  <w:r>
                    <w:rPr>
                      <w:rFonts w:hint="default" w:ascii="Times New Roman" w:hAnsi="Times New Roman" w:eastAsia="宋体" w:cs="Times New Roman"/>
                      <w:color w:val="auto"/>
                      <w:sz w:val="21"/>
                      <w:szCs w:val="21"/>
                      <w:highlight w:val="none"/>
                    </w:rPr>
                    <w:t>管理，</w:t>
                  </w:r>
                  <w:r>
                    <w:rPr>
                      <w:rFonts w:hint="eastAsia" w:ascii="Times New Roman" w:hAnsi="Times New Roman" w:eastAsia="宋体" w:cs="Times New Roman"/>
                      <w:color w:val="auto"/>
                      <w:sz w:val="21"/>
                      <w:szCs w:val="21"/>
                      <w:highlight w:val="none"/>
                      <w:lang w:eastAsia="zh-CN"/>
                    </w:rPr>
                    <w:t>已填报</w:t>
                  </w:r>
                  <w:r>
                    <w:rPr>
                      <w:rFonts w:hint="default" w:ascii="Times New Roman" w:hAnsi="Times New Roman" w:eastAsia="宋体" w:cs="Times New Roman"/>
                      <w:color w:val="auto"/>
                      <w:sz w:val="21"/>
                      <w:szCs w:val="21"/>
                      <w:highlight w:val="none"/>
                      <w:lang w:val="en-US" w:eastAsia="zh-CN"/>
                    </w:rPr>
                    <w:t>排污许可登记</w:t>
                  </w:r>
                  <w:r>
                    <w:rPr>
                      <w:rFonts w:hint="eastAsia" w:cs="Times New Roman"/>
                      <w:sz w:val="21"/>
                      <w:szCs w:val="21"/>
                      <w:highlight w:val="none"/>
                      <w:lang w:val="en-US" w:eastAsia="zh-CN"/>
                    </w:rPr>
                    <w:t>，并</w:t>
                  </w:r>
                  <w:r>
                    <w:rPr>
                      <w:rFonts w:hint="eastAsia" w:ascii="Times New Roman" w:hAnsi="Times New Roman" w:eastAsia="宋体" w:cs="Times New Roman"/>
                      <w:sz w:val="21"/>
                      <w:szCs w:val="21"/>
                      <w:highlight w:val="none"/>
                      <w:lang w:val="en-US" w:eastAsia="zh-CN"/>
                    </w:rPr>
                    <w:t>严格执行排污许可制度和总量控制制度。建立企业内部生态环境管理机构和体系，明确人员、职责和制度，加强生态环境管理，推进各项生态环境保护措施落实。项目建设严格执行配套的环境保护设施与主体工程，同时设计、同时施工、同时投产使用的环境保护“三同时”制度，落实各项环境保护措施以及环境保护设施投资。</w:t>
                  </w:r>
                </w:p>
                <w:p w14:paraId="67AEDF89">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项目竣工后已按《建设项目环境保护管理条例》的相关规定进行落实，先已由建设单位自主开展验收</w:t>
                  </w:r>
                </w:p>
              </w:tc>
              <w:tc>
                <w:tcPr>
                  <w:tcW w:w="867" w:type="dxa"/>
                  <w:noWrap w:val="0"/>
                  <w:vAlign w:val="center"/>
                </w:tcPr>
                <w:p w14:paraId="49AD2062">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一致</w:t>
                  </w:r>
                </w:p>
              </w:tc>
            </w:tr>
            <w:tr w14:paraId="57112E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1" w:type="dxa"/>
                  <w:noWrap w:val="0"/>
                  <w:vAlign w:val="center"/>
                </w:tcPr>
                <w:p w14:paraId="0FCBDEAC">
                  <w:pPr>
                    <w:widowControl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10</w:t>
                  </w:r>
                </w:p>
              </w:tc>
              <w:tc>
                <w:tcPr>
                  <w:tcW w:w="3485" w:type="dxa"/>
                  <w:noWrap w:val="0"/>
                  <w:vAlign w:val="center"/>
                </w:tcPr>
                <w:p w14:paraId="29E537F1">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环境影响报告表批准后，该项目的性质、规模、地点、生产工艺或者污染防治措施发生重大变动，且可能导致环境影响显著变化（特别是不利环境影响加重），应当重新报批该项目环境影响文件</w:t>
                  </w:r>
                </w:p>
              </w:tc>
              <w:tc>
                <w:tcPr>
                  <w:tcW w:w="3101" w:type="dxa"/>
                  <w:noWrap w:val="0"/>
                  <w:vAlign w:val="center"/>
                </w:tcPr>
                <w:p w14:paraId="55050CA9">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本项目的性质、规模、地点、生产工艺或者污染防治措施均未发生重大变动，且未发生可能导致环境影响显著变化（特别是不利环境影响加重）。无属于重大变动</w:t>
                  </w:r>
                </w:p>
              </w:tc>
              <w:tc>
                <w:tcPr>
                  <w:tcW w:w="867" w:type="dxa"/>
                  <w:noWrap w:val="0"/>
                  <w:vAlign w:val="center"/>
                </w:tcPr>
                <w:p w14:paraId="1A6E82C4">
                  <w:pPr>
                    <w:widowControl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一致</w:t>
                  </w:r>
                </w:p>
              </w:tc>
            </w:tr>
          </w:tbl>
          <w:p w14:paraId="0F26C1D8">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宋体" w:cs="Times New Roman"/>
                <w:b w:val="0"/>
                <w:bCs w:val="0"/>
                <w:sz w:val="24"/>
                <w:szCs w:val="24"/>
                <w:highlight w:val="yellow"/>
                <w:lang w:val="en-US" w:eastAsia="zh-CN"/>
              </w:rPr>
            </w:pPr>
          </w:p>
          <w:p w14:paraId="50423A7B">
            <w:pPr>
              <w:pStyle w:val="16"/>
              <w:rPr>
                <w:rFonts w:hint="eastAsia" w:ascii="Times New Roman" w:hAnsi="Times New Roman" w:eastAsia="宋体" w:cs="Times New Roman"/>
                <w:b w:val="0"/>
                <w:bCs w:val="0"/>
                <w:sz w:val="24"/>
                <w:szCs w:val="24"/>
                <w:highlight w:val="yellow"/>
                <w:lang w:val="en-US" w:eastAsia="zh-CN"/>
              </w:rPr>
            </w:pPr>
          </w:p>
          <w:p w14:paraId="7EC0D977">
            <w:pPr>
              <w:pStyle w:val="16"/>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highlight w:val="yellow"/>
                <w:lang w:val="en-US" w:eastAsia="zh-CN"/>
              </w:rPr>
            </w:pPr>
          </w:p>
        </w:tc>
      </w:tr>
    </w:tbl>
    <w:p w14:paraId="54949985">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黑体"/>
          <w:b/>
          <w:color w:val="auto"/>
          <w:sz w:val="24"/>
          <w:szCs w:val="24"/>
          <w:highlight w:val="none"/>
          <w:vertAlign w:val="baseline"/>
          <w:lang w:val="en-US" w:eastAsia="zh-CN"/>
        </w:rPr>
      </w:pPr>
      <w:r>
        <w:rPr>
          <w:rFonts w:hint="eastAsia" w:ascii="Times New Roman" w:hAnsi="Times New Roman" w:eastAsia="黑体"/>
          <w:b/>
          <w:color w:val="auto"/>
          <w:sz w:val="24"/>
          <w:szCs w:val="24"/>
          <w:highlight w:val="none"/>
          <w:vertAlign w:val="baseline"/>
          <w:lang w:val="en-US" w:eastAsia="zh-CN"/>
        </w:rPr>
        <w:t>表五</w:t>
      </w:r>
    </w:p>
    <w:tbl>
      <w:tblPr>
        <w:tblStyle w:val="25"/>
        <w:tblW w:w="0" w:type="auto"/>
        <w:tblInd w:w="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28"/>
      </w:tblGrid>
      <w:tr w14:paraId="3BE0B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68" w:hRule="atLeast"/>
        </w:trPr>
        <w:tc>
          <w:tcPr>
            <w:tcW w:w="8328" w:type="dxa"/>
          </w:tcPr>
          <w:p w14:paraId="5DBA68A9">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b/>
                <w:bCs/>
                <w:color w:val="auto"/>
                <w:sz w:val="28"/>
                <w:highlight w:val="none"/>
                <w:vertAlign w:val="baseline"/>
                <w:lang w:val="en-US" w:eastAsia="zh-CN"/>
              </w:rPr>
            </w:pPr>
            <w:r>
              <w:rPr>
                <w:rFonts w:hint="default" w:ascii="Times New Roman" w:hAnsi="Times New Roman"/>
                <w:b/>
                <w:bCs/>
                <w:color w:val="auto"/>
                <w:sz w:val="28"/>
                <w:highlight w:val="none"/>
                <w:vertAlign w:val="baseline"/>
                <w:lang w:val="en-US" w:eastAsia="zh-CN"/>
              </w:rPr>
              <w:t>六、验收监测质量保证及质量控制：</w:t>
            </w:r>
          </w:p>
          <w:p w14:paraId="6096CAC2">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b/>
                <w:color w:val="auto"/>
                <w:sz w:val="24"/>
                <w:highlight w:val="none"/>
                <w:vertAlign w:val="baseline"/>
                <w:lang w:val="en-US" w:eastAsia="zh-CN"/>
              </w:rPr>
            </w:pPr>
            <w:r>
              <w:rPr>
                <w:rFonts w:hint="default" w:ascii="Times New Roman" w:hAnsi="Times New Roman"/>
                <w:b/>
                <w:color w:val="auto"/>
                <w:sz w:val="24"/>
                <w:highlight w:val="none"/>
                <w:vertAlign w:val="baseline"/>
                <w:lang w:val="en-US" w:eastAsia="zh-CN"/>
              </w:rPr>
              <w:t>1 监测分析方法及监测仪器</w:t>
            </w:r>
          </w:p>
          <w:p w14:paraId="3D334303">
            <w:pPr>
              <w:bidi w:val="0"/>
              <w:ind w:left="0" w:leftChars="0" w:firstLine="0" w:firstLineChars="0"/>
              <w:rPr>
                <w:rFonts w:hint="default"/>
                <w:b/>
                <w:bCs/>
                <w:lang w:val="en-US" w:eastAsia="zh-CN"/>
              </w:rPr>
            </w:pPr>
            <w:r>
              <w:rPr>
                <w:rFonts w:hint="eastAsia"/>
                <w:b/>
                <w:bCs/>
                <w:lang w:val="en-US" w:eastAsia="zh-CN"/>
              </w:rPr>
              <w:t>1.1废气</w:t>
            </w:r>
          </w:p>
          <w:p w14:paraId="0C4AC86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黑体" w:cs="Times New Roman"/>
                <w:kern w:val="2"/>
                <w:sz w:val="21"/>
                <w:szCs w:val="21"/>
                <w:highlight w:val="none"/>
                <w:lang w:val="en-US" w:eastAsia="zh-CN" w:bidi="ar-SA"/>
              </w:rPr>
            </w:pPr>
            <w:r>
              <w:rPr>
                <w:rFonts w:hint="eastAsia" w:ascii="Times New Roman" w:hAnsi="Times New Roman" w:eastAsia="黑体" w:cs="Times New Roman"/>
                <w:kern w:val="2"/>
                <w:sz w:val="21"/>
                <w:szCs w:val="21"/>
                <w:highlight w:val="none"/>
                <w:lang w:val="en-US" w:eastAsia="zh-CN" w:bidi="ar-SA"/>
              </w:rPr>
              <w:t xml:space="preserve">表5-1 </w:t>
            </w:r>
            <w:r>
              <w:rPr>
                <w:rFonts w:hint="eastAsia" w:eastAsia="黑体" w:cs="Times New Roman"/>
                <w:kern w:val="2"/>
                <w:sz w:val="21"/>
                <w:szCs w:val="21"/>
                <w:highlight w:val="none"/>
                <w:lang w:val="en-US" w:eastAsia="zh-CN" w:bidi="ar-SA"/>
              </w:rPr>
              <w:t>有组织废气</w:t>
            </w:r>
            <w:r>
              <w:rPr>
                <w:rFonts w:hint="eastAsia" w:ascii="Times New Roman" w:hAnsi="Times New Roman" w:eastAsia="黑体" w:cs="Times New Roman"/>
                <w:kern w:val="2"/>
                <w:sz w:val="21"/>
                <w:szCs w:val="21"/>
                <w:highlight w:val="none"/>
                <w:lang w:val="en-US" w:eastAsia="zh-CN" w:bidi="ar-SA"/>
              </w:rPr>
              <w:t>监测分析方法及仪器设备</w:t>
            </w:r>
          </w:p>
          <w:tbl>
            <w:tblPr>
              <w:tblStyle w:val="25"/>
              <w:tblW w:w="8112"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4"/>
              <w:gridCol w:w="3312"/>
              <w:gridCol w:w="2071"/>
              <w:gridCol w:w="1515"/>
            </w:tblGrid>
            <w:tr w14:paraId="0D9405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14" w:type="dxa"/>
                  <w:vAlign w:val="center"/>
                </w:tcPr>
                <w:p w14:paraId="6F53FB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项目</w:t>
                  </w:r>
                </w:p>
              </w:tc>
              <w:tc>
                <w:tcPr>
                  <w:tcW w:w="3312" w:type="dxa"/>
                  <w:vAlign w:val="center"/>
                </w:tcPr>
                <w:p w14:paraId="074E67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监测分析方法</w:t>
                  </w:r>
                </w:p>
              </w:tc>
              <w:tc>
                <w:tcPr>
                  <w:tcW w:w="2071" w:type="dxa"/>
                  <w:vAlign w:val="center"/>
                </w:tcPr>
                <w:p w14:paraId="75DAD6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仪器名称、型号</w:t>
                  </w:r>
                </w:p>
              </w:tc>
              <w:tc>
                <w:tcPr>
                  <w:tcW w:w="1515" w:type="dxa"/>
                  <w:vAlign w:val="center"/>
                </w:tcPr>
                <w:p w14:paraId="167A52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检出限</w:t>
                  </w:r>
                </w:p>
              </w:tc>
            </w:tr>
            <w:tr w14:paraId="04653B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14" w:type="dxa"/>
                  <w:vAlign w:val="center"/>
                </w:tcPr>
                <w:p w14:paraId="5828B8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非甲烷总烃</w:t>
                  </w:r>
                </w:p>
              </w:tc>
              <w:tc>
                <w:tcPr>
                  <w:tcW w:w="3312" w:type="dxa"/>
                  <w:vAlign w:val="center"/>
                </w:tcPr>
                <w:p w14:paraId="20D563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固定污染源废气</w:t>
                  </w:r>
                </w:p>
                <w:p w14:paraId="3EAA8C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总烃、甲烷和非甲烷总烃的测定</w:t>
                  </w:r>
                </w:p>
                <w:p w14:paraId="2D0C5B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气相色谱法 HJ 38-2017</w:t>
                  </w:r>
                </w:p>
              </w:tc>
              <w:tc>
                <w:tcPr>
                  <w:tcW w:w="2071" w:type="dxa"/>
                  <w:vAlign w:val="center"/>
                </w:tcPr>
                <w:p w14:paraId="2FEFBD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气相色谱仪</w:t>
                  </w:r>
                </w:p>
                <w:p w14:paraId="62DA52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GC-2014C</w:t>
                  </w:r>
                </w:p>
              </w:tc>
              <w:tc>
                <w:tcPr>
                  <w:tcW w:w="1515" w:type="dxa"/>
                  <w:vAlign w:val="center"/>
                </w:tcPr>
                <w:p w14:paraId="2BBF53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0.07mg/m3</w:t>
                  </w:r>
                </w:p>
              </w:tc>
            </w:tr>
            <w:tr w14:paraId="456BEC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14" w:type="dxa"/>
                  <w:vAlign w:val="center"/>
                </w:tcPr>
                <w:p w14:paraId="77BD73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颗粒物</w:t>
                  </w:r>
                </w:p>
              </w:tc>
              <w:tc>
                <w:tcPr>
                  <w:tcW w:w="3312" w:type="dxa"/>
                  <w:vAlign w:val="center"/>
                </w:tcPr>
                <w:p w14:paraId="52B7F9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固定污染源废气 低浓度颗粒物的测定</w:t>
                  </w:r>
                </w:p>
                <w:p w14:paraId="4E4167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重量法 HJ 836-2017</w:t>
                  </w:r>
                </w:p>
              </w:tc>
              <w:tc>
                <w:tcPr>
                  <w:tcW w:w="2071" w:type="dxa"/>
                  <w:vAlign w:val="center"/>
                </w:tcPr>
                <w:p w14:paraId="2A5F80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电子天平ESJ182-4</w:t>
                  </w:r>
                </w:p>
                <w:p w14:paraId="47D52B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烟气烟尘颗粒物浓度测试仪MH-3300</w:t>
                  </w:r>
                </w:p>
              </w:tc>
              <w:tc>
                <w:tcPr>
                  <w:tcW w:w="1515" w:type="dxa"/>
                  <w:vAlign w:val="center"/>
                </w:tcPr>
                <w:p w14:paraId="01DBD9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1.0mg/m3</w:t>
                  </w:r>
                </w:p>
              </w:tc>
            </w:tr>
            <w:tr w14:paraId="401DC3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14" w:type="dxa"/>
                  <w:vAlign w:val="center"/>
                </w:tcPr>
                <w:p w14:paraId="269990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苯乙烯</w:t>
                  </w:r>
                </w:p>
              </w:tc>
              <w:tc>
                <w:tcPr>
                  <w:tcW w:w="3312" w:type="dxa"/>
                  <w:vAlign w:val="center"/>
                </w:tcPr>
                <w:p w14:paraId="11E283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环境空气 苯系物的测定 活性炭吸附/二硫化碳解吸-气相色谱法 HJ 584-2010</w:t>
                  </w:r>
                </w:p>
              </w:tc>
              <w:tc>
                <w:tcPr>
                  <w:tcW w:w="2071" w:type="dxa"/>
                  <w:vAlign w:val="center"/>
                </w:tcPr>
                <w:p w14:paraId="7B631B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气相色谱仪</w:t>
                  </w:r>
                </w:p>
                <w:p w14:paraId="6239BC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GC-2014C</w:t>
                  </w:r>
                </w:p>
              </w:tc>
              <w:tc>
                <w:tcPr>
                  <w:tcW w:w="1515" w:type="dxa"/>
                  <w:vAlign w:val="center"/>
                </w:tcPr>
                <w:p w14:paraId="646B6A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1.5</w:t>
                  </w:r>
                  <w:r>
                    <w:rPr>
                      <w:rFonts w:hint="default" w:ascii="Times New Roman" w:hAnsi="Times New Roman" w:eastAsia="宋体" w:cs="Times New Roman"/>
                      <w:sz w:val="21"/>
                      <w:szCs w:val="21"/>
                      <w:vertAlign w:val="baseline"/>
                      <w:lang w:val="en-US" w:eastAsia="zh-CN"/>
                    </w:rPr>
                    <w:t>×</w:t>
                  </w:r>
                  <w:r>
                    <w:rPr>
                      <w:rFonts w:hint="eastAsia" w:ascii="Times New Roman" w:hAnsi="Times New Roman" w:eastAsia="宋体" w:cs="Times New Roman"/>
                      <w:sz w:val="21"/>
                      <w:szCs w:val="21"/>
                      <w:vertAlign w:val="baseline"/>
                      <w:lang w:val="en-US" w:eastAsia="zh-CN"/>
                    </w:rPr>
                    <w:t>10</w:t>
                  </w:r>
                  <w:r>
                    <w:rPr>
                      <w:rFonts w:hint="eastAsia" w:ascii="Times New Roman" w:hAnsi="Times New Roman" w:eastAsia="宋体" w:cs="Times New Roman"/>
                      <w:sz w:val="21"/>
                      <w:szCs w:val="21"/>
                      <w:vertAlign w:val="superscript"/>
                      <w:lang w:val="en-US" w:eastAsia="zh-CN"/>
                    </w:rPr>
                    <w:t>-3</w:t>
                  </w:r>
                  <w:r>
                    <w:rPr>
                      <w:rFonts w:hint="eastAsia" w:ascii="Times New Roman" w:hAnsi="Times New Roman" w:eastAsia="宋体" w:cs="Times New Roman"/>
                      <w:sz w:val="21"/>
                      <w:szCs w:val="21"/>
                      <w:vertAlign w:val="baseline"/>
                      <w:lang w:val="en-US" w:eastAsia="zh-CN"/>
                    </w:rPr>
                    <w:t>mg/m</w:t>
                  </w:r>
                  <w:r>
                    <w:rPr>
                      <w:rFonts w:hint="eastAsia" w:ascii="Times New Roman" w:hAnsi="Times New Roman" w:eastAsia="宋体" w:cs="Times New Roman"/>
                      <w:sz w:val="21"/>
                      <w:szCs w:val="21"/>
                      <w:vertAlign w:val="superscript"/>
                      <w:lang w:val="en-US" w:eastAsia="zh-CN"/>
                    </w:rPr>
                    <w:t>3</w:t>
                  </w:r>
                </w:p>
              </w:tc>
            </w:tr>
            <w:tr w14:paraId="771205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14" w:type="dxa"/>
                  <w:vAlign w:val="center"/>
                </w:tcPr>
                <w:p w14:paraId="522FB6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甲苯</w:t>
                  </w:r>
                </w:p>
              </w:tc>
              <w:tc>
                <w:tcPr>
                  <w:tcW w:w="3312" w:type="dxa"/>
                  <w:vAlign w:val="center"/>
                </w:tcPr>
                <w:p w14:paraId="009C42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环境空气 苯系物的测定 活性炭吸附/二硫化碳解吸-气相色谱法 HJ 584-2010</w:t>
                  </w:r>
                </w:p>
              </w:tc>
              <w:tc>
                <w:tcPr>
                  <w:tcW w:w="2071" w:type="dxa"/>
                  <w:vAlign w:val="center"/>
                </w:tcPr>
                <w:p w14:paraId="647BA5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气相色谱仪</w:t>
                  </w:r>
                </w:p>
                <w:p w14:paraId="1BCA8D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GC-2014C</w:t>
                  </w:r>
                </w:p>
              </w:tc>
              <w:tc>
                <w:tcPr>
                  <w:tcW w:w="1515" w:type="dxa"/>
                  <w:vAlign w:val="center"/>
                </w:tcPr>
                <w:p w14:paraId="0C5333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1.5</w:t>
                  </w:r>
                  <w:r>
                    <w:rPr>
                      <w:rFonts w:hint="default" w:ascii="Times New Roman" w:hAnsi="Times New Roman" w:eastAsia="宋体" w:cs="Times New Roman"/>
                      <w:sz w:val="21"/>
                      <w:szCs w:val="21"/>
                      <w:vertAlign w:val="baseline"/>
                      <w:lang w:val="en-US" w:eastAsia="zh-CN"/>
                    </w:rPr>
                    <w:t>×</w:t>
                  </w:r>
                  <w:r>
                    <w:rPr>
                      <w:rFonts w:hint="eastAsia" w:ascii="Times New Roman" w:hAnsi="Times New Roman" w:eastAsia="宋体" w:cs="Times New Roman"/>
                      <w:sz w:val="21"/>
                      <w:szCs w:val="21"/>
                      <w:vertAlign w:val="baseline"/>
                      <w:lang w:val="en-US" w:eastAsia="zh-CN"/>
                    </w:rPr>
                    <w:t>10</w:t>
                  </w:r>
                  <w:r>
                    <w:rPr>
                      <w:rFonts w:hint="eastAsia" w:ascii="Times New Roman" w:hAnsi="Times New Roman" w:eastAsia="宋体" w:cs="Times New Roman"/>
                      <w:sz w:val="21"/>
                      <w:szCs w:val="21"/>
                      <w:vertAlign w:val="superscript"/>
                      <w:lang w:val="en-US" w:eastAsia="zh-CN"/>
                    </w:rPr>
                    <w:t>-3</w:t>
                  </w:r>
                  <w:r>
                    <w:rPr>
                      <w:rFonts w:hint="eastAsia" w:ascii="Times New Roman" w:hAnsi="Times New Roman" w:eastAsia="宋体" w:cs="Times New Roman"/>
                      <w:sz w:val="21"/>
                      <w:szCs w:val="21"/>
                      <w:vertAlign w:val="baseline"/>
                      <w:lang w:val="en-US" w:eastAsia="zh-CN"/>
                    </w:rPr>
                    <w:t>mg/m</w:t>
                  </w:r>
                  <w:r>
                    <w:rPr>
                      <w:rFonts w:hint="eastAsia" w:ascii="Times New Roman" w:hAnsi="Times New Roman" w:eastAsia="宋体" w:cs="Times New Roman"/>
                      <w:sz w:val="21"/>
                      <w:szCs w:val="21"/>
                      <w:vertAlign w:val="superscript"/>
                      <w:lang w:val="en-US" w:eastAsia="zh-CN"/>
                    </w:rPr>
                    <w:t>3</w:t>
                  </w:r>
                </w:p>
              </w:tc>
            </w:tr>
            <w:tr w14:paraId="76860E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14" w:type="dxa"/>
                  <w:vAlign w:val="center"/>
                </w:tcPr>
                <w:p w14:paraId="199695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乙苯</w:t>
                  </w:r>
                </w:p>
              </w:tc>
              <w:tc>
                <w:tcPr>
                  <w:tcW w:w="3312" w:type="dxa"/>
                  <w:vAlign w:val="center"/>
                </w:tcPr>
                <w:p w14:paraId="552C9C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环境空气 苯系物的测定 活性炭吸附/二硫化碳解吸-气相色谱法 HJ 584-2010</w:t>
                  </w:r>
                </w:p>
              </w:tc>
              <w:tc>
                <w:tcPr>
                  <w:tcW w:w="2071" w:type="dxa"/>
                  <w:vAlign w:val="center"/>
                </w:tcPr>
                <w:p w14:paraId="555160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气相色谱仪</w:t>
                  </w:r>
                </w:p>
                <w:p w14:paraId="4BDE82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GC-2014C</w:t>
                  </w:r>
                </w:p>
              </w:tc>
              <w:tc>
                <w:tcPr>
                  <w:tcW w:w="1515" w:type="dxa"/>
                  <w:vAlign w:val="center"/>
                </w:tcPr>
                <w:p w14:paraId="040532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1.5</w:t>
                  </w:r>
                  <w:r>
                    <w:rPr>
                      <w:rFonts w:hint="default" w:ascii="Times New Roman" w:hAnsi="Times New Roman" w:eastAsia="宋体" w:cs="Times New Roman"/>
                      <w:sz w:val="21"/>
                      <w:szCs w:val="21"/>
                      <w:vertAlign w:val="baseline"/>
                      <w:lang w:val="en-US" w:eastAsia="zh-CN"/>
                    </w:rPr>
                    <w:t>×</w:t>
                  </w:r>
                  <w:r>
                    <w:rPr>
                      <w:rFonts w:hint="eastAsia" w:ascii="Times New Roman" w:hAnsi="Times New Roman" w:eastAsia="宋体" w:cs="Times New Roman"/>
                      <w:sz w:val="21"/>
                      <w:szCs w:val="21"/>
                      <w:vertAlign w:val="baseline"/>
                      <w:lang w:val="en-US" w:eastAsia="zh-CN"/>
                    </w:rPr>
                    <w:t>10</w:t>
                  </w:r>
                  <w:r>
                    <w:rPr>
                      <w:rFonts w:hint="eastAsia" w:ascii="Times New Roman" w:hAnsi="Times New Roman" w:eastAsia="宋体" w:cs="Times New Roman"/>
                      <w:sz w:val="21"/>
                      <w:szCs w:val="21"/>
                      <w:vertAlign w:val="superscript"/>
                      <w:lang w:val="en-US" w:eastAsia="zh-CN"/>
                    </w:rPr>
                    <w:t>-3</w:t>
                  </w:r>
                  <w:r>
                    <w:rPr>
                      <w:rFonts w:hint="eastAsia" w:ascii="Times New Roman" w:hAnsi="Times New Roman" w:eastAsia="宋体" w:cs="Times New Roman"/>
                      <w:sz w:val="21"/>
                      <w:szCs w:val="21"/>
                      <w:vertAlign w:val="baseline"/>
                      <w:lang w:val="en-US" w:eastAsia="zh-CN"/>
                    </w:rPr>
                    <w:t>mg/m</w:t>
                  </w:r>
                  <w:r>
                    <w:rPr>
                      <w:rFonts w:hint="eastAsia" w:ascii="Times New Roman" w:hAnsi="Times New Roman" w:eastAsia="宋体" w:cs="Times New Roman"/>
                      <w:sz w:val="21"/>
                      <w:szCs w:val="21"/>
                      <w:vertAlign w:val="superscript"/>
                      <w:lang w:val="en-US" w:eastAsia="zh-CN"/>
                    </w:rPr>
                    <w:t>3</w:t>
                  </w:r>
                </w:p>
              </w:tc>
            </w:tr>
          </w:tbl>
          <w:p w14:paraId="5929276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黑体" w:cs="Times New Roman"/>
                <w:kern w:val="2"/>
                <w:sz w:val="21"/>
                <w:szCs w:val="21"/>
                <w:highlight w:val="none"/>
                <w:lang w:val="en-US" w:eastAsia="zh-CN" w:bidi="ar-SA"/>
              </w:rPr>
            </w:pPr>
            <w:r>
              <w:rPr>
                <w:rFonts w:hint="eastAsia" w:ascii="Times New Roman" w:hAnsi="Times New Roman" w:eastAsia="黑体" w:cs="Times New Roman"/>
                <w:kern w:val="2"/>
                <w:sz w:val="21"/>
                <w:szCs w:val="21"/>
                <w:highlight w:val="none"/>
                <w:lang w:val="en-US" w:eastAsia="zh-CN" w:bidi="ar-SA"/>
              </w:rPr>
              <w:t>表5-</w:t>
            </w:r>
            <w:r>
              <w:rPr>
                <w:rFonts w:hint="eastAsia" w:eastAsia="黑体" w:cs="Times New Roman"/>
                <w:kern w:val="2"/>
                <w:sz w:val="21"/>
                <w:szCs w:val="21"/>
                <w:highlight w:val="none"/>
                <w:lang w:val="en-US" w:eastAsia="zh-CN" w:bidi="ar-SA"/>
              </w:rPr>
              <w:t>2</w:t>
            </w:r>
            <w:r>
              <w:rPr>
                <w:rFonts w:hint="eastAsia" w:ascii="Times New Roman" w:hAnsi="Times New Roman" w:eastAsia="黑体" w:cs="Times New Roman"/>
                <w:kern w:val="2"/>
                <w:sz w:val="21"/>
                <w:szCs w:val="21"/>
                <w:highlight w:val="none"/>
                <w:lang w:val="en-US" w:eastAsia="zh-CN" w:bidi="ar-SA"/>
              </w:rPr>
              <w:t xml:space="preserve"> </w:t>
            </w:r>
            <w:r>
              <w:rPr>
                <w:rFonts w:hint="eastAsia" w:eastAsia="黑体" w:cs="Times New Roman"/>
                <w:kern w:val="2"/>
                <w:sz w:val="21"/>
                <w:szCs w:val="21"/>
                <w:highlight w:val="none"/>
                <w:lang w:val="en-US" w:eastAsia="zh-CN" w:bidi="ar-SA"/>
              </w:rPr>
              <w:t>无组织废气</w:t>
            </w:r>
            <w:r>
              <w:rPr>
                <w:rFonts w:hint="eastAsia" w:ascii="Times New Roman" w:hAnsi="Times New Roman" w:eastAsia="黑体" w:cs="Times New Roman"/>
                <w:kern w:val="2"/>
                <w:sz w:val="21"/>
                <w:szCs w:val="21"/>
                <w:highlight w:val="none"/>
                <w:lang w:val="en-US" w:eastAsia="zh-CN" w:bidi="ar-SA"/>
              </w:rPr>
              <w:t>监测分析方法及仪器设备</w:t>
            </w:r>
          </w:p>
          <w:tbl>
            <w:tblPr>
              <w:tblStyle w:val="25"/>
              <w:tblW w:w="8112"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28"/>
              <w:gridCol w:w="2494"/>
              <w:gridCol w:w="2125"/>
              <w:gridCol w:w="1465"/>
            </w:tblGrid>
            <w:tr w14:paraId="263E8A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28" w:type="dxa"/>
                  <w:vAlign w:val="center"/>
                </w:tcPr>
                <w:p w14:paraId="45A091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项目</w:t>
                  </w:r>
                </w:p>
              </w:tc>
              <w:tc>
                <w:tcPr>
                  <w:tcW w:w="2494" w:type="dxa"/>
                  <w:vAlign w:val="center"/>
                </w:tcPr>
                <w:p w14:paraId="4C3A8C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监测分析方法</w:t>
                  </w:r>
                </w:p>
              </w:tc>
              <w:tc>
                <w:tcPr>
                  <w:tcW w:w="2125" w:type="dxa"/>
                  <w:vAlign w:val="center"/>
                </w:tcPr>
                <w:p w14:paraId="727995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仪器名称、型号</w:t>
                  </w:r>
                </w:p>
              </w:tc>
              <w:tc>
                <w:tcPr>
                  <w:tcW w:w="1465" w:type="dxa"/>
                  <w:vAlign w:val="center"/>
                </w:tcPr>
                <w:p w14:paraId="2D25BE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检出限</w:t>
                  </w:r>
                </w:p>
              </w:tc>
            </w:tr>
            <w:tr w14:paraId="54291D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28" w:type="dxa"/>
                  <w:vAlign w:val="center"/>
                </w:tcPr>
                <w:p w14:paraId="1DE208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非甲烷总烃</w:t>
                  </w:r>
                </w:p>
              </w:tc>
              <w:tc>
                <w:tcPr>
                  <w:tcW w:w="2494" w:type="dxa"/>
                  <w:vAlign w:val="center"/>
                </w:tcPr>
                <w:p w14:paraId="3EB308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环境空气 总烃、甲烷和非甲烷总烃的测定</w:t>
                  </w:r>
                </w:p>
                <w:p w14:paraId="2C88A5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直接进样-气相色谱法 HJ 604-2017</w:t>
                  </w:r>
                </w:p>
              </w:tc>
              <w:tc>
                <w:tcPr>
                  <w:tcW w:w="2125" w:type="dxa"/>
                  <w:vAlign w:val="center"/>
                </w:tcPr>
                <w:p w14:paraId="07B67F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气相色谱仪</w:t>
                  </w:r>
                </w:p>
                <w:p w14:paraId="799648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GC-2014C</w:t>
                  </w:r>
                </w:p>
              </w:tc>
              <w:tc>
                <w:tcPr>
                  <w:tcW w:w="1465" w:type="dxa"/>
                  <w:vAlign w:val="center"/>
                </w:tcPr>
                <w:p w14:paraId="711F76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0.07mg/m3</w:t>
                  </w:r>
                </w:p>
              </w:tc>
            </w:tr>
            <w:tr w14:paraId="3A5F97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28" w:type="dxa"/>
                  <w:vAlign w:val="center"/>
                </w:tcPr>
                <w:p w14:paraId="053547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颗粒物</w:t>
                  </w:r>
                </w:p>
              </w:tc>
              <w:tc>
                <w:tcPr>
                  <w:tcW w:w="2494" w:type="dxa"/>
                  <w:vAlign w:val="center"/>
                </w:tcPr>
                <w:p w14:paraId="73AA6F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环境空气总悬浮颗粒物的测定 重量法</w:t>
                  </w:r>
                </w:p>
                <w:p w14:paraId="37EEDD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HJ 1263-2022</w:t>
                  </w:r>
                </w:p>
              </w:tc>
              <w:tc>
                <w:tcPr>
                  <w:tcW w:w="2125" w:type="dxa"/>
                  <w:vAlign w:val="center"/>
                </w:tcPr>
                <w:p w14:paraId="27E4CB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电子天平 ESJ 182-4</w:t>
                  </w:r>
                </w:p>
                <w:p w14:paraId="6961F2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恒温恒流大气采样器</w:t>
                  </w:r>
                </w:p>
                <w:p w14:paraId="62F5FE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MH-1205 型</w:t>
                  </w:r>
                </w:p>
              </w:tc>
              <w:tc>
                <w:tcPr>
                  <w:tcW w:w="1465" w:type="dxa"/>
                  <w:vAlign w:val="center"/>
                </w:tcPr>
                <w:p w14:paraId="4BA14F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w:t>
                  </w:r>
                  <w:r>
                    <w:rPr>
                      <w:rFonts w:hint="eastAsia" w:cs="Times New Roman"/>
                      <w:sz w:val="21"/>
                      <w:szCs w:val="21"/>
                      <w:vertAlign w:val="baseline"/>
                      <w:lang w:val="en-US" w:eastAsia="zh-CN"/>
                    </w:rPr>
                    <w:t>0</w:t>
                  </w:r>
                  <w:r>
                    <w:rPr>
                      <w:rFonts w:hint="eastAsia" w:ascii="Times New Roman" w:hAnsi="Times New Roman" w:eastAsia="宋体" w:cs="Times New Roman"/>
                      <w:sz w:val="21"/>
                      <w:szCs w:val="21"/>
                      <w:vertAlign w:val="baseline"/>
                      <w:lang w:val="en-US" w:eastAsia="zh-CN"/>
                    </w:rPr>
                    <w:t>7mg/m3</w:t>
                  </w:r>
                </w:p>
              </w:tc>
            </w:tr>
          </w:tbl>
          <w:p w14:paraId="219FB69B">
            <w:pPr>
              <w:bidi w:val="0"/>
              <w:ind w:left="0" w:leftChars="0" w:firstLine="0" w:firstLineChars="0"/>
              <w:rPr>
                <w:rFonts w:hint="eastAsia"/>
                <w:b/>
                <w:bCs/>
                <w:lang w:val="en-US" w:eastAsia="zh-CN"/>
              </w:rPr>
            </w:pPr>
            <w:r>
              <w:rPr>
                <w:rFonts w:hint="eastAsia"/>
                <w:b/>
                <w:bCs/>
                <w:lang w:val="en-US" w:eastAsia="zh-CN"/>
              </w:rPr>
              <w:t>1.2噪声</w:t>
            </w:r>
          </w:p>
          <w:p w14:paraId="03A0B02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lang w:val="en-US" w:eastAsia="zh-CN"/>
              </w:rPr>
            </w:pPr>
            <w:r>
              <w:rPr>
                <w:rFonts w:hint="eastAsia" w:ascii="Times New Roman" w:hAnsi="Times New Roman" w:eastAsia="黑体" w:cs="Times New Roman"/>
                <w:kern w:val="2"/>
                <w:sz w:val="21"/>
                <w:szCs w:val="21"/>
                <w:highlight w:val="none"/>
                <w:lang w:val="en-US" w:eastAsia="zh-CN" w:bidi="ar-SA"/>
              </w:rPr>
              <w:t>表5-</w:t>
            </w:r>
            <w:r>
              <w:rPr>
                <w:rFonts w:hint="eastAsia" w:eastAsia="黑体" w:cs="Times New Roman"/>
                <w:kern w:val="2"/>
                <w:sz w:val="21"/>
                <w:szCs w:val="21"/>
                <w:highlight w:val="none"/>
                <w:lang w:val="en-US" w:eastAsia="zh-CN" w:bidi="ar-SA"/>
              </w:rPr>
              <w:t>3 噪声</w:t>
            </w:r>
            <w:r>
              <w:rPr>
                <w:rFonts w:hint="eastAsia" w:ascii="Times New Roman" w:hAnsi="Times New Roman" w:eastAsia="黑体" w:cs="Times New Roman"/>
                <w:kern w:val="2"/>
                <w:sz w:val="21"/>
                <w:szCs w:val="21"/>
                <w:highlight w:val="none"/>
                <w:lang w:val="en-US" w:eastAsia="zh-CN" w:bidi="ar-SA"/>
              </w:rPr>
              <w:t>监测</w:t>
            </w:r>
            <w:r>
              <w:rPr>
                <w:rFonts w:hint="eastAsia" w:eastAsia="黑体" w:cs="Times New Roman"/>
                <w:kern w:val="2"/>
                <w:sz w:val="21"/>
                <w:szCs w:val="21"/>
                <w:highlight w:val="none"/>
                <w:lang w:val="en-US" w:eastAsia="zh-CN" w:bidi="ar-SA"/>
              </w:rPr>
              <w:t>使用仪器设备</w:t>
            </w:r>
          </w:p>
          <w:tbl>
            <w:tblPr>
              <w:tblStyle w:val="25"/>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28"/>
              <w:gridCol w:w="2028"/>
              <w:gridCol w:w="2028"/>
              <w:gridCol w:w="2028"/>
            </w:tblGrid>
            <w:tr w14:paraId="5985F9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28" w:type="dxa"/>
                </w:tcPr>
                <w:p w14:paraId="0FAD19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仪器名称</w:t>
                  </w:r>
                </w:p>
              </w:tc>
              <w:tc>
                <w:tcPr>
                  <w:tcW w:w="2028" w:type="dxa"/>
                </w:tcPr>
                <w:p w14:paraId="50F96A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型号</w:t>
                  </w:r>
                </w:p>
              </w:tc>
              <w:tc>
                <w:tcPr>
                  <w:tcW w:w="2028" w:type="dxa"/>
                </w:tcPr>
                <w:p w14:paraId="024772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参数范围</w:t>
                  </w:r>
                </w:p>
              </w:tc>
              <w:tc>
                <w:tcPr>
                  <w:tcW w:w="2028" w:type="dxa"/>
                </w:tcPr>
                <w:p w14:paraId="506B58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精度</w:t>
                  </w:r>
                </w:p>
              </w:tc>
            </w:tr>
            <w:tr w14:paraId="564ACF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28" w:type="dxa"/>
                </w:tcPr>
                <w:p w14:paraId="3B8E39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多功能声级计</w:t>
                  </w:r>
                </w:p>
              </w:tc>
              <w:tc>
                <w:tcPr>
                  <w:tcW w:w="2028" w:type="dxa"/>
                </w:tcPr>
                <w:p w14:paraId="6CE34D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AWA6228+型</w:t>
                  </w:r>
                </w:p>
              </w:tc>
              <w:tc>
                <w:tcPr>
                  <w:tcW w:w="2028" w:type="dxa"/>
                </w:tcPr>
                <w:p w14:paraId="741BD4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（20～132）dB (A)</w:t>
                  </w:r>
                </w:p>
              </w:tc>
              <w:tc>
                <w:tcPr>
                  <w:tcW w:w="2028" w:type="dxa"/>
                </w:tcPr>
                <w:p w14:paraId="250A88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±0.1dB</w:t>
                  </w:r>
                </w:p>
              </w:tc>
            </w:tr>
            <w:tr w14:paraId="083344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28" w:type="dxa"/>
                </w:tcPr>
                <w:p w14:paraId="20657D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声校准器</w:t>
                  </w:r>
                </w:p>
              </w:tc>
              <w:tc>
                <w:tcPr>
                  <w:tcW w:w="2028" w:type="dxa"/>
                </w:tcPr>
                <w:p w14:paraId="3F061A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AWA6221B 型</w:t>
                  </w:r>
                </w:p>
              </w:tc>
              <w:tc>
                <w:tcPr>
                  <w:tcW w:w="2028" w:type="dxa"/>
                </w:tcPr>
                <w:p w14:paraId="45805B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94 dB (A)</w:t>
                  </w:r>
                </w:p>
              </w:tc>
              <w:tc>
                <w:tcPr>
                  <w:tcW w:w="2028" w:type="dxa"/>
                </w:tcPr>
                <w:p w14:paraId="647141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r>
          </w:tbl>
          <w:p w14:paraId="051946BE">
            <w:pPr>
              <w:bidi w:val="0"/>
              <w:ind w:left="0" w:leftChars="0" w:firstLine="0" w:firstLineChars="0"/>
              <w:rPr>
                <w:rFonts w:hint="default"/>
                <w:lang w:val="en-US" w:eastAsia="zh-CN"/>
              </w:rPr>
            </w:pPr>
          </w:p>
          <w:p w14:paraId="32659726">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b/>
                <w:color w:val="auto"/>
                <w:sz w:val="24"/>
                <w:highlight w:val="none"/>
                <w:vertAlign w:val="baseline"/>
                <w:lang w:val="en-US" w:eastAsia="zh-CN"/>
              </w:rPr>
            </w:pPr>
            <w:r>
              <w:rPr>
                <w:rFonts w:hint="default" w:ascii="Times New Roman" w:hAnsi="Times New Roman"/>
                <w:b/>
                <w:color w:val="auto"/>
                <w:sz w:val="24"/>
                <w:highlight w:val="none"/>
                <w:vertAlign w:val="baseline"/>
                <w:lang w:val="en-US" w:eastAsia="zh-CN"/>
              </w:rPr>
              <w:t>2 质量保证和质量控制措施</w:t>
            </w:r>
          </w:p>
          <w:p w14:paraId="670B2F0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本次验收监测采取严格遵守国家监测分析方法和技术规范、仪器校准、人员持证上岗、测试加标密码样和平行样、数据三级审核等全过程质量控制。</w:t>
            </w:r>
          </w:p>
          <w:p w14:paraId="1A78FA91">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b/>
                <w:color w:val="auto"/>
                <w:sz w:val="24"/>
                <w:highlight w:val="none"/>
                <w:vertAlign w:val="baseline"/>
                <w:lang w:val="en-US" w:eastAsia="zh-CN"/>
              </w:rPr>
            </w:pPr>
            <w:r>
              <w:rPr>
                <w:rFonts w:hint="default" w:ascii="Times New Roman" w:hAnsi="Times New Roman"/>
                <w:b/>
                <w:color w:val="auto"/>
                <w:sz w:val="24"/>
                <w:highlight w:val="none"/>
                <w:vertAlign w:val="baseline"/>
                <w:lang w:val="en-US" w:eastAsia="zh-CN"/>
              </w:rPr>
              <w:t>2.1 废气监测质量保证措施</w:t>
            </w:r>
          </w:p>
          <w:p w14:paraId="2B0F676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（1）监测前质控措施</w:t>
            </w:r>
          </w:p>
          <w:p w14:paraId="5DD3B4D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废气监测的质量保证按照国家环保局发布的《环境监测技术规范》要求进行全过程质量控制。监测仪器经计量部门检验并在有效期内使用，监测人员持证上岗，监测数据经三级审核。</w:t>
            </w:r>
          </w:p>
          <w:p w14:paraId="381816F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①现场监测前，制定现场监测质控方案，并由质控室派专人进行现场质控。</w:t>
            </w:r>
          </w:p>
          <w:p w14:paraId="2424691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②</w:t>
            </w:r>
            <w:r>
              <w:rPr>
                <w:rFonts w:hint="eastAsia" w:ascii="Times New Roman" w:hAnsi="Times New Roman" w:eastAsia="宋体" w:cs="Times New Roman"/>
                <w:bCs/>
                <w:color w:val="auto"/>
                <w:kern w:val="2"/>
                <w:sz w:val="24"/>
                <w:szCs w:val="24"/>
                <w:highlight w:val="none"/>
                <w:lang w:val="en-US" w:eastAsia="zh-CN" w:bidi="ar-SA"/>
              </w:rPr>
              <w:t>大气</w:t>
            </w:r>
            <w:r>
              <w:rPr>
                <w:rFonts w:hint="default" w:ascii="Times New Roman" w:hAnsi="Times New Roman" w:eastAsia="宋体" w:cs="Times New Roman"/>
                <w:bCs/>
                <w:color w:val="auto"/>
                <w:kern w:val="2"/>
                <w:sz w:val="24"/>
                <w:szCs w:val="24"/>
                <w:highlight w:val="none"/>
                <w:lang w:val="en-US" w:eastAsia="zh-CN" w:bidi="ar-SA"/>
              </w:rPr>
              <w:t>采样器、</w:t>
            </w:r>
            <w:r>
              <w:rPr>
                <w:rFonts w:hint="eastAsia" w:ascii="Times New Roman" w:hAnsi="Times New Roman" w:eastAsia="宋体" w:cs="Times New Roman"/>
                <w:bCs/>
                <w:color w:val="auto"/>
                <w:kern w:val="2"/>
                <w:sz w:val="24"/>
                <w:szCs w:val="24"/>
                <w:highlight w:val="none"/>
                <w:lang w:val="en-US" w:eastAsia="zh-CN" w:bidi="ar-SA"/>
              </w:rPr>
              <w:t>大气</w:t>
            </w:r>
            <w:r>
              <w:rPr>
                <w:rFonts w:hint="default" w:ascii="Times New Roman" w:hAnsi="Times New Roman" w:eastAsia="宋体" w:cs="Times New Roman"/>
                <w:bCs/>
                <w:color w:val="auto"/>
                <w:kern w:val="2"/>
                <w:sz w:val="24"/>
                <w:szCs w:val="24"/>
                <w:highlight w:val="none"/>
                <w:lang w:val="en-US" w:eastAsia="zh-CN" w:bidi="ar-SA"/>
              </w:rPr>
              <w:t>分析仪、噪声仪，具有现场测试数据打印功能。</w:t>
            </w:r>
          </w:p>
          <w:p w14:paraId="7E80373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③</w:t>
            </w:r>
            <w:r>
              <w:rPr>
                <w:rFonts w:hint="eastAsia" w:ascii="Times New Roman" w:hAnsi="Times New Roman" w:eastAsia="宋体" w:cs="Times New Roman"/>
                <w:bCs/>
                <w:color w:val="auto"/>
                <w:kern w:val="2"/>
                <w:sz w:val="24"/>
                <w:szCs w:val="24"/>
                <w:highlight w:val="none"/>
                <w:lang w:val="en-US" w:eastAsia="zh-CN" w:bidi="ar-SA"/>
              </w:rPr>
              <w:t>大气</w:t>
            </w:r>
            <w:r>
              <w:rPr>
                <w:rFonts w:hint="default" w:ascii="Times New Roman" w:hAnsi="Times New Roman" w:eastAsia="宋体" w:cs="Times New Roman"/>
                <w:bCs/>
                <w:color w:val="auto"/>
                <w:kern w:val="2"/>
                <w:sz w:val="24"/>
                <w:szCs w:val="24"/>
                <w:highlight w:val="none"/>
                <w:lang w:val="en-US" w:eastAsia="zh-CN" w:bidi="ar-SA"/>
              </w:rPr>
              <w:t>采样仪在进入现场前应对采样仪流量计、流速计等进行校核。</w:t>
            </w:r>
            <w:r>
              <w:rPr>
                <w:rFonts w:hint="eastAsia" w:ascii="Times New Roman" w:hAnsi="Times New Roman" w:eastAsia="宋体" w:cs="Times New Roman"/>
                <w:bCs/>
                <w:color w:val="auto"/>
                <w:kern w:val="2"/>
                <w:sz w:val="24"/>
                <w:szCs w:val="24"/>
                <w:highlight w:val="none"/>
                <w:lang w:val="en-US" w:eastAsia="zh-CN" w:bidi="ar-SA"/>
              </w:rPr>
              <w:t>大气</w:t>
            </w:r>
            <w:r>
              <w:rPr>
                <w:rFonts w:hint="default" w:ascii="Times New Roman" w:hAnsi="Times New Roman" w:eastAsia="宋体" w:cs="Times New Roman"/>
                <w:bCs/>
                <w:color w:val="auto"/>
                <w:kern w:val="2"/>
                <w:sz w:val="24"/>
                <w:szCs w:val="24"/>
                <w:highlight w:val="none"/>
                <w:lang w:val="en-US" w:eastAsia="zh-CN" w:bidi="ar-SA"/>
              </w:rPr>
              <w:t>监测（分析）仪器在测试前按监测因子分别用标准气体和流量计对其进行校核（标定）。</w:t>
            </w:r>
          </w:p>
          <w:p w14:paraId="4D7AFA5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④大气采样仪在进入现场前应对采样仪流量计、仪器内置的温度、压力等参数进行校核。</w:t>
            </w:r>
          </w:p>
          <w:p w14:paraId="30BAED9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⑤进入现场的气象因素测量仪器需满足测量要求，且在计量检定周期内。</w:t>
            </w:r>
          </w:p>
          <w:p w14:paraId="3E7C27B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（2）监测中质控措施</w:t>
            </w:r>
          </w:p>
          <w:p w14:paraId="44A7954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①无组织废气在现场采样、测试时，按各监测项目质控要求，采集一定数量的现场空白样品。</w:t>
            </w:r>
          </w:p>
          <w:p w14:paraId="24F576F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②无组织废气在现场监测时，应按当地风向变化及时调整监控点和参照点位置，在现场采样时段同时测量气象因素。</w:t>
            </w:r>
          </w:p>
          <w:p w14:paraId="20E1393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③监测人员进行现场采</w:t>
            </w:r>
            <w:r>
              <w:rPr>
                <w:rFonts w:hint="eastAsia" w:ascii="Times New Roman" w:hAnsi="Times New Roman" w:eastAsia="宋体" w:cs="Times New Roman"/>
                <w:bCs/>
                <w:color w:val="auto"/>
                <w:kern w:val="2"/>
                <w:sz w:val="24"/>
                <w:szCs w:val="24"/>
                <w:highlight w:val="none"/>
                <w:lang w:val="en-US" w:eastAsia="zh-CN" w:bidi="ar-SA"/>
              </w:rPr>
              <w:t>样</w:t>
            </w:r>
            <w:r>
              <w:rPr>
                <w:rFonts w:hint="default" w:ascii="Times New Roman" w:hAnsi="Times New Roman" w:eastAsia="宋体" w:cs="Times New Roman"/>
                <w:bCs/>
                <w:color w:val="auto"/>
                <w:kern w:val="2"/>
                <w:sz w:val="24"/>
                <w:szCs w:val="24"/>
                <w:highlight w:val="none"/>
                <w:lang w:val="en-US" w:eastAsia="zh-CN" w:bidi="ar-SA"/>
              </w:rPr>
              <w:t>，并进行保密编号</w:t>
            </w:r>
            <w:r>
              <w:rPr>
                <w:rFonts w:hint="eastAsia" w:ascii="Times New Roman" w:hAnsi="Times New Roman" w:eastAsia="宋体" w:cs="Times New Roman"/>
                <w:bCs/>
                <w:color w:val="auto"/>
                <w:kern w:val="2"/>
                <w:sz w:val="24"/>
                <w:szCs w:val="24"/>
                <w:highlight w:val="none"/>
                <w:lang w:val="en-US" w:eastAsia="zh-CN" w:bidi="ar-SA"/>
              </w:rPr>
              <w:t>。</w:t>
            </w:r>
          </w:p>
          <w:p w14:paraId="7E227DA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（3）</w:t>
            </w:r>
            <w:r>
              <w:rPr>
                <w:rFonts w:hint="default" w:ascii="Times New Roman" w:hAnsi="Times New Roman" w:eastAsia="宋体" w:cs="Times New Roman"/>
                <w:bCs/>
                <w:color w:val="auto"/>
                <w:kern w:val="2"/>
                <w:sz w:val="24"/>
                <w:szCs w:val="24"/>
                <w:highlight w:val="none"/>
                <w:lang w:val="en-US" w:eastAsia="zh-CN" w:bidi="ar-SA"/>
              </w:rPr>
              <w:t>监测后质控措施</w:t>
            </w:r>
          </w:p>
          <w:p w14:paraId="6185766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①监测后数据采取三级审核制，密码样由质控室专人负责保管；监测数据统一由质控室审核、出具。</w:t>
            </w:r>
          </w:p>
          <w:p w14:paraId="198EAC7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②监测人员将具有保密编号的</w:t>
            </w:r>
            <w:r>
              <w:rPr>
                <w:rFonts w:hint="eastAsia" w:ascii="Times New Roman" w:hAnsi="Times New Roman" w:eastAsia="宋体" w:cs="Times New Roman"/>
                <w:bCs/>
                <w:color w:val="auto"/>
                <w:kern w:val="2"/>
                <w:sz w:val="24"/>
                <w:szCs w:val="24"/>
                <w:highlight w:val="none"/>
                <w:lang w:val="en-US" w:eastAsia="zh-CN" w:bidi="ar-SA"/>
              </w:rPr>
              <w:t>采</w:t>
            </w:r>
            <w:r>
              <w:rPr>
                <w:rFonts w:hint="default" w:ascii="Times New Roman" w:hAnsi="Times New Roman" w:eastAsia="宋体" w:cs="Times New Roman"/>
                <w:bCs/>
                <w:color w:val="auto"/>
                <w:kern w:val="2"/>
                <w:sz w:val="24"/>
                <w:szCs w:val="24"/>
                <w:highlight w:val="none"/>
                <w:lang w:val="en-US" w:eastAsia="zh-CN" w:bidi="ar-SA"/>
              </w:rPr>
              <w:t>样委托第三方有资质的单位进行化验。</w:t>
            </w:r>
          </w:p>
          <w:p w14:paraId="162379B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③监测数据未正式出具前，不以任何方式告知被监测方。</w:t>
            </w:r>
          </w:p>
          <w:p w14:paraId="42062DD0">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b/>
                <w:color w:val="auto"/>
                <w:sz w:val="24"/>
                <w:highlight w:val="none"/>
                <w:vertAlign w:val="baseline"/>
                <w:lang w:val="en-US" w:eastAsia="zh-CN"/>
              </w:rPr>
            </w:pPr>
            <w:r>
              <w:rPr>
                <w:rFonts w:hint="default" w:ascii="Times New Roman" w:hAnsi="Times New Roman"/>
                <w:b/>
                <w:color w:val="auto"/>
                <w:sz w:val="24"/>
                <w:highlight w:val="none"/>
                <w:vertAlign w:val="baseline"/>
                <w:lang w:val="en-US" w:eastAsia="zh-CN"/>
              </w:rPr>
              <w:t>2.</w:t>
            </w:r>
            <w:r>
              <w:rPr>
                <w:rFonts w:hint="eastAsia" w:ascii="Times New Roman" w:hAnsi="Times New Roman"/>
                <w:b/>
                <w:color w:val="auto"/>
                <w:sz w:val="24"/>
                <w:highlight w:val="none"/>
                <w:vertAlign w:val="baseline"/>
                <w:lang w:val="en-US" w:eastAsia="zh-CN"/>
              </w:rPr>
              <w:t>2</w:t>
            </w:r>
            <w:r>
              <w:rPr>
                <w:rFonts w:hint="default" w:ascii="Times New Roman" w:hAnsi="Times New Roman"/>
                <w:b/>
                <w:color w:val="auto"/>
                <w:sz w:val="24"/>
                <w:highlight w:val="none"/>
                <w:vertAlign w:val="baseline"/>
                <w:lang w:val="en-US" w:eastAsia="zh-CN"/>
              </w:rPr>
              <w:t xml:space="preserve"> 噪声监测质量保证措施</w:t>
            </w:r>
          </w:p>
          <w:p w14:paraId="69A1A0F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厂界噪声监测依据《工业企业厂界环境噪声排放标准》（GB12348-2008）中相应要求进行。质量控制执行国家环保部《环境监测技术规范》有关噪声部分，声级计测量前后均进行校准。</w:t>
            </w:r>
          </w:p>
          <w:p w14:paraId="0EFEE4D5">
            <w:pPr>
              <w:ind w:left="0" w:leftChars="0" w:firstLine="0" w:firstLineChars="0"/>
              <w:rPr>
                <w:rFonts w:hint="default"/>
                <w:lang w:val="en-US" w:eastAsia="zh-CN"/>
              </w:rPr>
            </w:pPr>
          </w:p>
        </w:tc>
      </w:tr>
    </w:tbl>
    <w:p w14:paraId="29387D61">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黑体"/>
          <w:b/>
          <w:color w:val="auto"/>
          <w:sz w:val="24"/>
          <w:szCs w:val="24"/>
          <w:highlight w:val="none"/>
          <w:vertAlign w:val="baseli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CBD4B1B">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eastAsia="黑体"/>
          <w:b/>
          <w:color w:val="auto"/>
          <w:sz w:val="24"/>
          <w:szCs w:val="24"/>
          <w:highlight w:val="none"/>
          <w:vertAlign w:val="baseline"/>
          <w:lang w:val="en-US" w:eastAsia="zh-CN"/>
        </w:rPr>
      </w:pPr>
      <w:r>
        <w:rPr>
          <w:rFonts w:hint="eastAsia" w:ascii="Times New Roman" w:hAnsi="Times New Roman" w:eastAsia="黑体"/>
          <w:b/>
          <w:color w:val="auto"/>
          <w:sz w:val="24"/>
          <w:szCs w:val="24"/>
          <w:highlight w:val="none"/>
          <w:vertAlign w:val="baseline"/>
          <w:lang w:val="en-US" w:eastAsia="zh-CN"/>
        </w:rPr>
        <w:t>表六</w:t>
      </w:r>
    </w:p>
    <w:tbl>
      <w:tblPr>
        <w:tblStyle w:val="25"/>
        <w:tblW w:w="0" w:type="auto"/>
        <w:tblInd w:w="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52"/>
      </w:tblGrid>
      <w:tr w14:paraId="737E0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80" w:hRule="atLeast"/>
        </w:trPr>
        <w:tc>
          <w:tcPr>
            <w:tcW w:w="8352" w:type="dxa"/>
          </w:tcPr>
          <w:p w14:paraId="37086C32">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b/>
                <w:bCs/>
                <w:color w:val="auto"/>
                <w:sz w:val="28"/>
                <w:highlight w:val="none"/>
                <w:vertAlign w:val="baseline"/>
                <w:lang w:val="en-US" w:eastAsia="zh-CN"/>
              </w:rPr>
            </w:pPr>
            <w:r>
              <w:rPr>
                <w:rFonts w:hint="default" w:ascii="Times New Roman" w:hAnsi="Times New Roman"/>
                <w:b/>
                <w:bCs/>
                <w:color w:val="auto"/>
                <w:sz w:val="28"/>
                <w:highlight w:val="none"/>
                <w:vertAlign w:val="baseline"/>
                <w:lang w:val="en-US" w:eastAsia="zh-CN"/>
              </w:rPr>
              <w:t>七、验收监测内容：</w:t>
            </w:r>
          </w:p>
          <w:p w14:paraId="120703E5">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1、</w:t>
            </w:r>
            <w:r>
              <w:rPr>
                <w:rFonts w:hint="default" w:ascii="Times New Roman" w:hAnsi="Times New Roman"/>
                <w:b/>
                <w:color w:val="auto"/>
                <w:sz w:val="24"/>
                <w:highlight w:val="none"/>
                <w:vertAlign w:val="baseline"/>
                <w:lang w:val="en-US" w:eastAsia="zh-CN"/>
              </w:rPr>
              <w:t>废气监测内容</w:t>
            </w:r>
          </w:p>
          <w:p w14:paraId="788BD7FE">
            <w:pPr>
              <w:bidi w:val="0"/>
              <w:rPr>
                <w:rFonts w:hint="eastAsia"/>
                <w:lang w:val="en-US" w:eastAsia="zh-CN"/>
              </w:rPr>
            </w:pPr>
            <w:r>
              <w:rPr>
                <w:rFonts w:hint="eastAsia"/>
                <w:lang w:val="en-US" w:eastAsia="zh-CN"/>
              </w:rPr>
              <w:t>本项目废气具体监测点位、项目及频次见下表。</w:t>
            </w:r>
          </w:p>
          <w:p w14:paraId="6BD65FD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黑体" w:cs="Times New Roman"/>
                <w:b w:val="0"/>
                <w:bCs w:val="0"/>
                <w:color w:val="auto"/>
                <w:sz w:val="21"/>
                <w:highlight w:val="none"/>
                <w:lang w:val="en-US" w:eastAsia="zh-CN"/>
              </w:rPr>
            </w:pPr>
            <w:r>
              <w:rPr>
                <w:rFonts w:hint="eastAsia" w:ascii="Times New Roman" w:hAnsi="Times New Roman" w:eastAsia="黑体" w:cs="Times New Roman"/>
                <w:b w:val="0"/>
                <w:bCs w:val="0"/>
                <w:color w:val="auto"/>
                <w:sz w:val="21"/>
                <w:highlight w:val="none"/>
                <w:lang w:val="en-US" w:eastAsia="zh-CN"/>
              </w:rPr>
              <w:t>表6-1有组织废气检测信息统计表</w:t>
            </w:r>
          </w:p>
          <w:tbl>
            <w:tblPr>
              <w:tblStyle w:val="24"/>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819"/>
              <w:gridCol w:w="1414"/>
              <w:gridCol w:w="1819"/>
              <w:gridCol w:w="1877"/>
              <w:gridCol w:w="1764"/>
            </w:tblGrid>
            <w:tr w14:paraId="3798D9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96" w:type="dxa"/>
                  <w:gridSpan w:val="2"/>
                  <w:noWrap w:val="0"/>
                  <w:vAlign w:val="center"/>
                </w:tcPr>
                <w:p w14:paraId="4203792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r>
                    <w:rPr>
                      <w:rFonts w:hint="eastAsia"/>
                      <w:sz w:val="21"/>
                      <w:szCs w:val="21"/>
                      <w:highlight w:val="none"/>
                      <w:vertAlign w:val="baseline"/>
                      <w:lang w:val="en-US" w:eastAsia="zh-CN"/>
                    </w:rPr>
                    <w:t>类型</w:t>
                  </w:r>
                </w:p>
              </w:tc>
              <w:tc>
                <w:tcPr>
                  <w:tcW w:w="3359" w:type="dxa"/>
                  <w:gridSpan w:val="2"/>
                  <w:noWrap w:val="0"/>
                  <w:vAlign w:val="center"/>
                </w:tcPr>
                <w:p w14:paraId="1554383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r>
                    <w:rPr>
                      <w:rFonts w:hint="eastAsia"/>
                      <w:sz w:val="21"/>
                      <w:szCs w:val="21"/>
                      <w:highlight w:val="none"/>
                      <w:vertAlign w:val="baseline"/>
                      <w:lang w:val="en-US" w:eastAsia="zh-CN"/>
                    </w:rPr>
                    <w:t>监测点位置</w:t>
                  </w:r>
                </w:p>
              </w:tc>
              <w:tc>
                <w:tcPr>
                  <w:tcW w:w="1995" w:type="dxa"/>
                  <w:noWrap w:val="0"/>
                  <w:vAlign w:val="center"/>
                </w:tcPr>
                <w:p w14:paraId="075488B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r>
                    <w:rPr>
                      <w:rFonts w:hint="eastAsia"/>
                      <w:sz w:val="21"/>
                      <w:szCs w:val="21"/>
                      <w:highlight w:val="none"/>
                      <w:vertAlign w:val="baseline"/>
                      <w:lang w:val="en-US" w:eastAsia="zh-CN"/>
                    </w:rPr>
                    <w:t>监测因子</w:t>
                  </w:r>
                </w:p>
              </w:tc>
              <w:tc>
                <w:tcPr>
                  <w:tcW w:w="1871" w:type="dxa"/>
                  <w:noWrap w:val="0"/>
                  <w:vAlign w:val="center"/>
                </w:tcPr>
                <w:p w14:paraId="70E4A22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eastAsia="宋体"/>
                      <w:sz w:val="21"/>
                      <w:szCs w:val="21"/>
                      <w:highlight w:val="none"/>
                      <w:vertAlign w:val="baseline"/>
                      <w:lang w:val="en-US" w:eastAsia="zh-CN"/>
                    </w:rPr>
                  </w:pPr>
                  <w:r>
                    <w:rPr>
                      <w:rFonts w:hint="eastAsia"/>
                      <w:sz w:val="21"/>
                      <w:szCs w:val="21"/>
                      <w:highlight w:val="none"/>
                      <w:vertAlign w:val="baseline"/>
                      <w:lang w:val="en-US" w:eastAsia="zh-CN"/>
                    </w:rPr>
                    <w:t>监测频次</w:t>
                  </w:r>
                </w:p>
              </w:tc>
            </w:tr>
            <w:tr w14:paraId="00A91D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vMerge w:val="restart"/>
                  <w:noWrap w:val="0"/>
                  <w:vAlign w:val="center"/>
                </w:tcPr>
                <w:p w14:paraId="7CAD5E4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r>
                    <w:rPr>
                      <w:rFonts w:hint="eastAsia"/>
                      <w:sz w:val="21"/>
                      <w:szCs w:val="21"/>
                      <w:highlight w:val="none"/>
                      <w:vertAlign w:val="baseline"/>
                      <w:lang w:val="en-US" w:eastAsia="zh-CN"/>
                    </w:rPr>
                    <w:t>废气</w:t>
                  </w:r>
                </w:p>
              </w:tc>
              <w:tc>
                <w:tcPr>
                  <w:tcW w:w="856" w:type="dxa"/>
                  <w:vMerge w:val="restart"/>
                  <w:noWrap w:val="0"/>
                  <w:vAlign w:val="center"/>
                </w:tcPr>
                <w:p w14:paraId="2F61096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r>
                    <w:rPr>
                      <w:rFonts w:hint="eastAsia"/>
                      <w:sz w:val="21"/>
                      <w:szCs w:val="21"/>
                      <w:highlight w:val="none"/>
                      <w:vertAlign w:val="baseline"/>
                      <w:lang w:val="en-US" w:eastAsia="zh-CN"/>
                    </w:rPr>
                    <w:t>有组织排放</w:t>
                  </w:r>
                </w:p>
              </w:tc>
              <w:tc>
                <w:tcPr>
                  <w:tcW w:w="1469" w:type="dxa"/>
                  <w:vMerge w:val="restart"/>
                  <w:noWrap w:val="0"/>
                  <w:vAlign w:val="center"/>
                </w:tcPr>
                <w:p w14:paraId="35189C9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bCs w:val="0"/>
                      <w:snapToGrid/>
                      <w:color w:val="auto"/>
                      <w:kern w:val="2"/>
                      <w:sz w:val="21"/>
                      <w:szCs w:val="21"/>
                      <w:highlight w:val="none"/>
                      <w:lang w:val="en-US" w:eastAsia="zh-CN" w:bidi="ar-SA"/>
                    </w:rPr>
                    <w:t>泡沫</w:t>
                  </w:r>
                  <w:r>
                    <w:rPr>
                      <w:rFonts w:hint="default" w:ascii="Times New Roman" w:hAnsi="Times New Roman" w:eastAsia="宋体" w:cs="Times New Roman"/>
                      <w:color w:val="auto"/>
                      <w:sz w:val="21"/>
                      <w:szCs w:val="21"/>
                      <w:highlight w:val="none"/>
                      <w:lang w:val="en-US" w:eastAsia="zh-CN"/>
                    </w:rPr>
                    <w:t>制品包装</w:t>
                  </w:r>
                  <w:r>
                    <w:rPr>
                      <w:rFonts w:hint="default" w:ascii="Times New Roman" w:hAnsi="Times New Roman" w:eastAsia="宋体" w:cs="Times New Roman"/>
                      <w:bCs w:val="0"/>
                      <w:snapToGrid/>
                      <w:color w:val="auto"/>
                      <w:kern w:val="2"/>
                      <w:sz w:val="21"/>
                      <w:szCs w:val="21"/>
                      <w:highlight w:val="none"/>
                      <w:lang w:val="en-US" w:eastAsia="zh-CN" w:bidi="ar-SA"/>
                    </w:rPr>
                    <w:t>生产线有组织DA001</w:t>
                  </w:r>
                </w:p>
              </w:tc>
              <w:tc>
                <w:tcPr>
                  <w:tcW w:w="1890" w:type="dxa"/>
                  <w:noWrap w:val="0"/>
                  <w:vAlign w:val="center"/>
                </w:tcPr>
                <w:p w14:paraId="0A03AF4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活性炭吸附装置处理</w:t>
                  </w:r>
                  <w:r>
                    <w:rPr>
                      <w:rFonts w:hint="eastAsia" w:cs="Times New Roman"/>
                      <w:sz w:val="21"/>
                      <w:szCs w:val="21"/>
                      <w:highlight w:val="none"/>
                      <w:vertAlign w:val="baseline"/>
                      <w:lang w:val="en-US" w:eastAsia="zh-CN"/>
                    </w:rPr>
                    <w:t>进口</w:t>
                  </w:r>
                </w:p>
              </w:tc>
              <w:tc>
                <w:tcPr>
                  <w:tcW w:w="1995" w:type="dxa"/>
                  <w:noWrap w:val="0"/>
                  <w:vAlign w:val="center"/>
                </w:tcPr>
                <w:p w14:paraId="0EB9939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bCs w:val="0"/>
                      <w:snapToGrid/>
                      <w:color w:val="auto"/>
                      <w:kern w:val="2"/>
                      <w:sz w:val="21"/>
                      <w:szCs w:val="21"/>
                      <w:highlight w:val="none"/>
                      <w:lang w:val="en-US" w:eastAsia="zh-CN" w:bidi="ar-SA"/>
                    </w:rPr>
                    <w:t>非甲烷总烃、苯乙烯、甲苯、乙苯</w:t>
                  </w:r>
                </w:p>
              </w:tc>
              <w:tc>
                <w:tcPr>
                  <w:tcW w:w="1870" w:type="dxa"/>
                  <w:noWrap w:val="0"/>
                  <w:vAlign w:val="center"/>
                </w:tcPr>
                <w:p w14:paraId="5D97D29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sz w:val="21"/>
                      <w:szCs w:val="21"/>
                      <w:highlight w:val="none"/>
                      <w:vertAlign w:val="baseline"/>
                      <w:lang w:val="en-US" w:eastAsia="zh-CN"/>
                    </w:rPr>
                    <w:t>3次/天，连续2天</w:t>
                  </w:r>
                </w:p>
              </w:tc>
            </w:tr>
            <w:tr w14:paraId="05150F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vMerge w:val="continue"/>
                  <w:noWrap w:val="0"/>
                  <w:vAlign w:val="center"/>
                </w:tcPr>
                <w:p w14:paraId="02D1A8C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p>
              </w:tc>
              <w:tc>
                <w:tcPr>
                  <w:tcW w:w="856" w:type="dxa"/>
                  <w:vMerge w:val="continue"/>
                  <w:noWrap w:val="0"/>
                  <w:vAlign w:val="center"/>
                </w:tcPr>
                <w:p w14:paraId="5B3180A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p>
              </w:tc>
              <w:tc>
                <w:tcPr>
                  <w:tcW w:w="1469" w:type="dxa"/>
                  <w:vMerge w:val="continue"/>
                  <w:noWrap w:val="0"/>
                  <w:vAlign w:val="center"/>
                </w:tcPr>
                <w:p w14:paraId="68C185C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val="0"/>
                      <w:snapToGrid/>
                      <w:color w:val="auto"/>
                      <w:kern w:val="2"/>
                      <w:sz w:val="21"/>
                      <w:szCs w:val="21"/>
                      <w:highlight w:val="none"/>
                      <w:lang w:val="en-US" w:eastAsia="zh-CN" w:bidi="ar-SA"/>
                    </w:rPr>
                  </w:pPr>
                </w:p>
              </w:tc>
              <w:tc>
                <w:tcPr>
                  <w:tcW w:w="1890" w:type="dxa"/>
                  <w:noWrap w:val="0"/>
                  <w:vAlign w:val="center"/>
                </w:tcPr>
                <w:p w14:paraId="42E1406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袋式除尘器</w:t>
                  </w:r>
                  <w:r>
                    <w:rPr>
                      <w:rFonts w:hint="default" w:ascii="Times New Roman" w:hAnsi="Times New Roman" w:eastAsia="宋体" w:cs="Times New Roman"/>
                      <w:b w:val="0"/>
                      <w:bCs w:val="0"/>
                      <w:color w:val="auto"/>
                      <w:sz w:val="21"/>
                      <w:szCs w:val="21"/>
                      <w:highlight w:val="none"/>
                      <w:u w:val="none"/>
                      <w:lang w:val="en-US" w:eastAsia="zh-CN"/>
                    </w:rPr>
                    <w:t>（TA001)</w:t>
                  </w:r>
                  <w:r>
                    <w:rPr>
                      <w:rFonts w:hint="eastAsia" w:cs="Times New Roman"/>
                      <w:sz w:val="21"/>
                      <w:szCs w:val="21"/>
                      <w:highlight w:val="none"/>
                      <w:vertAlign w:val="baseline"/>
                      <w:lang w:val="en-US" w:eastAsia="zh-CN"/>
                    </w:rPr>
                    <w:t>进口</w:t>
                  </w:r>
                </w:p>
              </w:tc>
              <w:tc>
                <w:tcPr>
                  <w:tcW w:w="1995" w:type="dxa"/>
                  <w:noWrap w:val="0"/>
                  <w:vAlign w:val="center"/>
                </w:tcPr>
                <w:p w14:paraId="205CCA8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val="0"/>
                      <w:snapToGrid/>
                      <w:color w:val="auto"/>
                      <w:kern w:val="2"/>
                      <w:sz w:val="21"/>
                      <w:szCs w:val="21"/>
                      <w:highlight w:val="none"/>
                      <w:lang w:val="en-US" w:eastAsia="zh-CN" w:bidi="ar-SA"/>
                    </w:rPr>
                  </w:pPr>
                  <w:r>
                    <w:rPr>
                      <w:rFonts w:hint="eastAsia" w:cs="Times New Roman"/>
                      <w:bCs w:val="0"/>
                      <w:snapToGrid/>
                      <w:color w:val="auto"/>
                      <w:kern w:val="2"/>
                      <w:sz w:val="21"/>
                      <w:szCs w:val="21"/>
                      <w:highlight w:val="none"/>
                      <w:lang w:val="en-US" w:eastAsia="zh-CN" w:bidi="ar-SA"/>
                    </w:rPr>
                    <w:t>颗粒物</w:t>
                  </w:r>
                </w:p>
              </w:tc>
              <w:tc>
                <w:tcPr>
                  <w:tcW w:w="1870" w:type="dxa"/>
                  <w:noWrap w:val="0"/>
                  <w:vAlign w:val="center"/>
                </w:tcPr>
                <w:p w14:paraId="2987480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r>
                    <w:rPr>
                      <w:rFonts w:hint="eastAsia"/>
                      <w:sz w:val="21"/>
                      <w:szCs w:val="21"/>
                      <w:highlight w:val="none"/>
                      <w:vertAlign w:val="baseline"/>
                      <w:lang w:val="en-US" w:eastAsia="zh-CN"/>
                    </w:rPr>
                    <w:t>3次/天，连续2天</w:t>
                  </w:r>
                </w:p>
              </w:tc>
            </w:tr>
            <w:tr w14:paraId="6868F3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vMerge w:val="continue"/>
                  <w:noWrap w:val="0"/>
                  <w:vAlign w:val="center"/>
                </w:tcPr>
                <w:p w14:paraId="3909AF9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p>
              </w:tc>
              <w:tc>
                <w:tcPr>
                  <w:tcW w:w="856" w:type="dxa"/>
                  <w:vMerge w:val="continue"/>
                  <w:noWrap w:val="0"/>
                  <w:vAlign w:val="center"/>
                </w:tcPr>
                <w:p w14:paraId="407A39A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p>
              </w:tc>
              <w:tc>
                <w:tcPr>
                  <w:tcW w:w="1469" w:type="dxa"/>
                  <w:vMerge w:val="continue"/>
                  <w:noWrap w:val="0"/>
                  <w:vAlign w:val="center"/>
                </w:tcPr>
                <w:p w14:paraId="5F33071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s="Times New Roman"/>
                      <w:sz w:val="21"/>
                      <w:szCs w:val="21"/>
                      <w:highlight w:val="none"/>
                      <w:vertAlign w:val="baseline"/>
                      <w:lang w:val="en-US" w:eastAsia="zh-CN"/>
                    </w:rPr>
                  </w:pPr>
                </w:p>
              </w:tc>
              <w:tc>
                <w:tcPr>
                  <w:tcW w:w="1890" w:type="dxa"/>
                  <w:noWrap w:val="0"/>
                  <w:vAlign w:val="center"/>
                </w:tcPr>
                <w:p w14:paraId="7BAD497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DA001排气筒</w:t>
                  </w:r>
                  <w:r>
                    <w:rPr>
                      <w:rFonts w:hint="eastAsia"/>
                      <w:sz w:val="21"/>
                      <w:szCs w:val="21"/>
                      <w:highlight w:val="none"/>
                      <w:vertAlign w:val="baseline"/>
                      <w:lang w:val="en-US" w:eastAsia="zh-CN"/>
                    </w:rPr>
                    <w:t>出口</w:t>
                  </w:r>
                </w:p>
              </w:tc>
              <w:tc>
                <w:tcPr>
                  <w:tcW w:w="1995" w:type="dxa"/>
                  <w:noWrap w:val="0"/>
                  <w:vAlign w:val="center"/>
                </w:tcPr>
                <w:p w14:paraId="2B5DF58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lang w:val="en-US" w:eastAsia="zh-CN"/>
                    </w:rPr>
                  </w:pPr>
                  <w:r>
                    <w:rPr>
                      <w:rFonts w:hint="default" w:ascii="Times New Roman" w:hAnsi="Times New Roman" w:eastAsia="宋体" w:cs="Times New Roman"/>
                      <w:bCs w:val="0"/>
                      <w:snapToGrid/>
                      <w:color w:val="auto"/>
                      <w:kern w:val="2"/>
                      <w:sz w:val="21"/>
                      <w:szCs w:val="21"/>
                      <w:highlight w:val="none"/>
                      <w:lang w:val="en-US" w:eastAsia="zh-CN" w:bidi="ar-SA"/>
                    </w:rPr>
                    <w:t>非甲烷总烃、苯乙烯、甲苯、乙苯</w:t>
                  </w:r>
                  <w:r>
                    <w:rPr>
                      <w:rFonts w:hint="eastAsia" w:cs="Times New Roman"/>
                      <w:bCs w:val="0"/>
                      <w:snapToGrid/>
                      <w:color w:val="auto"/>
                      <w:kern w:val="2"/>
                      <w:sz w:val="21"/>
                      <w:szCs w:val="21"/>
                      <w:highlight w:val="none"/>
                      <w:lang w:val="en-US" w:eastAsia="zh-CN" w:bidi="ar-SA"/>
                    </w:rPr>
                    <w:t>、颗粒物</w:t>
                  </w:r>
                </w:p>
              </w:tc>
              <w:tc>
                <w:tcPr>
                  <w:tcW w:w="1870" w:type="dxa"/>
                  <w:noWrap w:val="0"/>
                  <w:vAlign w:val="center"/>
                </w:tcPr>
                <w:p w14:paraId="7A1E754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r>
                    <w:rPr>
                      <w:rFonts w:hint="eastAsia"/>
                      <w:sz w:val="21"/>
                      <w:szCs w:val="21"/>
                      <w:highlight w:val="none"/>
                      <w:vertAlign w:val="baseline"/>
                      <w:lang w:val="en-US" w:eastAsia="zh-CN"/>
                    </w:rPr>
                    <w:t>3次/天，连续2天</w:t>
                  </w:r>
                </w:p>
              </w:tc>
            </w:tr>
          </w:tbl>
          <w:p w14:paraId="7DE1B3B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黑体" w:hAnsi="黑体" w:eastAsia="黑体" w:cs="黑体"/>
                <w:sz w:val="21"/>
                <w:szCs w:val="21"/>
                <w:highlight w:val="none"/>
                <w:lang w:val="en-US" w:eastAsia="zh-CN"/>
              </w:rPr>
            </w:pPr>
            <w:r>
              <w:rPr>
                <w:rFonts w:hint="eastAsia" w:ascii="黑体" w:hAnsi="黑体" w:eastAsia="黑体" w:cs="黑体"/>
                <w:sz w:val="21"/>
                <w:szCs w:val="21"/>
                <w:highlight w:val="none"/>
                <w:lang w:val="en-US" w:eastAsia="zh-CN"/>
              </w:rPr>
              <w:t>表6-</w:t>
            </w:r>
            <w:r>
              <w:rPr>
                <w:rFonts w:hint="default" w:ascii="Times New Roman" w:hAnsi="Times New Roman" w:eastAsia="黑体" w:cs="Times New Roman"/>
                <w:sz w:val="21"/>
                <w:szCs w:val="21"/>
                <w:highlight w:val="none"/>
                <w:lang w:val="en-US" w:eastAsia="zh-CN"/>
              </w:rPr>
              <w:t>2</w:t>
            </w:r>
            <w:r>
              <w:rPr>
                <w:rFonts w:hint="eastAsia" w:eastAsia="黑体" w:cs="Times New Roman"/>
                <w:sz w:val="21"/>
                <w:szCs w:val="21"/>
                <w:highlight w:val="none"/>
                <w:lang w:val="en-US" w:eastAsia="zh-CN"/>
              </w:rPr>
              <w:t>无组织</w:t>
            </w:r>
            <w:r>
              <w:rPr>
                <w:rFonts w:hint="eastAsia" w:ascii="黑体" w:hAnsi="黑体" w:eastAsia="黑体" w:cs="黑体"/>
                <w:sz w:val="21"/>
                <w:szCs w:val="21"/>
                <w:highlight w:val="none"/>
                <w:lang w:val="en-US" w:eastAsia="zh-CN"/>
              </w:rPr>
              <w:t>废气污染物检测内容</w:t>
            </w:r>
          </w:p>
          <w:tbl>
            <w:tblPr>
              <w:tblStyle w:val="24"/>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0"/>
              <w:gridCol w:w="891"/>
              <w:gridCol w:w="3912"/>
              <w:gridCol w:w="1475"/>
              <w:gridCol w:w="1423"/>
            </w:tblGrid>
            <w:tr w14:paraId="4FBEA5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21" w:type="dxa"/>
                  <w:gridSpan w:val="2"/>
                  <w:noWrap w:val="0"/>
                  <w:vAlign w:val="center"/>
                </w:tcPr>
                <w:p w14:paraId="633D50F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r>
                    <w:rPr>
                      <w:rFonts w:hint="eastAsia"/>
                      <w:sz w:val="21"/>
                      <w:szCs w:val="21"/>
                      <w:highlight w:val="none"/>
                      <w:vertAlign w:val="baseline"/>
                      <w:lang w:val="en-US" w:eastAsia="zh-CN"/>
                    </w:rPr>
                    <w:t>类型</w:t>
                  </w:r>
                </w:p>
              </w:tc>
              <w:tc>
                <w:tcPr>
                  <w:tcW w:w="3912" w:type="dxa"/>
                  <w:noWrap w:val="0"/>
                  <w:vAlign w:val="center"/>
                </w:tcPr>
                <w:p w14:paraId="1ACD510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r>
                    <w:rPr>
                      <w:rFonts w:hint="eastAsia"/>
                      <w:sz w:val="21"/>
                      <w:szCs w:val="21"/>
                      <w:highlight w:val="none"/>
                      <w:vertAlign w:val="baseline"/>
                      <w:lang w:val="en-US" w:eastAsia="zh-CN"/>
                    </w:rPr>
                    <w:t>监测点位置</w:t>
                  </w:r>
                </w:p>
              </w:tc>
              <w:tc>
                <w:tcPr>
                  <w:tcW w:w="1475" w:type="dxa"/>
                  <w:noWrap w:val="0"/>
                  <w:vAlign w:val="center"/>
                </w:tcPr>
                <w:p w14:paraId="55303BE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r>
                    <w:rPr>
                      <w:rFonts w:hint="eastAsia"/>
                      <w:sz w:val="21"/>
                      <w:szCs w:val="21"/>
                      <w:highlight w:val="none"/>
                      <w:vertAlign w:val="baseline"/>
                      <w:lang w:val="en-US" w:eastAsia="zh-CN"/>
                    </w:rPr>
                    <w:t>监测因子</w:t>
                  </w:r>
                </w:p>
              </w:tc>
              <w:tc>
                <w:tcPr>
                  <w:tcW w:w="1423" w:type="dxa"/>
                  <w:noWrap w:val="0"/>
                  <w:vAlign w:val="center"/>
                </w:tcPr>
                <w:p w14:paraId="5944DAE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eastAsia="宋体"/>
                      <w:sz w:val="21"/>
                      <w:szCs w:val="21"/>
                      <w:highlight w:val="none"/>
                      <w:vertAlign w:val="baseline"/>
                      <w:lang w:val="en-US" w:eastAsia="zh-CN"/>
                    </w:rPr>
                  </w:pPr>
                  <w:r>
                    <w:rPr>
                      <w:rFonts w:hint="eastAsia"/>
                      <w:sz w:val="21"/>
                      <w:szCs w:val="21"/>
                      <w:highlight w:val="none"/>
                      <w:vertAlign w:val="baseline"/>
                      <w:lang w:val="en-US" w:eastAsia="zh-CN"/>
                    </w:rPr>
                    <w:t>监测频次</w:t>
                  </w:r>
                </w:p>
              </w:tc>
            </w:tr>
            <w:tr w14:paraId="20A655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dxa"/>
                  <w:vMerge w:val="restart"/>
                  <w:noWrap w:val="0"/>
                  <w:vAlign w:val="center"/>
                </w:tcPr>
                <w:p w14:paraId="072EB58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r>
                    <w:rPr>
                      <w:rFonts w:hint="eastAsia"/>
                      <w:sz w:val="21"/>
                      <w:szCs w:val="21"/>
                      <w:highlight w:val="none"/>
                      <w:vertAlign w:val="baseline"/>
                      <w:lang w:val="en-US" w:eastAsia="zh-CN"/>
                    </w:rPr>
                    <w:t>废气</w:t>
                  </w:r>
                </w:p>
              </w:tc>
              <w:tc>
                <w:tcPr>
                  <w:tcW w:w="891" w:type="dxa"/>
                  <w:vMerge w:val="restart"/>
                  <w:noWrap w:val="0"/>
                  <w:vAlign w:val="center"/>
                </w:tcPr>
                <w:p w14:paraId="29C0EBD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r>
                    <w:rPr>
                      <w:rFonts w:hint="eastAsia"/>
                      <w:sz w:val="21"/>
                      <w:szCs w:val="21"/>
                      <w:highlight w:val="none"/>
                      <w:vertAlign w:val="baseline"/>
                      <w:lang w:val="en-US" w:eastAsia="zh-CN"/>
                    </w:rPr>
                    <w:t>无组织排放</w:t>
                  </w:r>
                </w:p>
              </w:tc>
              <w:tc>
                <w:tcPr>
                  <w:tcW w:w="3912" w:type="dxa"/>
                  <w:noWrap w:val="0"/>
                  <w:vAlign w:val="center"/>
                </w:tcPr>
                <w:p w14:paraId="7A8BAF5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K1 厂界上风向 10m 对照点</w:t>
                  </w:r>
                </w:p>
                <w:p w14:paraId="36C4E0C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K2 厂界下风向 10m 监测点</w:t>
                  </w:r>
                </w:p>
                <w:p w14:paraId="0D99CEB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K3 厂界下风向 10m 监测点左侧 15 度</w:t>
                  </w:r>
                </w:p>
                <w:p w14:paraId="4FC42D4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K4 厂界下风向 10m 监测点右侧 15 度</w:t>
                  </w:r>
                </w:p>
              </w:tc>
              <w:tc>
                <w:tcPr>
                  <w:tcW w:w="1475" w:type="dxa"/>
                  <w:noWrap w:val="0"/>
                  <w:vAlign w:val="center"/>
                </w:tcPr>
                <w:p w14:paraId="5DFBFAF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非甲烷总烃、颗粒物</w:t>
                  </w:r>
                </w:p>
              </w:tc>
              <w:tc>
                <w:tcPr>
                  <w:tcW w:w="1423" w:type="dxa"/>
                  <w:noWrap w:val="0"/>
                  <w:vAlign w:val="center"/>
                </w:tcPr>
                <w:p w14:paraId="71C871F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3次/天，连续2天</w:t>
                  </w:r>
                </w:p>
              </w:tc>
            </w:tr>
            <w:tr w14:paraId="3FDFC2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14:paraId="709DE2F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p>
              </w:tc>
              <w:tc>
                <w:tcPr>
                  <w:tcW w:w="891" w:type="dxa"/>
                  <w:vMerge w:val="continue"/>
                  <w:noWrap w:val="0"/>
                  <w:vAlign w:val="center"/>
                </w:tcPr>
                <w:p w14:paraId="04EC508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vertAlign w:val="baseline"/>
                      <w:lang w:val="en-US" w:eastAsia="zh-CN"/>
                    </w:rPr>
                  </w:pPr>
                </w:p>
              </w:tc>
              <w:tc>
                <w:tcPr>
                  <w:tcW w:w="3912" w:type="dxa"/>
                  <w:noWrap w:val="0"/>
                  <w:vAlign w:val="center"/>
                </w:tcPr>
                <w:p w14:paraId="7B1D19E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K5 泡沫制品包装生产线厂房外</w:t>
                  </w:r>
                </w:p>
              </w:tc>
              <w:tc>
                <w:tcPr>
                  <w:tcW w:w="1475" w:type="dxa"/>
                  <w:noWrap w:val="0"/>
                  <w:vAlign w:val="center"/>
                </w:tcPr>
                <w:p w14:paraId="4EBE7DB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val="0"/>
                      <w:snapToGrid/>
                      <w:color w:val="auto"/>
                      <w:kern w:val="2"/>
                      <w:sz w:val="21"/>
                      <w:szCs w:val="21"/>
                      <w:highlight w:val="none"/>
                      <w:lang w:val="en-US" w:eastAsia="zh-CN" w:bidi="ar-SA"/>
                    </w:rPr>
                  </w:pPr>
                  <w:r>
                    <w:rPr>
                      <w:rFonts w:hint="default" w:ascii="Times New Roman" w:hAnsi="Times New Roman" w:eastAsia="宋体" w:cs="Times New Roman"/>
                      <w:bCs w:val="0"/>
                      <w:snapToGrid/>
                      <w:color w:val="auto"/>
                      <w:kern w:val="2"/>
                      <w:sz w:val="21"/>
                      <w:szCs w:val="21"/>
                      <w:highlight w:val="none"/>
                      <w:lang w:val="en-US" w:eastAsia="zh-CN" w:bidi="ar-SA"/>
                    </w:rPr>
                    <w:t>非甲烷总烃</w:t>
                  </w:r>
                </w:p>
              </w:tc>
              <w:tc>
                <w:tcPr>
                  <w:tcW w:w="1423" w:type="dxa"/>
                  <w:noWrap w:val="0"/>
                  <w:vAlign w:val="center"/>
                </w:tcPr>
                <w:p w14:paraId="1F104D5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Cs w:val="0"/>
                      <w:snapToGrid/>
                      <w:color w:val="auto"/>
                      <w:kern w:val="2"/>
                      <w:sz w:val="21"/>
                      <w:szCs w:val="21"/>
                      <w:highlight w:val="none"/>
                      <w:lang w:val="en-US" w:eastAsia="zh-CN" w:bidi="ar-SA"/>
                    </w:rPr>
                  </w:pPr>
                  <w:r>
                    <w:rPr>
                      <w:rFonts w:hint="eastAsia" w:ascii="Times New Roman" w:hAnsi="Times New Roman" w:eastAsia="宋体" w:cs="Times New Roman"/>
                      <w:bCs w:val="0"/>
                      <w:snapToGrid/>
                      <w:color w:val="auto"/>
                      <w:kern w:val="2"/>
                      <w:sz w:val="21"/>
                      <w:szCs w:val="21"/>
                      <w:highlight w:val="none"/>
                      <w:lang w:val="en-US" w:eastAsia="zh-CN" w:bidi="ar-SA"/>
                    </w:rPr>
                    <w:t>3次/天，连续2天</w:t>
                  </w:r>
                </w:p>
              </w:tc>
            </w:tr>
          </w:tbl>
          <w:p w14:paraId="1B62C2B2">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2、噪声监测内容</w:t>
            </w:r>
          </w:p>
          <w:p w14:paraId="0158E68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黑体" w:cs="Times New Roman"/>
                <w:b w:val="0"/>
                <w:bCs w:val="0"/>
                <w:color w:val="auto"/>
                <w:sz w:val="21"/>
                <w:highlight w:val="none"/>
              </w:rPr>
            </w:pPr>
            <w:r>
              <w:rPr>
                <w:rFonts w:hint="eastAsia" w:ascii="Times New Roman" w:hAnsi="Times New Roman" w:eastAsia="黑体" w:cs="Times New Roman"/>
                <w:b w:val="0"/>
                <w:bCs w:val="0"/>
                <w:color w:val="auto"/>
                <w:sz w:val="21"/>
                <w:highlight w:val="none"/>
              </w:rPr>
              <w:t>表</w:t>
            </w:r>
            <w:r>
              <w:rPr>
                <w:rFonts w:hint="eastAsia" w:ascii="Times New Roman" w:hAnsi="Times New Roman" w:eastAsia="黑体" w:cs="Times New Roman"/>
                <w:b w:val="0"/>
                <w:bCs w:val="0"/>
                <w:color w:val="auto"/>
                <w:sz w:val="21"/>
                <w:highlight w:val="none"/>
                <w:lang w:val="en-US" w:eastAsia="zh-CN"/>
              </w:rPr>
              <w:t>6-4</w:t>
            </w:r>
            <w:r>
              <w:rPr>
                <w:rFonts w:hint="eastAsia" w:ascii="Times New Roman" w:hAnsi="Times New Roman" w:eastAsia="黑体" w:cs="Times New Roman"/>
                <w:b w:val="0"/>
                <w:bCs w:val="0"/>
                <w:color w:val="auto"/>
                <w:sz w:val="21"/>
                <w:highlight w:val="none"/>
                <w:lang w:eastAsia="zh-CN"/>
              </w:rPr>
              <w:t>噪声检</w:t>
            </w:r>
            <w:r>
              <w:rPr>
                <w:rFonts w:hint="eastAsia" w:ascii="Times New Roman" w:hAnsi="Times New Roman" w:eastAsia="黑体" w:cs="Times New Roman"/>
                <w:b w:val="0"/>
                <w:bCs w:val="0"/>
                <w:color w:val="auto"/>
                <w:sz w:val="21"/>
                <w:highlight w:val="none"/>
              </w:rPr>
              <w:t>测信息统计表</w:t>
            </w:r>
          </w:p>
          <w:tbl>
            <w:tblPr>
              <w:tblStyle w:val="24"/>
              <w:tblW w:w="0" w:type="auto"/>
              <w:tblInd w:w="-29"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78"/>
              <w:gridCol w:w="3178"/>
              <w:gridCol w:w="1880"/>
            </w:tblGrid>
            <w:tr w14:paraId="3A0AB2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3088" w:type="dxa"/>
                  <w:noWrap w:val="0"/>
                  <w:vAlign w:val="center"/>
                </w:tcPr>
                <w:p w14:paraId="6DC4BC9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sz w:val="21"/>
                      <w:szCs w:val="21"/>
                      <w:highlight w:val="none"/>
                      <w:u w:val="none"/>
                      <w:lang w:val="en-US" w:eastAsia="zh-CN"/>
                    </w:rPr>
                  </w:pPr>
                  <w:r>
                    <w:rPr>
                      <w:rFonts w:hint="eastAsia" w:ascii="Times New Roman" w:hAnsi="Times New Roman" w:eastAsia="宋体" w:cs="Times New Roman"/>
                      <w:b w:val="0"/>
                      <w:bCs w:val="0"/>
                      <w:color w:val="000000"/>
                      <w:sz w:val="21"/>
                      <w:szCs w:val="21"/>
                      <w:highlight w:val="none"/>
                      <w:u w:val="none"/>
                      <w:lang w:val="en-US" w:eastAsia="zh-CN"/>
                    </w:rPr>
                    <w:t>采样点位</w:t>
                  </w:r>
                </w:p>
              </w:tc>
              <w:tc>
                <w:tcPr>
                  <w:tcW w:w="3188" w:type="dxa"/>
                  <w:noWrap w:val="0"/>
                  <w:vAlign w:val="center"/>
                </w:tcPr>
                <w:p w14:paraId="318426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sz w:val="21"/>
                      <w:szCs w:val="21"/>
                      <w:highlight w:val="none"/>
                      <w:u w:val="none"/>
                      <w:lang w:val="en-US" w:eastAsia="zh-CN"/>
                    </w:rPr>
                  </w:pPr>
                  <w:r>
                    <w:rPr>
                      <w:rFonts w:hint="eastAsia" w:ascii="Times New Roman" w:hAnsi="Times New Roman" w:eastAsia="宋体" w:cs="Times New Roman"/>
                      <w:b w:val="0"/>
                      <w:bCs w:val="0"/>
                      <w:color w:val="000000"/>
                      <w:sz w:val="21"/>
                      <w:szCs w:val="21"/>
                      <w:highlight w:val="none"/>
                      <w:u w:val="none"/>
                      <w:lang w:val="en-US" w:eastAsia="zh-CN"/>
                    </w:rPr>
                    <w:t>检测项目</w:t>
                  </w:r>
                </w:p>
              </w:tc>
              <w:tc>
                <w:tcPr>
                  <w:tcW w:w="1884" w:type="dxa"/>
                  <w:noWrap w:val="0"/>
                  <w:vAlign w:val="center"/>
                </w:tcPr>
                <w:p w14:paraId="6F79344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sz w:val="21"/>
                      <w:szCs w:val="21"/>
                      <w:highlight w:val="none"/>
                      <w:u w:val="none"/>
                      <w:lang w:val="en-US" w:eastAsia="zh-CN"/>
                    </w:rPr>
                  </w:pPr>
                  <w:r>
                    <w:rPr>
                      <w:rFonts w:hint="eastAsia" w:ascii="Times New Roman" w:hAnsi="Times New Roman" w:eastAsia="宋体" w:cs="Times New Roman"/>
                      <w:b w:val="0"/>
                      <w:bCs w:val="0"/>
                      <w:color w:val="000000"/>
                      <w:sz w:val="21"/>
                      <w:szCs w:val="21"/>
                      <w:highlight w:val="none"/>
                      <w:u w:val="none"/>
                      <w:lang w:val="en-US" w:eastAsia="zh-CN"/>
                    </w:rPr>
                    <w:t>检测频次</w:t>
                  </w:r>
                </w:p>
              </w:tc>
            </w:tr>
            <w:tr w14:paraId="26F438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3088" w:type="dxa"/>
                  <w:noWrap w:val="0"/>
                  <w:vAlign w:val="center"/>
                </w:tcPr>
                <w:p w14:paraId="688FCB6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sz w:val="21"/>
                      <w:szCs w:val="21"/>
                      <w:highlight w:val="none"/>
                      <w:u w:val="none"/>
                      <w:lang w:val="en-US" w:eastAsia="zh-CN"/>
                    </w:rPr>
                  </w:pPr>
                  <w:r>
                    <w:rPr>
                      <w:rFonts w:hint="eastAsia" w:ascii="Times New Roman" w:hAnsi="Times New Roman" w:eastAsia="宋体" w:cs="Times New Roman"/>
                      <w:b w:val="0"/>
                      <w:bCs w:val="0"/>
                      <w:color w:val="000000"/>
                      <w:sz w:val="21"/>
                      <w:szCs w:val="21"/>
                      <w:highlight w:val="none"/>
                      <w:u w:val="none"/>
                      <w:lang w:val="en-US" w:eastAsia="zh-CN"/>
                    </w:rPr>
                    <w:t>项目厂界东侧噪声Z1</w:t>
                  </w:r>
                </w:p>
              </w:tc>
              <w:tc>
                <w:tcPr>
                  <w:tcW w:w="3188" w:type="dxa"/>
                  <w:vMerge w:val="restart"/>
                  <w:noWrap w:val="0"/>
                  <w:vAlign w:val="center"/>
                </w:tcPr>
                <w:p w14:paraId="6B9FEE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sz w:val="21"/>
                      <w:szCs w:val="21"/>
                      <w:highlight w:val="none"/>
                      <w:u w:val="none"/>
                      <w:lang w:val="en-US" w:eastAsia="zh-CN"/>
                    </w:rPr>
                  </w:pPr>
                  <w:r>
                    <w:rPr>
                      <w:rFonts w:hint="eastAsia" w:ascii="Times New Roman" w:hAnsi="Times New Roman" w:eastAsia="宋体" w:cs="Times New Roman"/>
                      <w:b w:val="0"/>
                      <w:bCs w:val="0"/>
                      <w:color w:val="000000"/>
                      <w:sz w:val="21"/>
                      <w:szCs w:val="21"/>
                      <w:highlight w:val="none"/>
                      <w:u w:val="none"/>
                      <w:lang w:val="en-US" w:eastAsia="zh-CN"/>
                    </w:rPr>
                    <w:t>等效连续A声级Leq</w:t>
                  </w:r>
                </w:p>
              </w:tc>
              <w:tc>
                <w:tcPr>
                  <w:tcW w:w="1884" w:type="dxa"/>
                  <w:vMerge w:val="restart"/>
                  <w:noWrap w:val="0"/>
                  <w:vAlign w:val="center"/>
                </w:tcPr>
                <w:p w14:paraId="0A80D1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sz w:val="21"/>
                      <w:szCs w:val="21"/>
                      <w:highlight w:val="none"/>
                      <w:u w:val="none"/>
                      <w:lang w:val="en-US" w:eastAsia="zh-CN"/>
                    </w:rPr>
                  </w:pPr>
                  <w:r>
                    <w:rPr>
                      <w:rFonts w:hint="eastAsia" w:ascii="Times New Roman" w:hAnsi="Times New Roman" w:eastAsia="宋体" w:cs="Times New Roman"/>
                      <w:b w:val="0"/>
                      <w:bCs w:val="0"/>
                      <w:color w:val="000000"/>
                      <w:sz w:val="21"/>
                      <w:szCs w:val="21"/>
                      <w:highlight w:val="none"/>
                      <w:u w:val="none"/>
                      <w:lang w:val="en-US" w:eastAsia="zh-CN"/>
                    </w:rPr>
                    <w:t>监测2天，</w:t>
                  </w:r>
                </w:p>
                <w:p w14:paraId="40996B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sz w:val="21"/>
                      <w:szCs w:val="21"/>
                      <w:highlight w:val="none"/>
                      <w:u w:val="none"/>
                      <w:lang w:val="en-US" w:eastAsia="zh-CN"/>
                    </w:rPr>
                  </w:pPr>
                  <w:r>
                    <w:rPr>
                      <w:rFonts w:hint="eastAsia" w:ascii="Times New Roman" w:hAnsi="Times New Roman" w:eastAsia="宋体" w:cs="Times New Roman"/>
                      <w:b w:val="0"/>
                      <w:bCs w:val="0"/>
                      <w:color w:val="000000"/>
                      <w:sz w:val="21"/>
                      <w:szCs w:val="21"/>
                      <w:highlight w:val="none"/>
                      <w:u w:val="none"/>
                      <w:lang w:val="en-US" w:eastAsia="zh-CN"/>
                    </w:rPr>
                    <w:t>昼、夜各1次</w:t>
                  </w:r>
                </w:p>
              </w:tc>
            </w:tr>
            <w:tr w14:paraId="11605A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3088" w:type="dxa"/>
                  <w:noWrap w:val="0"/>
                  <w:vAlign w:val="center"/>
                </w:tcPr>
                <w:p w14:paraId="114257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sz w:val="21"/>
                      <w:szCs w:val="21"/>
                      <w:highlight w:val="none"/>
                      <w:u w:val="none"/>
                      <w:lang w:val="en-US" w:eastAsia="zh-CN"/>
                    </w:rPr>
                  </w:pPr>
                  <w:r>
                    <w:rPr>
                      <w:rFonts w:hint="eastAsia" w:ascii="Times New Roman" w:hAnsi="Times New Roman" w:eastAsia="宋体" w:cs="Times New Roman"/>
                      <w:b w:val="0"/>
                      <w:bCs w:val="0"/>
                      <w:color w:val="000000"/>
                      <w:sz w:val="21"/>
                      <w:szCs w:val="21"/>
                      <w:highlight w:val="none"/>
                      <w:u w:val="none"/>
                      <w:lang w:val="en-US" w:eastAsia="zh-CN"/>
                    </w:rPr>
                    <w:t>项目厂界南侧噪声Z2</w:t>
                  </w:r>
                </w:p>
              </w:tc>
              <w:tc>
                <w:tcPr>
                  <w:tcW w:w="3188" w:type="dxa"/>
                  <w:vMerge w:val="continue"/>
                  <w:noWrap w:val="0"/>
                  <w:vAlign w:val="center"/>
                </w:tcPr>
                <w:p w14:paraId="7E701C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sz w:val="21"/>
                      <w:szCs w:val="21"/>
                      <w:highlight w:val="none"/>
                      <w:u w:val="none"/>
                      <w:lang w:val="en-US" w:eastAsia="zh-CN"/>
                    </w:rPr>
                  </w:pPr>
                </w:p>
              </w:tc>
              <w:tc>
                <w:tcPr>
                  <w:tcW w:w="1884" w:type="dxa"/>
                  <w:vMerge w:val="continue"/>
                  <w:noWrap w:val="0"/>
                  <w:vAlign w:val="center"/>
                </w:tcPr>
                <w:p w14:paraId="16F7C3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sz w:val="21"/>
                      <w:szCs w:val="21"/>
                      <w:highlight w:val="none"/>
                      <w:u w:val="none"/>
                      <w:lang w:val="en-US" w:eastAsia="zh-CN"/>
                    </w:rPr>
                  </w:pPr>
                </w:p>
              </w:tc>
            </w:tr>
            <w:tr w14:paraId="37240E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3088" w:type="dxa"/>
                  <w:noWrap w:val="0"/>
                  <w:vAlign w:val="center"/>
                </w:tcPr>
                <w:p w14:paraId="5768E8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sz w:val="21"/>
                      <w:szCs w:val="21"/>
                      <w:highlight w:val="none"/>
                      <w:u w:val="none"/>
                      <w:lang w:val="en-US" w:eastAsia="zh-CN"/>
                    </w:rPr>
                  </w:pPr>
                  <w:r>
                    <w:rPr>
                      <w:rFonts w:hint="eastAsia" w:ascii="Times New Roman" w:hAnsi="Times New Roman" w:eastAsia="宋体" w:cs="Times New Roman"/>
                      <w:b w:val="0"/>
                      <w:bCs w:val="0"/>
                      <w:color w:val="000000"/>
                      <w:sz w:val="21"/>
                      <w:szCs w:val="21"/>
                      <w:highlight w:val="none"/>
                      <w:u w:val="none"/>
                      <w:lang w:val="en-US" w:eastAsia="zh-CN"/>
                    </w:rPr>
                    <w:t>项目厂界西侧噪声Z3</w:t>
                  </w:r>
                </w:p>
              </w:tc>
              <w:tc>
                <w:tcPr>
                  <w:tcW w:w="3188" w:type="dxa"/>
                  <w:vMerge w:val="continue"/>
                  <w:noWrap w:val="0"/>
                  <w:vAlign w:val="center"/>
                </w:tcPr>
                <w:p w14:paraId="521C26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sz w:val="21"/>
                      <w:szCs w:val="21"/>
                      <w:highlight w:val="none"/>
                      <w:u w:val="none"/>
                      <w:lang w:val="en-US" w:eastAsia="zh-CN"/>
                    </w:rPr>
                  </w:pPr>
                </w:p>
              </w:tc>
              <w:tc>
                <w:tcPr>
                  <w:tcW w:w="1884" w:type="dxa"/>
                  <w:vMerge w:val="continue"/>
                  <w:noWrap w:val="0"/>
                  <w:vAlign w:val="center"/>
                </w:tcPr>
                <w:p w14:paraId="04F434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sz w:val="21"/>
                      <w:szCs w:val="21"/>
                      <w:highlight w:val="none"/>
                      <w:u w:val="none"/>
                      <w:lang w:val="en-US" w:eastAsia="zh-CN"/>
                    </w:rPr>
                  </w:pPr>
                </w:p>
              </w:tc>
            </w:tr>
            <w:tr w14:paraId="78C1C1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3088" w:type="dxa"/>
                  <w:noWrap w:val="0"/>
                  <w:vAlign w:val="center"/>
                </w:tcPr>
                <w:p w14:paraId="197897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sz w:val="21"/>
                      <w:szCs w:val="21"/>
                      <w:highlight w:val="none"/>
                      <w:u w:val="none"/>
                      <w:lang w:val="en-US" w:eastAsia="zh-CN"/>
                    </w:rPr>
                  </w:pPr>
                  <w:r>
                    <w:rPr>
                      <w:rFonts w:hint="eastAsia" w:ascii="Times New Roman" w:hAnsi="Times New Roman" w:eastAsia="宋体" w:cs="Times New Roman"/>
                      <w:b w:val="0"/>
                      <w:bCs w:val="0"/>
                      <w:color w:val="000000"/>
                      <w:sz w:val="21"/>
                      <w:szCs w:val="21"/>
                      <w:highlight w:val="none"/>
                      <w:u w:val="none"/>
                      <w:lang w:val="en-US" w:eastAsia="zh-CN"/>
                    </w:rPr>
                    <w:t>项目厂界北侧噪声Z4</w:t>
                  </w:r>
                </w:p>
              </w:tc>
              <w:tc>
                <w:tcPr>
                  <w:tcW w:w="3188" w:type="dxa"/>
                  <w:vMerge w:val="continue"/>
                  <w:noWrap w:val="0"/>
                  <w:vAlign w:val="center"/>
                </w:tcPr>
                <w:p w14:paraId="42B7FA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sz w:val="21"/>
                      <w:szCs w:val="21"/>
                      <w:highlight w:val="none"/>
                      <w:u w:val="none"/>
                      <w:lang w:val="en-US" w:eastAsia="zh-CN"/>
                    </w:rPr>
                  </w:pPr>
                </w:p>
              </w:tc>
              <w:tc>
                <w:tcPr>
                  <w:tcW w:w="1884" w:type="dxa"/>
                  <w:vMerge w:val="continue"/>
                  <w:noWrap w:val="0"/>
                  <w:vAlign w:val="center"/>
                </w:tcPr>
                <w:p w14:paraId="18DE4B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sz w:val="21"/>
                      <w:szCs w:val="21"/>
                      <w:highlight w:val="none"/>
                      <w:u w:val="none"/>
                      <w:lang w:val="en-US" w:eastAsia="zh-CN"/>
                    </w:rPr>
                  </w:pPr>
                </w:p>
              </w:tc>
            </w:tr>
          </w:tbl>
          <w:p w14:paraId="5DFA74C6">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eastAsia="黑体"/>
                <w:b/>
                <w:color w:val="auto"/>
                <w:sz w:val="24"/>
                <w:szCs w:val="24"/>
                <w:highlight w:val="none"/>
                <w:vertAlign w:val="baseline"/>
                <w:lang w:val="en-US" w:eastAsia="zh-CN"/>
              </w:rPr>
            </w:pPr>
          </w:p>
          <w:p w14:paraId="0E8E92ED">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eastAsia="黑体"/>
                <w:b/>
                <w:color w:val="auto"/>
                <w:sz w:val="24"/>
                <w:szCs w:val="24"/>
                <w:highlight w:val="none"/>
                <w:vertAlign w:val="baseline"/>
                <w:lang w:val="en-US" w:eastAsia="zh-CN"/>
              </w:rPr>
            </w:pPr>
          </w:p>
          <w:p w14:paraId="2CB5627E">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eastAsia="黑体"/>
                <w:b/>
                <w:color w:val="auto"/>
                <w:sz w:val="24"/>
                <w:szCs w:val="24"/>
                <w:highlight w:val="none"/>
                <w:vertAlign w:val="baseline"/>
                <w:lang w:val="en-US" w:eastAsia="zh-CN"/>
              </w:rPr>
            </w:pPr>
          </w:p>
          <w:p w14:paraId="1033F1E8">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eastAsia="黑体"/>
                <w:b/>
                <w:color w:val="auto"/>
                <w:sz w:val="24"/>
                <w:szCs w:val="24"/>
                <w:highlight w:val="none"/>
                <w:vertAlign w:val="baseline"/>
                <w:lang w:val="en-US" w:eastAsia="zh-CN"/>
              </w:rPr>
            </w:pPr>
          </w:p>
        </w:tc>
      </w:tr>
    </w:tbl>
    <w:p w14:paraId="419E2146">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eastAsia="黑体"/>
          <w:b/>
          <w:color w:val="auto"/>
          <w:sz w:val="24"/>
          <w:szCs w:val="24"/>
          <w:highlight w:val="none"/>
          <w:vertAlign w:val="baseline"/>
          <w:lang w:val="en-US" w:eastAsia="zh-CN"/>
        </w:rPr>
      </w:pPr>
      <w:r>
        <w:rPr>
          <w:rFonts w:hint="eastAsia" w:ascii="Times New Roman" w:hAnsi="Times New Roman" w:eastAsia="黑体"/>
          <w:b/>
          <w:color w:val="auto"/>
          <w:sz w:val="24"/>
          <w:szCs w:val="24"/>
          <w:highlight w:val="none"/>
          <w:vertAlign w:val="baseline"/>
          <w:lang w:val="en-US" w:eastAsia="zh-CN"/>
        </w:rPr>
        <w:t>表七</w:t>
      </w:r>
    </w:p>
    <w:tbl>
      <w:tblPr>
        <w:tblStyle w:val="25"/>
        <w:tblW w:w="0" w:type="auto"/>
        <w:tblInd w:w="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78"/>
      </w:tblGrid>
      <w:tr w14:paraId="14F69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378" w:type="dxa"/>
          </w:tcPr>
          <w:p w14:paraId="616205FA">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b/>
                <w:bCs/>
                <w:color w:val="auto"/>
                <w:sz w:val="28"/>
                <w:highlight w:val="none"/>
                <w:vertAlign w:val="baseline"/>
                <w:lang w:val="en-US" w:eastAsia="zh-CN"/>
              </w:rPr>
            </w:pPr>
            <w:r>
              <w:rPr>
                <w:rFonts w:hint="default" w:ascii="Times New Roman" w:hAnsi="Times New Roman"/>
                <w:b/>
                <w:bCs/>
                <w:color w:val="auto"/>
                <w:sz w:val="28"/>
                <w:highlight w:val="none"/>
                <w:vertAlign w:val="baseline"/>
                <w:lang w:val="en-US" w:eastAsia="zh-CN"/>
              </w:rPr>
              <w:t>八、</w:t>
            </w:r>
            <w:r>
              <w:rPr>
                <w:rFonts w:hint="eastAsia" w:ascii="Times New Roman" w:hAnsi="Times New Roman" w:cs="Times New Roman"/>
                <w:b/>
                <w:bCs/>
                <w:sz w:val="28"/>
                <w:szCs w:val="28"/>
                <w:highlight w:val="none"/>
              </w:rPr>
              <w:t>验收监测期间生产</w:t>
            </w:r>
            <w:r>
              <w:rPr>
                <w:rFonts w:hint="eastAsia" w:ascii="Times New Roman" w:hAnsi="Times New Roman" w:cs="Times New Roman"/>
                <w:b/>
                <w:bCs/>
                <w:sz w:val="28"/>
                <w:szCs w:val="28"/>
                <w:highlight w:val="none"/>
                <w:lang w:eastAsia="zh-CN"/>
              </w:rPr>
              <w:t>及环保设施运行情况</w:t>
            </w:r>
            <w:r>
              <w:rPr>
                <w:rFonts w:hint="default" w:ascii="Times New Roman" w:hAnsi="Times New Roman"/>
                <w:b/>
                <w:bCs/>
                <w:color w:val="auto"/>
                <w:sz w:val="28"/>
                <w:highlight w:val="none"/>
                <w:vertAlign w:val="baseline"/>
                <w:lang w:val="en-US" w:eastAsia="zh-CN"/>
              </w:rPr>
              <w:t>：</w:t>
            </w:r>
          </w:p>
          <w:p w14:paraId="1593630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黑体"/>
                <w:b/>
                <w:color w:val="auto"/>
                <w:sz w:val="24"/>
                <w:szCs w:val="24"/>
                <w:highlight w:val="none"/>
                <w:vertAlign w:val="baseline"/>
                <w:lang w:val="en-US" w:eastAsia="zh-CN"/>
              </w:rPr>
            </w:pPr>
            <w:r>
              <w:rPr>
                <w:rFonts w:hint="default" w:ascii="Times New Roman" w:hAnsi="Times New Roman" w:eastAsia="宋体" w:cs="Times New Roman"/>
                <w:bCs/>
                <w:color w:val="auto"/>
                <w:kern w:val="2"/>
                <w:sz w:val="24"/>
                <w:szCs w:val="24"/>
                <w:highlight w:val="none"/>
                <w:lang w:val="en-US" w:eastAsia="zh-CN" w:bidi="ar-SA"/>
              </w:rPr>
              <w:t>20</w:t>
            </w:r>
            <w:r>
              <w:rPr>
                <w:rFonts w:hint="eastAsia" w:ascii="Times New Roman" w:hAnsi="Times New Roman" w:eastAsia="宋体" w:cs="Times New Roman"/>
                <w:bCs/>
                <w:color w:val="auto"/>
                <w:kern w:val="2"/>
                <w:sz w:val="24"/>
                <w:szCs w:val="24"/>
                <w:highlight w:val="none"/>
                <w:lang w:val="en-US" w:eastAsia="zh-CN" w:bidi="ar-SA"/>
              </w:rPr>
              <w:t>25</w:t>
            </w:r>
            <w:r>
              <w:rPr>
                <w:rFonts w:hint="default" w:ascii="Times New Roman" w:hAnsi="Times New Roman" w:eastAsia="宋体" w:cs="Times New Roman"/>
                <w:bCs/>
                <w:color w:val="auto"/>
                <w:kern w:val="2"/>
                <w:sz w:val="24"/>
                <w:szCs w:val="24"/>
                <w:highlight w:val="none"/>
                <w:lang w:val="en-US" w:eastAsia="zh-CN" w:bidi="ar-SA"/>
              </w:rPr>
              <w:t>年</w:t>
            </w:r>
            <w:r>
              <w:rPr>
                <w:rFonts w:hint="eastAsia" w:ascii="Times New Roman" w:hAnsi="Times New Roman" w:eastAsia="宋体" w:cs="Times New Roman"/>
                <w:bCs/>
                <w:color w:val="auto"/>
                <w:kern w:val="2"/>
                <w:sz w:val="24"/>
                <w:szCs w:val="24"/>
                <w:highlight w:val="none"/>
                <w:lang w:val="en-US" w:eastAsia="zh-CN" w:bidi="ar-SA"/>
              </w:rPr>
              <w:t>1</w:t>
            </w:r>
            <w:r>
              <w:rPr>
                <w:rFonts w:hint="default" w:ascii="Times New Roman" w:hAnsi="Times New Roman" w:eastAsia="宋体" w:cs="Times New Roman"/>
                <w:bCs/>
                <w:color w:val="auto"/>
                <w:kern w:val="2"/>
                <w:sz w:val="24"/>
                <w:szCs w:val="24"/>
                <w:highlight w:val="none"/>
                <w:lang w:val="en-US" w:eastAsia="zh-CN" w:bidi="ar-SA"/>
              </w:rPr>
              <w:t>月</w:t>
            </w:r>
            <w:r>
              <w:rPr>
                <w:rFonts w:hint="eastAsia" w:ascii="Times New Roman" w:hAnsi="Times New Roman" w:eastAsia="宋体" w:cs="Times New Roman"/>
                <w:bCs/>
                <w:color w:val="auto"/>
                <w:kern w:val="2"/>
                <w:sz w:val="24"/>
                <w:szCs w:val="24"/>
                <w:highlight w:val="none"/>
                <w:lang w:val="en-US" w:eastAsia="zh-CN" w:bidi="ar-SA"/>
              </w:rPr>
              <w:t>20</w:t>
            </w:r>
            <w:r>
              <w:rPr>
                <w:rFonts w:hint="default" w:ascii="Times New Roman" w:hAnsi="Times New Roman" w:eastAsia="宋体" w:cs="Times New Roman"/>
                <w:bCs/>
                <w:color w:val="auto"/>
                <w:kern w:val="2"/>
                <w:sz w:val="24"/>
                <w:szCs w:val="24"/>
                <w:highlight w:val="none"/>
                <w:lang w:val="en-US" w:eastAsia="zh-CN" w:bidi="ar-SA"/>
              </w:rPr>
              <w:t>日</w:t>
            </w:r>
            <w:r>
              <w:rPr>
                <w:rFonts w:hint="eastAsia" w:ascii="Times New Roman" w:hAnsi="Times New Roman" w:eastAsia="宋体" w:cs="Times New Roman"/>
                <w:bCs/>
                <w:color w:val="auto"/>
                <w:kern w:val="2"/>
                <w:sz w:val="24"/>
                <w:szCs w:val="24"/>
                <w:highlight w:val="none"/>
                <w:lang w:val="en-US" w:eastAsia="zh-CN" w:bidi="ar-SA"/>
              </w:rPr>
              <w:t>-21</w:t>
            </w:r>
            <w:r>
              <w:rPr>
                <w:rFonts w:hint="default" w:ascii="Times New Roman" w:hAnsi="Times New Roman" w:eastAsia="宋体" w:cs="Times New Roman"/>
                <w:bCs/>
                <w:color w:val="auto"/>
                <w:kern w:val="2"/>
                <w:sz w:val="24"/>
                <w:szCs w:val="24"/>
                <w:highlight w:val="none"/>
                <w:lang w:val="en-US" w:eastAsia="zh-CN" w:bidi="ar-SA"/>
              </w:rPr>
              <w:t>日，建设单位委托</w:t>
            </w:r>
            <w:r>
              <w:rPr>
                <w:rFonts w:hint="eastAsia" w:ascii="Times New Roman" w:hAnsi="Times New Roman" w:eastAsia="宋体" w:cs="Times New Roman"/>
                <w:bCs/>
                <w:color w:val="auto"/>
                <w:kern w:val="2"/>
                <w:sz w:val="24"/>
                <w:szCs w:val="24"/>
                <w:highlight w:val="none"/>
                <w:lang w:val="en-US" w:eastAsia="zh-CN" w:bidi="ar-SA"/>
              </w:rPr>
              <w:t>辽宁天圆检测有限责任公司</w:t>
            </w:r>
            <w:r>
              <w:rPr>
                <w:rFonts w:hint="default" w:ascii="Times New Roman" w:hAnsi="Times New Roman" w:eastAsia="宋体" w:cs="Times New Roman"/>
                <w:bCs/>
                <w:color w:val="auto"/>
                <w:kern w:val="2"/>
                <w:sz w:val="24"/>
                <w:szCs w:val="24"/>
                <w:highlight w:val="none"/>
                <w:lang w:val="en-US" w:eastAsia="zh-CN" w:bidi="ar-SA"/>
              </w:rPr>
              <w:t>对该项目进行污染源验收检测，</w:t>
            </w:r>
            <w:r>
              <w:rPr>
                <w:rFonts w:hint="eastAsia" w:ascii="Times New Roman" w:hAnsi="Times New Roman" w:eastAsia="宋体" w:cs="Times New Roman"/>
                <w:bCs/>
                <w:color w:val="auto"/>
                <w:kern w:val="2"/>
                <w:sz w:val="24"/>
                <w:szCs w:val="24"/>
                <w:highlight w:val="none"/>
                <w:lang w:val="en-US" w:eastAsia="zh-CN" w:bidi="ar-SA"/>
              </w:rPr>
              <w:t>验收检测期间建设单位主体工程工况稳定、环境保护设施运行正常。各项设施均正常运行。</w:t>
            </w:r>
          </w:p>
          <w:p w14:paraId="53FF83F5">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eastAsia="黑体"/>
                <w:b/>
                <w:color w:val="auto"/>
                <w:sz w:val="24"/>
                <w:szCs w:val="24"/>
                <w:highlight w:val="none"/>
                <w:vertAlign w:val="baseline"/>
                <w:lang w:val="en-US" w:eastAsia="zh-CN"/>
              </w:rPr>
            </w:pPr>
          </w:p>
        </w:tc>
      </w:tr>
      <w:tr w14:paraId="228A5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7" w:hRule="atLeast"/>
        </w:trPr>
        <w:tc>
          <w:tcPr>
            <w:tcW w:w="8378" w:type="dxa"/>
          </w:tcPr>
          <w:p w14:paraId="6D4A8997">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b/>
                <w:bCs/>
                <w:color w:val="auto"/>
                <w:sz w:val="28"/>
                <w:highlight w:val="none"/>
                <w:vertAlign w:val="baseline"/>
                <w:lang w:val="en-US" w:eastAsia="zh-CN"/>
              </w:rPr>
            </w:pPr>
            <w:r>
              <w:rPr>
                <w:rFonts w:hint="default" w:ascii="Times New Roman" w:hAnsi="Times New Roman"/>
                <w:b/>
                <w:bCs/>
                <w:color w:val="auto"/>
                <w:sz w:val="28"/>
                <w:highlight w:val="none"/>
                <w:vertAlign w:val="baseline"/>
                <w:lang w:val="en-US" w:eastAsia="zh-CN"/>
              </w:rPr>
              <w:t>九、验收监测结果：</w:t>
            </w:r>
          </w:p>
          <w:p w14:paraId="24BF2573">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b/>
                <w:color w:val="auto"/>
                <w:sz w:val="24"/>
                <w:highlight w:val="none"/>
                <w:vertAlign w:val="baseline"/>
                <w:lang w:val="en-US" w:eastAsia="zh-CN"/>
              </w:rPr>
            </w:pPr>
            <w:r>
              <w:rPr>
                <w:rFonts w:hint="default" w:ascii="Times New Roman" w:hAnsi="Times New Roman"/>
                <w:b/>
                <w:color w:val="auto"/>
                <w:sz w:val="24"/>
                <w:highlight w:val="none"/>
                <w:vertAlign w:val="baseline"/>
                <w:lang w:val="en-US" w:eastAsia="zh-CN"/>
              </w:rPr>
              <w:t>1 废气验收检测结果</w:t>
            </w:r>
          </w:p>
          <w:p w14:paraId="4C810428">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1.1有组织废气</w:t>
            </w:r>
          </w:p>
          <w:p w14:paraId="2D9D12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24"/>
                <w:szCs w:val="24"/>
                <w:highlight w:val="yellow"/>
                <w:lang w:val="en-US" w:eastAsia="zh-CN" w:bidi="ar-SA"/>
              </w:rPr>
            </w:pPr>
            <w:r>
              <w:rPr>
                <w:rFonts w:hint="eastAsia" w:ascii="Times New Roman" w:hAnsi="Times New Roman" w:eastAsia="黑体" w:cs="Times New Roman"/>
                <w:b w:val="0"/>
                <w:bCs w:val="0"/>
                <w:color w:val="auto"/>
                <w:sz w:val="21"/>
                <w:highlight w:val="none"/>
              </w:rPr>
              <w:t>表</w:t>
            </w:r>
            <w:r>
              <w:rPr>
                <w:rFonts w:hint="eastAsia" w:ascii="Times New Roman" w:hAnsi="Times New Roman" w:eastAsia="黑体" w:cs="Times New Roman"/>
                <w:b w:val="0"/>
                <w:bCs w:val="0"/>
                <w:color w:val="auto"/>
                <w:sz w:val="21"/>
                <w:highlight w:val="none"/>
                <w:lang w:val="en-US" w:eastAsia="zh-CN"/>
              </w:rPr>
              <w:t>7-1</w:t>
            </w:r>
            <w:r>
              <w:rPr>
                <w:rFonts w:hint="eastAsia" w:ascii="Times New Roman" w:hAnsi="Times New Roman" w:eastAsia="黑体" w:cs="Times New Roman"/>
                <w:b w:val="0"/>
                <w:bCs w:val="0"/>
                <w:color w:val="auto"/>
                <w:sz w:val="21"/>
                <w:highlight w:val="none"/>
                <w:lang w:eastAsia="zh-CN"/>
              </w:rPr>
              <w:t>有组织废气检测结果</w:t>
            </w:r>
          </w:p>
          <w:tbl>
            <w:tblPr>
              <w:tblStyle w:val="25"/>
              <w:tblW w:w="0" w:type="auto"/>
              <w:tblInd w:w="-49"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4"/>
              <w:gridCol w:w="832"/>
              <w:gridCol w:w="1186"/>
              <w:gridCol w:w="1246"/>
              <w:gridCol w:w="1292"/>
              <w:gridCol w:w="987"/>
              <w:gridCol w:w="987"/>
              <w:gridCol w:w="988"/>
            </w:tblGrid>
            <w:tr w14:paraId="0B6640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restart"/>
                  <w:vAlign w:val="center"/>
                </w:tcPr>
                <w:p w14:paraId="1FDC09A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监测</w:t>
                  </w:r>
                </w:p>
                <w:p w14:paraId="469640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日期</w:t>
                  </w:r>
                </w:p>
              </w:tc>
              <w:tc>
                <w:tcPr>
                  <w:tcW w:w="832" w:type="dxa"/>
                  <w:vMerge w:val="restart"/>
                  <w:vAlign w:val="center"/>
                </w:tcPr>
                <w:p w14:paraId="73C43F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监测</w:t>
                  </w:r>
                </w:p>
                <w:p w14:paraId="34B9C1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点位</w:t>
                  </w:r>
                </w:p>
              </w:tc>
              <w:tc>
                <w:tcPr>
                  <w:tcW w:w="2432" w:type="dxa"/>
                  <w:gridSpan w:val="2"/>
                  <w:vMerge w:val="restart"/>
                  <w:vAlign w:val="center"/>
                </w:tcPr>
                <w:p w14:paraId="784BE6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监测项目</w:t>
                  </w:r>
                </w:p>
              </w:tc>
              <w:tc>
                <w:tcPr>
                  <w:tcW w:w="1292" w:type="dxa"/>
                  <w:vMerge w:val="restart"/>
                  <w:vAlign w:val="center"/>
                </w:tcPr>
                <w:p w14:paraId="63106E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单位</w:t>
                  </w:r>
                </w:p>
              </w:tc>
              <w:tc>
                <w:tcPr>
                  <w:tcW w:w="2962" w:type="dxa"/>
                  <w:gridSpan w:val="3"/>
                  <w:vAlign w:val="center"/>
                </w:tcPr>
                <w:p w14:paraId="34E4EF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监测频次</w:t>
                  </w:r>
                </w:p>
              </w:tc>
            </w:tr>
            <w:tr w14:paraId="51DDBF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356E42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74A724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2432" w:type="dxa"/>
                  <w:gridSpan w:val="2"/>
                  <w:vMerge w:val="continue"/>
                  <w:vAlign w:val="center"/>
                </w:tcPr>
                <w:p w14:paraId="5023EE1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292" w:type="dxa"/>
                  <w:vMerge w:val="continue"/>
                  <w:vAlign w:val="center"/>
                </w:tcPr>
                <w:p w14:paraId="1DBAA8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987" w:type="dxa"/>
                  <w:vAlign w:val="center"/>
                </w:tcPr>
                <w:p w14:paraId="52B944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第一次</w:t>
                  </w:r>
                </w:p>
              </w:tc>
              <w:tc>
                <w:tcPr>
                  <w:tcW w:w="987" w:type="dxa"/>
                  <w:vAlign w:val="center"/>
                </w:tcPr>
                <w:p w14:paraId="05AB6D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第二次</w:t>
                  </w:r>
                </w:p>
              </w:tc>
              <w:tc>
                <w:tcPr>
                  <w:tcW w:w="988" w:type="dxa"/>
                  <w:vAlign w:val="center"/>
                </w:tcPr>
                <w:p w14:paraId="33430A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第三次</w:t>
                  </w:r>
                </w:p>
              </w:tc>
            </w:tr>
            <w:tr w14:paraId="5315F7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restart"/>
                  <w:vAlign w:val="center"/>
                </w:tcPr>
                <w:p w14:paraId="3540E0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1月20日</w:t>
                  </w:r>
                </w:p>
              </w:tc>
              <w:tc>
                <w:tcPr>
                  <w:tcW w:w="832" w:type="dxa"/>
                  <w:vMerge w:val="restart"/>
                  <w:vAlign w:val="center"/>
                </w:tcPr>
                <w:p w14:paraId="6E0B44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P1进口</w:t>
                  </w:r>
                </w:p>
              </w:tc>
              <w:tc>
                <w:tcPr>
                  <w:tcW w:w="2432" w:type="dxa"/>
                  <w:gridSpan w:val="2"/>
                  <w:vAlign w:val="center"/>
                </w:tcPr>
                <w:p w14:paraId="715366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标杆流量</w:t>
                  </w:r>
                </w:p>
              </w:tc>
              <w:tc>
                <w:tcPr>
                  <w:tcW w:w="1292" w:type="dxa"/>
                  <w:vAlign w:val="center"/>
                </w:tcPr>
                <w:p w14:paraId="7D202B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Nm3/h</w:t>
                  </w:r>
                </w:p>
              </w:tc>
              <w:tc>
                <w:tcPr>
                  <w:tcW w:w="987" w:type="dxa"/>
                  <w:vAlign w:val="center"/>
                </w:tcPr>
                <w:p w14:paraId="6DEA6F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154</w:t>
                  </w:r>
                </w:p>
              </w:tc>
              <w:tc>
                <w:tcPr>
                  <w:tcW w:w="987" w:type="dxa"/>
                  <w:vAlign w:val="center"/>
                </w:tcPr>
                <w:p w14:paraId="0567BD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166</w:t>
                  </w:r>
                </w:p>
              </w:tc>
              <w:tc>
                <w:tcPr>
                  <w:tcW w:w="988" w:type="dxa"/>
                  <w:vAlign w:val="center"/>
                </w:tcPr>
                <w:p w14:paraId="27CB57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169</w:t>
                  </w:r>
                </w:p>
              </w:tc>
            </w:tr>
            <w:tr w14:paraId="400AAA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5C0AE7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7EEFD1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Align w:val="center"/>
                </w:tcPr>
                <w:p w14:paraId="2C88DB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非甲烷总烃</w:t>
                  </w:r>
                </w:p>
              </w:tc>
              <w:tc>
                <w:tcPr>
                  <w:tcW w:w="1246" w:type="dxa"/>
                  <w:vAlign w:val="center"/>
                </w:tcPr>
                <w:p w14:paraId="728E71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54A73A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79CEC9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23.4</w:t>
                  </w:r>
                </w:p>
              </w:tc>
              <w:tc>
                <w:tcPr>
                  <w:tcW w:w="987" w:type="dxa"/>
                  <w:vAlign w:val="center"/>
                </w:tcPr>
                <w:p w14:paraId="4894FB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25.7</w:t>
                  </w:r>
                </w:p>
              </w:tc>
              <w:tc>
                <w:tcPr>
                  <w:tcW w:w="988" w:type="dxa"/>
                  <w:vAlign w:val="center"/>
                </w:tcPr>
                <w:p w14:paraId="1E98F9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22.6</w:t>
                  </w:r>
                </w:p>
              </w:tc>
            </w:tr>
            <w:tr w14:paraId="312419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2A2985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059DF6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Align w:val="center"/>
                </w:tcPr>
                <w:p w14:paraId="10EE90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苯乙烯</w:t>
                  </w:r>
                </w:p>
              </w:tc>
              <w:tc>
                <w:tcPr>
                  <w:tcW w:w="1246" w:type="dxa"/>
                  <w:vAlign w:val="center"/>
                </w:tcPr>
                <w:p w14:paraId="0C4630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2BD057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556A85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19.86</w:t>
                  </w:r>
                </w:p>
              </w:tc>
              <w:tc>
                <w:tcPr>
                  <w:tcW w:w="987" w:type="dxa"/>
                  <w:vAlign w:val="center"/>
                </w:tcPr>
                <w:p w14:paraId="49A71C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18.42</w:t>
                  </w:r>
                </w:p>
              </w:tc>
              <w:tc>
                <w:tcPr>
                  <w:tcW w:w="988" w:type="dxa"/>
                  <w:vAlign w:val="center"/>
                </w:tcPr>
                <w:p w14:paraId="6D31C4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19.3</w:t>
                  </w:r>
                </w:p>
              </w:tc>
            </w:tr>
            <w:tr w14:paraId="1E5C0F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7DC79A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7D74DD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Align w:val="center"/>
                </w:tcPr>
                <w:p w14:paraId="21CD91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甲苯</w:t>
                  </w:r>
                </w:p>
              </w:tc>
              <w:tc>
                <w:tcPr>
                  <w:tcW w:w="1246" w:type="dxa"/>
                  <w:vAlign w:val="center"/>
                </w:tcPr>
                <w:p w14:paraId="5B965D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7D586D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27D928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9.42</w:t>
                  </w:r>
                </w:p>
              </w:tc>
              <w:tc>
                <w:tcPr>
                  <w:tcW w:w="987" w:type="dxa"/>
                  <w:vAlign w:val="center"/>
                </w:tcPr>
                <w:p w14:paraId="17C1E3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9.12</w:t>
                  </w:r>
                </w:p>
              </w:tc>
              <w:tc>
                <w:tcPr>
                  <w:tcW w:w="988" w:type="dxa"/>
                  <w:vAlign w:val="center"/>
                </w:tcPr>
                <w:p w14:paraId="06EA1E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8.18</w:t>
                  </w:r>
                </w:p>
              </w:tc>
            </w:tr>
            <w:tr w14:paraId="66A701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721966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5579C3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Align w:val="center"/>
                </w:tcPr>
                <w:p w14:paraId="258697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乙苯</w:t>
                  </w:r>
                </w:p>
              </w:tc>
              <w:tc>
                <w:tcPr>
                  <w:tcW w:w="1246" w:type="dxa"/>
                  <w:vAlign w:val="center"/>
                </w:tcPr>
                <w:p w14:paraId="51919F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099604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04F122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12.44</w:t>
                  </w:r>
                </w:p>
              </w:tc>
              <w:tc>
                <w:tcPr>
                  <w:tcW w:w="987" w:type="dxa"/>
                  <w:vAlign w:val="center"/>
                </w:tcPr>
                <w:p w14:paraId="2D6424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11.21</w:t>
                  </w:r>
                </w:p>
              </w:tc>
              <w:tc>
                <w:tcPr>
                  <w:tcW w:w="988" w:type="dxa"/>
                  <w:vAlign w:val="center"/>
                </w:tcPr>
                <w:p w14:paraId="59379C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10.33</w:t>
                  </w:r>
                </w:p>
              </w:tc>
            </w:tr>
            <w:tr w14:paraId="036F4A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6147DC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restart"/>
                  <w:vAlign w:val="center"/>
                </w:tcPr>
                <w:p w14:paraId="50FD9A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P2进口</w:t>
                  </w:r>
                </w:p>
              </w:tc>
              <w:tc>
                <w:tcPr>
                  <w:tcW w:w="2432" w:type="dxa"/>
                  <w:gridSpan w:val="2"/>
                  <w:vAlign w:val="center"/>
                </w:tcPr>
                <w:p w14:paraId="39E607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标杆流量</w:t>
                  </w:r>
                </w:p>
              </w:tc>
              <w:tc>
                <w:tcPr>
                  <w:tcW w:w="1292" w:type="dxa"/>
                  <w:vAlign w:val="center"/>
                </w:tcPr>
                <w:p w14:paraId="33F420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Nm3/h</w:t>
                  </w:r>
                </w:p>
              </w:tc>
              <w:tc>
                <w:tcPr>
                  <w:tcW w:w="987" w:type="dxa"/>
                  <w:vAlign w:val="center"/>
                </w:tcPr>
                <w:p w14:paraId="2B43B3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112</w:t>
                  </w:r>
                </w:p>
              </w:tc>
              <w:tc>
                <w:tcPr>
                  <w:tcW w:w="987" w:type="dxa"/>
                  <w:vAlign w:val="center"/>
                </w:tcPr>
                <w:p w14:paraId="59044C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128</w:t>
                  </w:r>
                </w:p>
              </w:tc>
              <w:tc>
                <w:tcPr>
                  <w:tcW w:w="988" w:type="dxa"/>
                  <w:vAlign w:val="center"/>
                </w:tcPr>
                <w:p w14:paraId="6FDEB8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134</w:t>
                  </w:r>
                </w:p>
              </w:tc>
            </w:tr>
            <w:tr w14:paraId="7F46F3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6B379A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0A0C70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Align w:val="center"/>
                </w:tcPr>
                <w:p w14:paraId="01C99F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颗粒物</w:t>
                  </w:r>
                </w:p>
              </w:tc>
              <w:tc>
                <w:tcPr>
                  <w:tcW w:w="1246" w:type="dxa"/>
                  <w:vAlign w:val="center"/>
                </w:tcPr>
                <w:p w14:paraId="10B48D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440F98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20E150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369.7</w:t>
                  </w:r>
                </w:p>
              </w:tc>
              <w:tc>
                <w:tcPr>
                  <w:tcW w:w="987" w:type="dxa"/>
                  <w:vAlign w:val="center"/>
                </w:tcPr>
                <w:p w14:paraId="2F8946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396.4</w:t>
                  </w:r>
                </w:p>
              </w:tc>
              <w:tc>
                <w:tcPr>
                  <w:tcW w:w="988" w:type="dxa"/>
                  <w:vAlign w:val="center"/>
                </w:tcPr>
                <w:p w14:paraId="21E3BD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403.6</w:t>
                  </w:r>
                </w:p>
              </w:tc>
            </w:tr>
            <w:tr w14:paraId="236EE6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4F0D96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restart"/>
                  <w:vAlign w:val="center"/>
                </w:tcPr>
                <w:p w14:paraId="48D137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P3出口</w:t>
                  </w:r>
                </w:p>
              </w:tc>
              <w:tc>
                <w:tcPr>
                  <w:tcW w:w="2432" w:type="dxa"/>
                  <w:gridSpan w:val="2"/>
                  <w:vAlign w:val="center"/>
                </w:tcPr>
                <w:p w14:paraId="56AC06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标杆流量</w:t>
                  </w:r>
                </w:p>
              </w:tc>
              <w:tc>
                <w:tcPr>
                  <w:tcW w:w="1292" w:type="dxa"/>
                  <w:vAlign w:val="center"/>
                </w:tcPr>
                <w:p w14:paraId="511904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Nm3/h</w:t>
                  </w:r>
                </w:p>
              </w:tc>
              <w:tc>
                <w:tcPr>
                  <w:tcW w:w="987" w:type="dxa"/>
                  <w:vAlign w:val="center"/>
                </w:tcPr>
                <w:p w14:paraId="4D79D6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129</w:t>
                  </w:r>
                </w:p>
              </w:tc>
              <w:tc>
                <w:tcPr>
                  <w:tcW w:w="987" w:type="dxa"/>
                  <w:vAlign w:val="center"/>
                </w:tcPr>
                <w:p w14:paraId="3983EE6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167</w:t>
                  </w:r>
                </w:p>
              </w:tc>
              <w:tc>
                <w:tcPr>
                  <w:tcW w:w="988" w:type="dxa"/>
                  <w:vAlign w:val="center"/>
                </w:tcPr>
                <w:p w14:paraId="1AAE93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135</w:t>
                  </w:r>
                </w:p>
              </w:tc>
            </w:tr>
            <w:tr w14:paraId="0799C1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1A3E57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2A9D13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restart"/>
                  <w:vAlign w:val="center"/>
                </w:tcPr>
                <w:p w14:paraId="7475D7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颗粒物</w:t>
                  </w:r>
                </w:p>
              </w:tc>
              <w:tc>
                <w:tcPr>
                  <w:tcW w:w="1246" w:type="dxa"/>
                  <w:vAlign w:val="center"/>
                </w:tcPr>
                <w:p w14:paraId="797DF4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35028B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4E8790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2.6</w:t>
                  </w:r>
                </w:p>
              </w:tc>
              <w:tc>
                <w:tcPr>
                  <w:tcW w:w="987" w:type="dxa"/>
                  <w:vAlign w:val="center"/>
                </w:tcPr>
                <w:p w14:paraId="1398BB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2.9</w:t>
                  </w:r>
                </w:p>
              </w:tc>
              <w:tc>
                <w:tcPr>
                  <w:tcW w:w="988" w:type="dxa"/>
                  <w:vAlign w:val="center"/>
                </w:tcPr>
                <w:p w14:paraId="5DDEC1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3.2</w:t>
                  </w:r>
                </w:p>
              </w:tc>
            </w:tr>
            <w:tr w14:paraId="751609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7027A8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7FD535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continue"/>
                  <w:vAlign w:val="center"/>
                </w:tcPr>
                <w:p w14:paraId="199CF9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246" w:type="dxa"/>
                  <w:vAlign w:val="center"/>
                </w:tcPr>
                <w:p w14:paraId="37C486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排放速率</w:t>
                  </w:r>
                </w:p>
              </w:tc>
              <w:tc>
                <w:tcPr>
                  <w:tcW w:w="1292" w:type="dxa"/>
                  <w:vAlign w:val="center"/>
                </w:tcPr>
                <w:p w14:paraId="4C397E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kg/h</w:t>
                  </w:r>
                </w:p>
              </w:tc>
              <w:tc>
                <w:tcPr>
                  <w:tcW w:w="987" w:type="dxa"/>
                  <w:vAlign w:val="center"/>
                </w:tcPr>
                <w:p w14:paraId="7D8E15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3.4</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7" w:type="dxa"/>
                  <w:vAlign w:val="center"/>
                </w:tcPr>
                <w:p w14:paraId="05A967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4.8</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8" w:type="dxa"/>
                  <w:vAlign w:val="center"/>
                </w:tcPr>
                <w:p w14:paraId="53E29A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4.3</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r>
            <w:tr w14:paraId="0F2356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46759C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2AC565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restart"/>
                  <w:vAlign w:val="center"/>
                </w:tcPr>
                <w:p w14:paraId="604164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非甲烷总烃</w:t>
                  </w:r>
                </w:p>
              </w:tc>
              <w:tc>
                <w:tcPr>
                  <w:tcW w:w="1246" w:type="dxa"/>
                  <w:vAlign w:val="center"/>
                </w:tcPr>
                <w:p w14:paraId="4A86E3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0E9F51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27D12F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2.02</w:t>
                  </w:r>
                </w:p>
              </w:tc>
              <w:tc>
                <w:tcPr>
                  <w:tcW w:w="987" w:type="dxa"/>
                  <w:vAlign w:val="center"/>
                </w:tcPr>
                <w:p w14:paraId="329D69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2.10</w:t>
                  </w:r>
                </w:p>
              </w:tc>
              <w:tc>
                <w:tcPr>
                  <w:tcW w:w="988" w:type="dxa"/>
                  <w:vAlign w:val="center"/>
                </w:tcPr>
                <w:p w14:paraId="048355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1.88</w:t>
                  </w:r>
                </w:p>
              </w:tc>
            </w:tr>
            <w:tr w14:paraId="46BBE1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0D6590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68F13F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continue"/>
                  <w:vAlign w:val="center"/>
                </w:tcPr>
                <w:p w14:paraId="12217D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246" w:type="dxa"/>
                  <w:vAlign w:val="center"/>
                </w:tcPr>
                <w:p w14:paraId="0BE057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排放速率</w:t>
                  </w:r>
                </w:p>
              </w:tc>
              <w:tc>
                <w:tcPr>
                  <w:tcW w:w="1292" w:type="dxa"/>
                  <w:vAlign w:val="center"/>
                </w:tcPr>
                <w:p w14:paraId="1CB7F4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kg/h</w:t>
                  </w:r>
                </w:p>
              </w:tc>
              <w:tc>
                <w:tcPr>
                  <w:tcW w:w="987" w:type="dxa"/>
                  <w:vAlign w:val="center"/>
                </w:tcPr>
                <w:p w14:paraId="773625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2.6</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7" w:type="dxa"/>
                  <w:vAlign w:val="center"/>
                </w:tcPr>
                <w:p w14:paraId="0A6452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3.5</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8" w:type="dxa"/>
                  <w:vAlign w:val="center"/>
                </w:tcPr>
                <w:p w14:paraId="5FDE8F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2.5</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r>
            <w:tr w14:paraId="1CA5AB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1A3813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53AF70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restart"/>
                  <w:vAlign w:val="center"/>
                </w:tcPr>
                <w:p w14:paraId="233483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苯乙烯</w:t>
                  </w:r>
                </w:p>
              </w:tc>
              <w:tc>
                <w:tcPr>
                  <w:tcW w:w="1246" w:type="dxa"/>
                  <w:vAlign w:val="center"/>
                </w:tcPr>
                <w:p w14:paraId="3BF292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09F14B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492688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1.91</w:t>
                  </w:r>
                </w:p>
              </w:tc>
              <w:tc>
                <w:tcPr>
                  <w:tcW w:w="987" w:type="dxa"/>
                  <w:vAlign w:val="center"/>
                </w:tcPr>
                <w:p w14:paraId="3F595F1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1.74</w:t>
                  </w:r>
                </w:p>
              </w:tc>
              <w:tc>
                <w:tcPr>
                  <w:tcW w:w="988" w:type="dxa"/>
                  <w:vAlign w:val="center"/>
                </w:tcPr>
                <w:p w14:paraId="48F171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1.78</w:t>
                  </w:r>
                </w:p>
              </w:tc>
            </w:tr>
            <w:tr w14:paraId="240CAC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1ED98C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3C5256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continue"/>
                  <w:vAlign w:val="center"/>
                </w:tcPr>
                <w:p w14:paraId="103366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246" w:type="dxa"/>
                  <w:vAlign w:val="center"/>
                </w:tcPr>
                <w:p w14:paraId="7C24EA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排放速率</w:t>
                  </w:r>
                </w:p>
              </w:tc>
              <w:tc>
                <w:tcPr>
                  <w:tcW w:w="1292" w:type="dxa"/>
                  <w:vAlign w:val="center"/>
                </w:tcPr>
                <w:p w14:paraId="1A25D6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kg/h</w:t>
                  </w:r>
                </w:p>
              </w:tc>
              <w:tc>
                <w:tcPr>
                  <w:tcW w:w="987" w:type="dxa"/>
                  <w:vAlign w:val="center"/>
                </w:tcPr>
                <w:p w14:paraId="2E189E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2.5</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7" w:type="dxa"/>
                  <w:vAlign w:val="center"/>
                </w:tcPr>
                <w:p w14:paraId="51C09B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2.9</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8" w:type="dxa"/>
                  <w:vAlign w:val="center"/>
                </w:tcPr>
                <w:p w14:paraId="1E95B3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2.4</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r>
            <w:tr w14:paraId="76A313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55D890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6C7391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restart"/>
                  <w:vAlign w:val="center"/>
                </w:tcPr>
                <w:p w14:paraId="1CE52D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甲苯</w:t>
                  </w:r>
                </w:p>
              </w:tc>
              <w:tc>
                <w:tcPr>
                  <w:tcW w:w="1246" w:type="dxa"/>
                  <w:vAlign w:val="center"/>
                </w:tcPr>
                <w:p w14:paraId="1584DE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626ABD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6D31F2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0.928</w:t>
                  </w:r>
                </w:p>
              </w:tc>
              <w:tc>
                <w:tcPr>
                  <w:tcW w:w="987" w:type="dxa"/>
                  <w:vAlign w:val="center"/>
                </w:tcPr>
                <w:p w14:paraId="068545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0.788</w:t>
                  </w:r>
                </w:p>
              </w:tc>
              <w:tc>
                <w:tcPr>
                  <w:tcW w:w="988" w:type="dxa"/>
                  <w:vAlign w:val="center"/>
                </w:tcPr>
                <w:p w14:paraId="1F6081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0.851</w:t>
                  </w:r>
                </w:p>
              </w:tc>
            </w:tr>
            <w:tr w14:paraId="2D3994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33781E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0AA51C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continue"/>
                  <w:vAlign w:val="center"/>
                </w:tcPr>
                <w:p w14:paraId="143FC3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246" w:type="dxa"/>
                  <w:vAlign w:val="center"/>
                </w:tcPr>
                <w:p w14:paraId="1A8F47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排放速率</w:t>
                  </w:r>
                </w:p>
              </w:tc>
              <w:tc>
                <w:tcPr>
                  <w:tcW w:w="1292" w:type="dxa"/>
                  <w:vAlign w:val="center"/>
                </w:tcPr>
                <w:p w14:paraId="09A0DE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kg/h</w:t>
                  </w:r>
                </w:p>
              </w:tc>
              <w:tc>
                <w:tcPr>
                  <w:tcW w:w="987" w:type="dxa"/>
                  <w:vAlign w:val="center"/>
                </w:tcPr>
                <w:p w14:paraId="23DA64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1.2</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7" w:type="dxa"/>
                  <w:vAlign w:val="center"/>
                </w:tcPr>
                <w:p w14:paraId="09F8CD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1.3</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8" w:type="dxa"/>
                  <w:vAlign w:val="center"/>
                </w:tcPr>
                <w:p w14:paraId="7F7D25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1.1</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r>
            <w:tr w14:paraId="0710AD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101747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61BCB5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restart"/>
                  <w:vAlign w:val="center"/>
                </w:tcPr>
                <w:p w14:paraId="33318D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乙苯</w:t>
                  </w:r>
                </w:p>
              </w:tc>
              <w:tc>
                <w:tcPr>
                  <w:tcW w:w="1246" w:type="dxa"/>
                  <w:vAlign w:val="center"/>
                </w:tcPr>
                <w:p w14:paraId="53026F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2CACCA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055D81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1.26</w:t>
                  </w:r>
                </w:p>
              </w:tc>
              <w:tc>
                <w:tcPr>
                  <w:tcW w:w="987" w:type="dxa"/>
                  <w:vAlign w:val="center"/>
                </w:tcPr>
                <w:p w14:paraId="790AB3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1.01</w:t>
                  </w:r>
                </w:p>
              </w:tc>
              <w:tc>
                <w:tcPr>
                  <w:tcW w:w="988" w:type="dxa"/>
                  <w:vAlign w:val="center"/>
                </w:tcPr>
                <w:p w14:paraId="6B064F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1.02</w:t>
                  </w:r>
                </w:p>
              </w:tc>
            </w:tr>
            <w:tr w14:paraId="60D704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111889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38E086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continue"/>
                  <w:vAlign w:val="center"/>
                </w:tcPr>
                <w:p w14:paraId="24C786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246" w:type="dxa"/>
                  <w:vAlign w:val="center"/>
                </w:tcPr>
                <w:p w14:paraId="18F3D2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排放速率</w:t>
                  </w:r>
                </w:p>
              </w:tc>
              <w:tc>
                <w:tcPr>
                  <w:tcW w:w="1292" w:type="dxa"/>
                  <w:vAlign w:val="center"/>
                </w:tcPr>
                <w:p w14:paraId="581362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kg/h</w:t>
                  </w:r>
                </w:p>
              </w:tc>
              <w:tc>
                <w:tcPr>
                  <w:tcW w:w="987" w:type="dxa"/>
                  <w:vAlign w:val="center"/>
                </w:tcPr>
                <w:p w14:paraId="2EAEAC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1.6</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7" w:type="dxa"/>
                  <w:vAlign w:val="center"/>
                </w:tcPr>
                <w:p w14:paraId="7F66DF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1.7</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8" w:type="dxa"/>
                  <w:vAlign w:val="center"/>
                </w:tcPr>
                <w:p w14:paraId="55799D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1.4</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r>
            <w:tr w14:paraId="35A2F2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restart"/>
                  <w:vAlign w:val="center"/>
                </w:tcPr>
                <w:p w14:paraId="2D7905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1月21日</w:t>
                  </w:r>
                </w:p>
              </w:tc>
              <w:tc>
                <w:tcPr>
                  <w:tcW w:w="832" w:type="dxa"/>
                  <w:vMerge w:val="restart"/>
                  <w:vAlign w:val="center"/>
                </w:tcPr>
                <w:p w14:paraId="6AE22A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P1进口</w:t>
                  </w:r>
                </w:p>
              </w:tc>
              <w:tc>
                <w:tcPr>
                  <w:tcW w:w="2432" w:type="dxa"/>
                  <w:gridSpan w:val="2"/>
                  <w:vAlign w:val="center"/>
                </w:tcPr>
                <w:p w14:paraId="5D22B9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标杆流量</w:t>
                  </w:r>
                </w:p>
              </w:tc>
              <w:tc>
                <w:tcPr>
                  <w:tcW w:w="1292" w:type="dxa"/>
                  <w:vAlign w:val="center"/>
                </w:tcPr>
                <w:p w14:paraId="60E0DA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Nm3/h</w:t>
                  </w:r>
                </w:p>
              </w:tc>
              <w:tc>
                <w:tcPr>
                  <w:tcW w:w="987" w:type="dxa"/>
                  <w:vAlign w:val="center"/>
                </w:tcPr>
                <w:p w14:paraId="49DC50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159</w:t>
                  </w:r>
                </w:p>
              </w:tc>
              <w:tc>
                <w:tcPr>
                  <w:tcW w:w="987" w:type="dxa"/>
                  <w:vAlign w:val="center"/>
                </w:tcPr>
                <w:p w14:paraId="67495D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166</w:t>
                  </w:r>
                </w:p>
              </w:tc>
              <w:tc>
                <w:tcPr>
                  <w:tcW w:w="988" w:type="dxa"/>
                  <w:vAlign w:val="center"/>
                </w:tcPr>
                <w:p w14:paraId="4F7A8E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163</w:t>
                  </w:r>
                </w:p>
              </w:tc>
            </w:tr>
            <w:tr w14:paraId="092D26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4D6A28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5494EE1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Align w:val="center"/>
                </w:tcPr>
                <w:p w14:paraId="6B9215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非甲烷总烃</w:t>
                  </w:r>
                </w:p>
              </w:tc>
              <w:tc>
                <w:tcPr>
                  <w:tcW w:w="1246" w:type="dxa"/>
                  <w:vAlign w:val="center"/>
                </w:tcPr>
                <w:p w14:paraId="414AE8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270439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487509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159</w:t>
                  </w:r>
                </w:p>
              </w:tc>
              <w:tc>
                <w:tcPr>
                  <w:tcW w:w="987" w:type="dxa"/>
                  <w:vAlign w:val="center"/>
                </w:tcPr>
                <w:p w14:paraId="6B0D73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166</w:t>
                  </w:r>
                </w:p>
              </w:tc>
              <w:tc>
                <w:tcPr>
                  <w:tcW w:w="988" w:type="dxa"/>
                  <w:vAlign w:val="center"/>
                </w:tcPr>
                <w:p w14:paraId="69FBA3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163</w:t>
                  </w:r>
                </w:p>
              </w:tc>
            </w:tr>
            <w:tr w14:paraId="00E23E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246BD8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351172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Align w:val="center"/>
                </w:tcPr>
                <w:p w14:paraId="47397A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苯乙烯</w:t>
                  </w:r>
                </w:p>
              </w:tc>
              <w:tc>
                <w:tcPr>
                  <w:tcW w:w="1246" w:type="dxa"/>
                  <w:vAlign w:val="center"/>
                </w:tcPr>
                <w:p w14:paraId="4B6C60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03A330A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6F4867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19.9</w:t>
                  </w:r>
                </w:p>
              </w:tc>
              <w:tc>
                <w:tcPr>
                  <w:tcW w:w="987" w:type="dxa"/>
                  <w:vAlign w:val="center"/>
                </w:tcPr>
                <w:p w14:paraId="2A30B8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18.9</w:t>
                  </w:r>
                </w:p>
              </w:tc>
              <w:tc>
                <w:tcPr>
                  <w:tcW w:w="988" w:type="dxa"/>
                  <w:vAlign w:val="center"/>
                </w:tcPr>
                <w:p w14:paraId="3C1C36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18.8</w:t>
                  </w:r>
                </w:p>
              </w:tc>
            </w:tr>
            <w:tr w14:paraId="0025A3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439DB0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5E70CA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Align w:val="center"/>
                </w:tcPr>
                <w:p w14:paraId="41E8DA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甲苯</w:t>
                  </w:r>
                </w:p>
              </w:tc>
              <w:tc>
                <w:tcPr>
                  <w:tcW w:w="1246" w:type="dxa"/>
                  <w:vAlign w:val="center"/>
                </w:tcPr>
                <w:p w14:paraId="02D9DC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0F4EF6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32921D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20.8</w:t>
                  </w:r>
                </w:p>
              </w:tc>
              <w:tc>
                <w:tcPr>
                  <w:tcW w:w="987" w:type="dxa"/>
                  <w:vAlign w:val="center"/>
                </w:tcPr>
                <w:p w14:paraId="7E2084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19.61</w:t>
                  </w:r>
                </w:p>
              </w:tc>
              <w:tc>
                <w:tcPr>
                  <w:tcW w:w="988" w:type="dxa"/>
                  <w:vAlign w:val="center"/>
                </w:tcPr>
                <w:p w14:paraId="6F8A6A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21.4</w:t>
                  </w:r>
                </w:p>
              </w:tc>
            </w:tr>
            <w:tr w14:paraId="2C46A9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192AE7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044CBC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Align w:val="center"/>
                </w:tcPr>
                <w:p w14:paraId="6CD174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乙苯</w:t>
                  </w:r>
                </w:p>
              </w:tc>
              <w:tc>
                <w:tcPr>
                  <w:tcW w:w="1246" w:type="dxa"/>
                  <w:vAlign w:val="center"/>
                </w:tcPr>
                <w:p w14:paraId="2656BA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4E88D4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78AD02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13.5</w:t>
                  </w:r>
                </w:p>
              </w:tc>
              <w:tc>
                <w:tcPr>
                  <w:tcW w:w="987" w:type="dxa"/>
                  <w:vAlign w:val="center"/>
                </w:tcPr>
                <w:p w14:paraId="6FF13C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11.1</w:t>
                  </w:r>
                </w:p>
              </w:tc>
              <w:tc>
                <w:tcPr>
                  <w:tcW w:w="988" w:type="dxa"/>
                  <w:vAlign w:val="center"/>
                </w:tcPr>
                <w:p w14:paraId="677C21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10.6</w:t>
                  </w:r>
                </w:p>
              </w:tc>
            </w:tr>
            <w:tr w14:paraId="2C4725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4C9E74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restart"/>
                  <w:vAlign w:val="center"/>
                </w:tcPr>
                <w:p w14:paraId="7EE36B3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P2进口</w:t>
                  </w:r>
                </w:p>
              </w:tc>
              <w:tc>
                <w:tcPr>
                  <w:tcW w:w="2432" w:type="dxa"/>
                  <w:gridSpan w:val="2"/>
                  <w:vAlign w:val="center"/>
                </w:tcPr>
                <w:p w14:paraId="7254E9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标杆流量</w:t>
                  </w:r>
                </w:p>
              </w:tc>
              <w:tc>
                <w:tcPr>
                  <w:tcW w:w="1292" w:type="dxa"/>
                  <w:vAlign w:val="center"/>
                </w:tcPr>
                <w:p w14:paraId="64E20E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Nm3/h</w:t>
                  </w:r>
                </w:p>
              </w:tc>
              <w:tc>
                <w:tcPr>
                  <w:tcW w:w="987" w:type="dxa"/>
                  <w:vAlign w:val="center"/>
                </w:tcPr>
                <w:p w14:paraId="1EFC367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123</w:t>
                  </w:r>
                </w:p>
              </w:tc>
              <w:tc>
                <w:tcPr>
                  <w:tcW w:w="987" w:type="dxa"/>
                  <w:vAlign w:val="center"/>
                </w:tcPr>
                <w:p w14:paraId="63D397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114</w:t>
                  </w:r>
                </w:p>
              </w:tc>
              <w:tc>
                <w:tcPr>
                  <w:tcW w:w="988" w:type="dxa"/>
                  <w:vAlign w:val="center"/>
                </w:tcPr>
                <w:p w14:paraId="3D6CD5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118</w:t>
                  </w:r>
                </w:p>
              </w:tc>
            </w:tr>
            <w:tr w14:paraId="27E512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6351D1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78FCB5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Align w:val="center"/>
                </w:tcPr>
                <w:p w14:paraId="65D3C4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颗粒物</w:t>
                  </w:r>
                </w:p>
              </w:tc>
              <w:tc>
                <w:tcPr>
                  <w:tcW w:w="1246" w:type="dxa"/>
                  <w:vAlign w:val="center"/>
                </w:tcPr>
                <w:p w14:paraId="5D1481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775878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5AF09F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345.6</w:t>
                  </w:r>
                </w:p>
              </w:tc>
              <w:tc>
                <w:tcPr>
                  <w:tcW w:w="987" w:type="dxa"/>
                  <w:vAlign w:val="center"/>
                </w:tcPr>
                <w:p w14:paraId="740BBC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366.4</w:t>
                  </w:r>
                </w:p>
              </w:tc>
              <w:tc>
                <w:tcPr>
                  <w:tcW w:w="988" w:type="dxa"/>
                  <w:vAlign w:val="center"/>
                </w:tcPr>
                <w:p w14:paraId="24B998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396.7</w:t>
                  </w:r>
                </w:p>
              </w:tc>
            </w:tr>
            <w:tr w14:paraId="6DAF10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076A5D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restart"/>
                  <w:vAlign w:val="center"/>
                </w:tcPr>
                <w:p w14:paraId="071F86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P3出口</w:t>
                  </w:r>
                </w:p>
              </w:tc>
              <w:tc>
                <w:tcPr>
                  <w:tcW w:w="2432" w:type="dxa"/>
                  <w:gridSpan w:val="2"/>
                  <w:vAlign w:val="center"/>
                </w:tcPr>
                <w:p w14:paraId="01AEC9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标杆流量</w:t>
                  </w:r>
                </w:p>
              </w:tc>
              <w:tc>
                <w:tcPr>
                  <w:tcW w:w="1292" w:type="dxa"/>
                  <w:vAlign w:val="center"/>
                </w:tcPr>
                <w:p w14:paraId="386001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Nm3/h</w:t>
                  </w:r>
                </w:p>
              </w:tc>
              <w:tc>
                <w:tcPr>
                  <w:tcW w:w="987" w:type="dxa"/>
                  <w:vAlign w:val="center"/>
                </w:tcPr>
                <w:p w14:paraId="7AB66B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126</w:t>
                  </w:r>
                </w:p>
              </w:tc>
              <w:tc>
                <w:tcPr>
                  <w:tcW w:w="987" w:type="dxa"/>
                  <w:vAlign w:val="center"/>
                </w:tcPr>
                <w:p w14:paraId="00BD47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133</w:t>
                  </w:r>
                </w:p>
              </w:tc>
              <w:tc>
                <w:tcPr>
                  <w:tcW w:w="988" w:type="dxa"/>
                  <w:vAlign w:val="center"/>
                </w:tcPr>
                <w:p w14:paraId="0025FA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124</w:t>
                  </w:r>
                </w:p>
              </w:tc>
            </w:tr>
            <w:tr w14:paraId="5A53ED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642872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5E91E0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restart"/>
                  <w:vAlign w:val="center"/>
                </w:tcPr>
                <w:p w14:paraId="73C35A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颗粒物</w:t>
                  </w:r>
                </w:p>
              </w:tc>
              <w:tc>
                <w:tcPr>
                  <w:tcW w:w="1246" w:type="dxa"/>
                  <w:vAlign w:val="center"/>
                </w:tcPr>
                <w:p w14:paraId="62BD0C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71FDD3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531192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3.2</w:t>
                  </w:r>
                </w:p>
              </w:tc>
              <w:tc>
                <w:tcPr>
                  <w:tcW w:w="987" w:type="dxa"/>
                  <w:vAlign w:val="center"/>
                </w:tcPr>
                <w:p w14:paraId="01D2E9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2.8</w:t>
                  </w:r>
                </w:p>
              </w:tc>
              <w:tc>
                <w:tcPr>
                  <w:tcW w:w="988" w:type="dxa"/>
                  <w:vAlign w:val="center"/>
                </w:tcPr>
                <w:p w14:paraId="3AC4B8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2.6</w:t>
                  </w:r>
                </w:p>
              </w:tc>
            </w:tr>
            <w:tr w14:paraId="6375B3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4D5FA0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03CB65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continue"/>
                  <w:vAlign w:val="center"/>
                </w:tcPr>
                <w:p w14:paraId="39E6B5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246" w:type="dxa"/>
                  <w:vAlign w:val="center"/>
                </w:tcPr>
                <w:p w14:paraId="72ADF4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排放速率</w:t>
                  </w:r>
                </w:p>
              </w:tc>
              <w:tc>
                <w:tcPr>
                  <w:tcW w:w="1292" w:type="dxa"/>
                  <w:vAlign w:val="center"/>
                </w:tcPr>
                <w:p w14:paraId="550628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kg/h</w:t>
                  </w:r>
                </w:p>
              </w:tc>
              <w:tc>
                <w:tcPr>
                  <w:tcW w:w="987" w:type="dxa"/>
                  <w:vAlign w:val="center"/>
                </w:tcPr>
                <w:p w14:paraId="5F7D15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4.0</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7" w:type="dxa"/>
                  <w:vAlign w:val="center"/>
                </w:tcPr>
                <w:p w14:paraId="5DFDE2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3.7</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8" w:type="dxa"/>
                  <w:vAlign w:val="center"/>
                </w:tcPr>
                <w:p w14:paraId="5FACFF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3.2</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r>
            <w:tr w14:paraId="40D4B4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6D15D4A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5CDFC2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restart"/>
                  <w:vAlign w:val="center"/>
                </w:tcPr>
                <w:p w14:paraId="34203F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非甲烷总烃</w:t>
                  </w:r>
                </w:p>
              </w:tc>
              <w:tc>
                <w:tcPr>
                  <w:tcW w:w="1246" w:type="dxa"/>
                  <w:vAlign w:val="center"/>
                </w:tcPr>
                <w:p w14:paraId="02DFC4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2476DF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64C403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1.94</w:t>
                  </w:r>
                </w:p>
              </w:tc>
              <w:tc>
                <w:tcPr>
                  <w:tcW w:w="987" w:type="dxa"/>
                  <w:vAlign w:val="center"/>
                </w:tcPr>
                <w:p w14:paraId="11864A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1.80</w:t>
                  </w:r>
                </w:p>
              </w:tc>
              <w:tc>
                <w:tcPr>
                  <w:tcW w:w="988" w:type="dxa"/>
                  <w:vAlign w:val="center"/>
                </w:tcPr>
                <w:p w14:paraId="3ACF4D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1.79</w:t>
                  </w:r>
                </w:p>
              </w:tc>
            </w:tr>
            <w:tr w14:paraId="736E3A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19CE2D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6A22F5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continue"/>
                  <w:vAlign w:val="center"/>
                </w:tcPr>
                <w:p w14:paraId="3EF6FD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246" w:type="dxa"/>
                  <w:vAlign w:val="center"/>
                </w:tcPr>
                <w:p w14:paraId="76AAD2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排放速率</w:t>
                  </w:r>
                </w:p>
              </w:tc>
              <w:tc>
                <w:tcPr>
                  <w:tcW w:w="1292" w:type="dxa"/>
                  <w:vAlign w:val="center"/>
                </w:tcPr>
                <w:p w14:paraId="6B564A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kg/h</w:t>
                  </w:r>
                </w:p>
              </w:tc>
              <w:tc>
                <w:tcPr>
                  <w:tcW w:w="987" w:type="dxa"/>
                  <w:vAlign w:val="center"/>
                </w:tcPr>
                <w:p w14:paraId="3D0ECA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2.4</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7" w:type="dxa"/>
                  <w:vAlign w:val="center"/>
                </w:tcPr>
                <w:p w14:paraId="3B1CA8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2.4</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8" w:type="dxa"/>
                  <w:vAlign w:val="center"/>
                </w:tcPr>
                <w:p w14:paraId="7CE0A3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2.2</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r>
            <w:tr w14:paraId="525604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6B9C48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3BA4C5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restart"/>
                  <w:vAlign w:val="center"/>
                </w:tcPr>
                <w:p w14:paraId="370E99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苯乙烯</w:t>
                  </w:r>
                </w:p>
              </w:tc>
              <w:tc>
                <w:tcPr>
                  <w:tcW w:w="1246" w:type="dxa"/>
                  <w:vAlign w:val="center"/>
                </w:tcPr>
                <w:p w14:paraId="06453F1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12EB10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29344A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2.32</w:t>
                  </w:r>
                </w:p>
              </w:tc>
              <w:tc>
                <w:tcPr>
                  <w:tcW w:w="987" w:type="dxa"/>
                  <w:vAlign w:val="center"/>
                </w:tcPr>
                <w:p w14:paraId="1527CA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1.86</w:t>
                  </w:r>
                </w:p>
              </w:tc>
              <w:tc>
                <w:tcPr>
                  <w:tcW w:w="988" w:type="dxa"/>
                  <w:vAlign w:val="center"/>
                </w:tcPr>
                <w:p w14:paraId="756833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2.07</w:t>
                  </w:r>
                </w:p>
              </w:tc>
            </w:tr>
            <w:tr w14:paraId="7137B9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7B2E79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2B7B52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continue"/>
                  <w:vAlign w:val="center"/>
                </w:tcPr>
                <w:p w14:paraId="5282CF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246" w:type="dxa"/>
                  <w:vAlign w:val="center"/>
                </w:tcPr>
                <w:p w14:paraId="72F65C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排放速率</w:t>
                  </w:r>
                </w:p>
              </w:tc>
              <w:tc>
                <w:tcPr>
                  <w:tcW w:w="1292" w:type="dxa"/>
                  <w:vAlign w:val="center"/>
                </w:tcPr>
                <w:p w14:paraId="18B7659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kg/h</w:t>
                  </w:r>
                </w:p>
              </w:tc>
              <w:tc>
                <w:tcPr>
                  <w:tcW w:w="987" w:type="dxa"/>
                  <w:vAlign w:val="center"/>
                </w:tcPr>
                <w:p w14:paraId="0BD720A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2.9</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7" w:type="dxa"/>
                  <w:vAlign w:val="center"/>
                </w:tcPr>
                <w:p w14:paraId="02CC76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2.5</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8" w:type="dxa"/>
                  <w:vAlign w:val="center"/>
                </w:tcPr>
                <w:p w14:paraId="2531BA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2.6</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r>
            <w:tr w14:paraId="72040B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197E96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5ACD57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restart"/>
                  <w:vAlign w:val="center"/>
                </w:tcPr>
                <w:p w14:paraId="66AF13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甲苯</w:t>
                  </w:r>
                </w:p>
              </w:tc>
              <w:tc>
                <w:tcPr>
                  <w:tcW w:w="1246" w:type="dxa"/>
                  <w:vAlign w:val="center"/>
                </w:tcPr>
                <w:p w14:paraId="41EF99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7F14A2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6DE65C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1.04</w:t>
                  </w:r>
                </w:p>
              </w:tc>
              <w:tc>
                <w:tcPr>
                  <w:tcW w:w="987" w:type="dxa"/>
                  <w:vAlign w:val="center"/>
                </w:tcPr>
                <w:p w14:paraId="299229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0.994</w:t>
                  </w:r>
                </w:p>
              </w:tc>
              <w:tc>
                <w:tcPr>
                  <w:tcW w:w="988" w:type="dxa"/>
                  <w:vAlign w:val="center"/>
                </w:tcPr>
                <w:p w14:paraId="65E5DE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1.01</w:t>
                  </w:r>
                </w:p>
              </w:tc>
            </w:tr>
            <w:tr w14:paraId="36E793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0312B7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523E49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continue"/>
                  <w:vAlign w:val="center"/>
                </w:tcPr>
                <w:p w14:paraId="09CB9B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246" w:type="dxa"/>
                  <w:vAlign w:val="center"/>
                </w:tcPr>
                <w:p w14:paraId="66278A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排放速率</w:t>
                  </w:r>
                </w:p>
              </w:tc>
              <w:tc>
                <w:tcPr>
                  <w:tcW w:w="1292" w:type="dxa"/>
                  <w:vAlign w:val="center"/>
                </w:tcPr>
                <w:p w14:paraId="0FED13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kg/h</w:t>
                  </w:r>
                </w:p>
              </w:tc>
              <w:tc>
                <w:tcPr>
                  <w:tcW w:w="987" w:type="dxa"/>
                  <w:vAlign w:val="center"/>
                </w:tcPr>
                <w:p w14:paraId="443610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1.3</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7" w:type="dxa"/>
                  <w:vAlign w:val="center"/>
                </w:tcPr>
                <w:p w14:paraId="5176DC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1.3</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8" w:type="dxa"/>
                  <w:vAlign w:val="center"/>
                </w:tcPr>
                <w:p w14:paraId="4110C7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1.2</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r>
            <w:tr w14:paraId="780E30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3B9821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1EB698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restart"/>
                  <w:vAlign w:val="center"/>
                </w:tcPr>
                <w:p w14:paraId="76EECA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乙苯</w:t>
                  </w:r>
                </w:p>
              </w:tc>
              <w:tc>
                <w:tcPr>
                  <w:tcW w:w="1246" w:type="dxa"/>
                  <w:vAlign w:val="center"/>
                </w:tcPr>
                <w:p w14:paraId="6D5531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实测浓度</w:t>
                  </w:r>
                </w:p>
              </w:tc>
              <w:tc>
                <w:tcPr>
                  <w:tcW w:w="1292" w:type="dxa"/>
                  <w:vAlign w:val="center"/>
                </w:tcPr>
                <w:p w14:paraId="32B153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mg/m3</w:t>
                  </w:r>
                </w:p>
              </w:tc>
              <w:tc>
                <w:tcPr>
                  <w:tcW w:w="987" w:type="dxa"/>
                  <w:vAlign w:val="center"/>
                </w:tcPr>
                <w:p w14:paraId="3807D3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1.33</w:t>
                  </w:r>
                </w:p>
              </w:tc>
              <w:tc>
                <w:tcPr>
                  <w:tcW w:w="987" w:type="dxa"/>
                  <w:vAlign w:val="center"/>
                </w:tcPr>
                <w:p w14:paraId="4E300E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1.07</w:t>
                  </w:r>
                </w:p>
              </w:tc>
              <w:tc>
                <w:tcPr>
                  <w:tcW w:w="988" w:type="dxa"/>
                  <w:vAlign w:val="center"/>
                </w:tcPr>
                <w:p w14:paraId="5E55EA3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1.11</w:t>
                  </w:r>
                </w:p>
              </w:tc>
            </w:tr>
            <w:tr w14:paraId="418812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dxa"/>
                  <w:vMerge w:val="continue"/>
                  <w:vAlign w:val="center"/>
                </w:tcPr>
                <w:p w14:paraId="29F20D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832" w:type="dxa"/>
                  <w:vMerge w:val="continue"/>
                  <w:vAlign w:val="center"/>
                </w:tcPr>
                <w:p w14:paraId="680C4B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186" w:type="dxa"/>
                  <w:vMerge w:val="continue"/>
                  <w:vAlign w:val="center"/>
                </w:tcPr>
                <w:p w14:paraId="07DB60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p>
              </w:tc>
              <w:tc>
                <w:tcPr>
                  <w:tcW w:w="1246" w:type="dxa"/>
                  <w:vAlign w:val="center"/>
                </w:tcPr>
                <w:p w14:paraId="46ED3F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排放速率</w:t>
                  </w:r>
                </w:p>
              </w:tc>
              <w:tc>
                <w:tcPr>
                  <w:tcW w:w="1292" w:type="dxa"/>
                  <w:vAlign w:val="center"/>
                </w:tcPr>
                <w:p w14:paraId="57E550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kg/h</w:t>
                  </w:r>
                </w:p>
              </w:tc>
              <w:tc>
                <w:tcPr>
                  <w:tcW w:w="987" w:type="dxa"/>
                  <w:vAlign w:val="center"/>
                </w:tcPr>
                <w:p w14:paraId="6EE42A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1.7</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7" w:type="dxa"/>
                  <w:vAlign w:val="center"/>
                </w:tcPr>
                <w:p w14:paraId="4A6E60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1.4</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988" w:type="dxa"/>
                  <w:vAlign w:val="center"/>
                </w:tcPr>
                <w:p w14:paraId="0B972C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1.4</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r>
          </w:tbl>
          <w:p w14:paraId="5772FD6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lang w:val="en-US" w:eastAsia="zh-CN"/>
              </w:rPr>
              <w:t>监测结果表明：本项目有组织废气满足</w:t>
            </w:r>
            <w:r>
              <w:rPr>
                <w:rFonts w:hint="default" w:ascii="Times New Roman" w:hAnsi="Times New Roman" w:eastAsia="宋体"/>
                <w:color w:val="auto"/>
                <w:sz w:val="24"/>
                <w:highlight w:val="none"/>
                <w:lang w:val="en-US" w:eastAsia="zh-CN"/>
              </w:rPr>
              <w:t>《合成树脂工业污染物排放标准》(GB31572-2015)</w:t>
            </w:r>
            <w:r>
              <w:rPr>
                <w:rFonts w:hint="eastAsia" w:ascii="Times New Roman" w:hAnsi="Times New Roman" w:eastAsia="宋体"/>
                <w:color w:val="auto"/>
                <w:sz w:val="24"/>
                <w:highlight w:val="none"/>
                <w:lang w:val="en-US" w:eastAsia="zh-CN"/>
              </w:rPr>
              <w:t>及2024年修改单</w:t>
            </w:r>
            <w:r>
              <w:rPr>
                <w:rFonts w:hint="default" w:ascii="Times New Roman" w:hAnsi="Times New Roman" w:eastAsia="宋体"/>
                <w:color w:val="auto"/>
                <w:sz w:val="24"/>
                <w:highlight w:val="none"/>
                <w:lang w:val="en-US" w:eastAsia="zh-CN"/>
              </w:rPr>
              <w:t>表5大气污染物特别排放限值</w:t>
            </w:r>
            <w:r>
              <w:rPr>
                <w:rFonts w:hint="eastAsia" w:ascii="Times New Roman" w:hAnsi="Times New Roman" w:eastAsia="宋体"/>
                <w:color w:val="auto"/>
                <w:sz w:val="24"/>
                <w:highlight w:val="none"/>
                <w:lang w:val="en-US" w:eastAsia="zh-CN"/>
              </w:rPr>
              <w:t>，</w:t>
            </w:r>
            <w:r>
              <w:rPr>
                <w:rFonts w:hint="eastAsia" w:ascii="Times New Roman" w:hAnsi="Times New Roman" w:eastAsia="宋体" w:cs="Times New Roman"/>
                <w:bCs/>
                <w:color w:val="auto"/>
                <w:kern w:val="2"/>
                <w:sz w:val="24"/>
                <w:szCs w:val="24"/>
                <w:highlight w:val="none"/>
                <w:lang w:val="en-US" w:eastAsia="zh-CN" w:bidi="ar-SA"/>
              </w:rPr>
              <w:t>即非甲烷总烃：60m</w:t>
            </w:r>
            <w:r>
              <w:rPr>
                <w:rFonts w:hint="default" w:ascii="Times New Roman" w:hAnsi="Times New Roman" w:eastAsia="宋体" w:cs="Times New Roman"/>
                <w:bCs/>
                <w:color w:val="auto"/>
                <w:kern w:val="2"/>
                <w:sz w:val="24"/>
                <w:szCs w:val="24"/>
                <w:highlight w:val="none"/>
                <w:lang w:val="en-US" w:eastAsia="zh-CN" w:bidi="ar-SA"/>
              </w:rPr>
              <w:t>g/m</w:t>
            </w:r>
            <w:r>
              <w:rPr>
                <w:rFonts w:hint="default" w:ascii="Times New Roman" w:hAnsi="Times New Roman" w:eastAsia="宋体" w:cs="Times New Roman"/>
                <w:bCs/>
                <w:color w:val="auto"/>
                <w:kern w:val="2"/>
                <w:sz w:val="24"/>
                <w:szCs w:val="24"/>
                <w:highlight w:val="none"/>
                <w:vertAlign w:val="superscript"/>
                <w:lang w:val="en-US" w:eastAsia="zh-CN" w:bidi="ar-SA"/>
              </w:rPr>
              <w:t>3</w:t>
            </w:r>
            <w:r>
              <w:rPr>
                <w:rFonts w:hint="eastAsia" w:ascii="Times New Roman" w:hAnsi="Times New Roman" w:eastAsia="宋体" w:cs="Times New Roman"/>
                <w:bCs/>
                <w:color w:val="auto"/>
                <w:kern w:val="2"/>
                <w:sz w:val="24"/>
                <w:szCs w:val="24"/>
                <w:highlight w:val="none"/>
                <w:lang w:val="en-US" w:eastAsia="zh-CN" w:bidi="ar-SA"/>
              </w:rPr>
              <w:t>，颗粒物20m</w:t>
            </w:r>
            <w:r>
              <w:rPr>
                <w:rFonts w:hint="default" w:ascii="Times New Roman" w:hAnsi="Times New Roman" w:eastAsia="宋体" w:cs="Times New Roman"/>
                <w:bCs/>
                <w:color w:val="auto"/>
                <w:kern w:val="2"/>
                <w:sz w:val="24"/>
                <w:szCs w:val="24"/>
                <w:highlight w:val="none"/>
                <w:lang w:val="en-US" w:eastAsia="zh-CN" w:bidi="ar-SA"/>
              </w:rPr>
              <w:t>g/m</w:t>
            </w:r>
            <w:r>
              <w:rPr>
                <w:rFonts w:hint="default" w:ascii="Times New Roman" w:hAnsi="Times New Roman" w:eastAsia="宋体" w:cs="Times New Roman"/>
                <w:bCs/>
                <w:color w:val="auto"/>
                <w:kern w:val="2"/>
                <w:sz w:val="24"/>
                <w:szCs w:val="24"/>
                <w:highlight w:val="none"/>
                <w:vertAlign w:val="superscript"/>
                <w:lang w:val="en-US" w:eastAsia="zh-CN" w:bidi="ar-SA"/>
              </w:rPr>
              <w:t>3</w:t>
            </w:r>
            <w:r>
              <w:rPr>
                <w:rFonts w:hint="eastAsia"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苯乙烯20</w:t>
            </w:r>
            <w:r>
              <w:rPr>
                <w:rFonts w:hint="eastAsia" w:ascii="Times New Roman" w:hAnsi="Times New Roman" w:eastAsia="宋体" w:cs="Times New Roman"/>
                <w:bCs/>
                <w:color w:val="auto"/>
                <w:kern w:val="2"/>
                <w:sz w:val="24"/>
                <w:szCs w:val="24"/>
                <w:highlight w:val="none"/>
                <w:lang w:val="en-US" w:eastAsia="zh-CN" w:bidi="ar-SA"/>
              </w:rPr>
              <w:t>m</w:t>
            </w:r>
            <w:r>
              <w:rPr>
                <w:rFonts w:hint="default" w:ascii="Times New Roman" w:hAnsi="Times New Roman" w:eastAsia="宋体" w:cs="Times New Roman"/>
                <w:bCs/>
                <w:color w:val="auto"/>
                <w:kern w:val="2"/>
                <w:sz w:val="24"/>
                <w:szCs w:val="24"/>
                <w:highlight w:val="none"/>
                <w:lang w:val="en-US" w:eastAsia="zh-CN" w:bidi="ar-SA"/>
              </w:rPr>
              <w:t>g/m</w:t>
            </w:r>
            <w:r>
              <w:rPr>
                <w:rFonts w:hint="default" w:ascii="Times New Roman" w:hAnsi="Times New Roman" w:eastAsia="宋体" w:cs="Times New Roman"/>
                <w:bCs/>
                <w:color w:val="auto"/>
                <w:kern w:val="2"/>
                <w:sz w:val="24"/>
                <w:szCs w:val="24"/>
                <w:highlight w:val="none"/>
                <w:vertAlign w:val="superscript"/>
                <w:lang w:val="en-US" w:eastAsia="zh-CN" w:bidi="ar-SA"/>
              </w:rPr>
              <w:t>3</w:t>
            </w:r>
            <w:r>
              <w:rPr>
                <w:rFonts w:hint="eastAsia"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甲苯8</w:t>
            </w:r>
            <w:r>
              <w:rPr>
                <w:rFonts w:hint="eastAsia" w:ascii="Times New Roman" w:hAnsi="Times New Roman" w:eastAsia="宋体" w:cs="Times New Roman"/>
                <w:bCs/>
                <w:color w:val="auto"/>
                <w:kern w:val="2"/>
                <w:sz w:val="24"/>
                <w:szCs w:val="24"/>
                <w:highlight w:val="none"/>
                <w:lang w:val="en-US" w:eastAsia="zh-CN" w:bidi="ar-SA"/>
              </w:rPr>
              <w:t>m</w:t>
            </w:r>
            <w:r>
              <w:rPr>
                <w:rFonts w:hint="default" w:ascii="Times New Roman" w:hAnsi="Times New Roman" w:eastAsia="宋体" w:cs="Times New Roman"/>
                <w:bCs/>
                <w:color w:val="auto"/>
                <w:kern w:val="2"/>
                <w:sz w:val="24"/>
                <w:szCs w:val="24"/>
                <w:highlight w:val="none"/>
                <w:lang w:val="en-US" w:eastAsia="zh-CN" w:bidi="ar-SA"/>
              </w:rPr>
              <w:t>g/m</w:t>
            </w:r>
            <w:r>
              <w:rPr>
                <w:rFonts w:hint="default" w:ascii="Times New Roman" w:hAnsi="Times New Roman" w:eastAsia="宋体" w:cs="Times New Roman"/>
                <w:bCs/>
                <w:color w:val="auto"/>
                <w:kern w:val="2"/>
                <w:sz w:val="24"/>
                <w:szCs w:val="24"/>
                <w:highlight w:val="none"/>
                <w:vertAlign w:val="superscript"/>
                <w:lang w:val="en-US" w:eastAsia="zh-CN" w:bidi="ar-SA"/>
              </w:rPr>
              <w:t>3</w:t>
            </w:r>
            <w:r>
              <w:rPr>
                <w:rFonts w:hint="eastAsia"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乙苯50</w:t>
            </w:r>
            <w:r>
              <w:rPr>
                <w:rFonts w:hint="eastAsia" w:ascii="Times New Roman" w:hAnsi="Times New Roman" w:eastAsia="宋体" w:cs="Times New Roman"/>
                <w:bCs/>
                <w:color w:val="auto"/>
                <w:kern w:val="2"/>
                <w:sz w:val="24"/>
                <w:szCs w:val="24"/>
                <w:highlight w:val="none"/>
                <w:lang w:val="en-US" w:eastAsia="zh-CN" w:bidi="ar-SA"/>
              </w:rPr>
              <w:t>m</w:t>
            </w:r>
            <w:r>
              <w:rPr>
                <w:rFonts w:hint="default" w:ascii="Times New Roman" w:hAnsi="Times New Roman" w:eastAsia="宋体" w:cs="Times New Roman"/>
                <w:bCs/>
                <w:color w:val="auto"/>
                <w:kern w:val="2"/>
                <w:sz w:val="24"/>
                <w:szCs w:val="24"/>
                <w:highlight w:val="none"/>
                <w:lang w:val="en-US" w:eastAsia="zh-CN" w:bidi="ar-SA"/>
              </w:rPr>
              <w:t>g/m</w:t>
            </w:r>
            <w:r>
              <w:rPr>
                <w:rFonts w:hint="default" w:ascii="Times New Roman" w:hAnsi="Times New Roman" w:eastAsia="宋体" w:cs="Times New Roman"/>
                <w:bCs/>
                <w:color w:val="auto"/>
                <w:kern w:val="2"/>
                <w:sz w:val="24"/>
                <w:szCs w:val="24"/>
                <w:highlight w:val="none"/>
                <w:vertAlign w:val="superscript"/>
                <w:lang w:val="en-US" w:eastAsia="zh-CN" w:bidi="ar-SA"/>
              </w:rPr>
              <w:t>3</w:t>
            </w:r>
            <w:r>
              <w:rPr>
                <w:rFonts w:hint="eastAsia" w:cs="Times New Roman"/>
                <w:bCs/>
                <w:color w:val="auto"/>
                <w:kern w:val="2"/>
                <w:sz w:val="24"/>
                <w:szCs w:val="24"/>
                <w:highlight w:val="none"/>
                <w:lang w:val="en-US" w:eastAsia="zh-CN" w:bidi="ar-SA"/>
              </w:rPr>
              <w:t>。</w:t>
            </w:r>
          </w:p>
          <w:p w14:paraId="69D6E655">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1.2无组织废气</w:t>
            </w:r>
          </w:p>
          <w:p w14:paraId="2013E241">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1.2.1气象参数</w:t>
            </w:r>
          </w:p>
          <w:p w14:paraId="77B202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黑体" w:cs="Times New Roman"/>
                <w:b w:val="0"/>
                <w:bCs w:val="0"/>
                <w:color w:val="auto"/>
                <w:sz w:val="21"/>
                <w:highlight w:val="none"/>
              </w:rPr>
            </w:pPr>
            <w:r>
              <w:rPr>
                <w:rFonts w:hint="eastAsia" w:ascii="Times New Roman" w:hAnsi="Times New Roman" w:eastAsia="黑体" w:cs="Times New Roman"/>
                <w:b w:val="0"/>
                <w:bCs w:val="0"/>
                <w:color w:val="auto"/>
                <w:sz w:val="21"/>
                <w:highlight w:val="none"/>
              </w:rPr>
              <w:t>表</w:t>
            </w:r>
            <w:r>
              <w:rPr>
                <w:rFonts w:hint="eastAsia" w:ascii="Times New Roman" w:hAnsi="Times New Roman" w:eastAsia="黑体" w:cs="Times New Roman"/>
                <w:b w:val="0"/>
                <w:bCs w:val="0"/>
                <w:color w:val="auto"/>
                <w:sz w:val="21"/>
                <w:highlight w:val="none"/>
                <w:lang w:val="en-US" w:eastAsia="zh-CN"/>
              </w:rPr>
              <w:t>7-2气象参数</w:t>
            </w:r>
          </w:p>
          <w:tbl>
            <w:tblPr>
              <w:tblStyle w:val="25"/>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7"/>
              <w:gridCol w:w="1358"/>
              <w:gridCol w:w="1359"/>
              <w:gridCol w:w="1359"/>
              <w:gridCol w:w="1360"/>
              <w:gridCol w:w="1359"/>
            </w:tblGrid>
            <w:tr w14:paraId="0757A0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7" w:type="dxa"/>
                </w:tcPr>
                <w:p w14:paraId="002476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监测日期</w:t>
                  </w:r>
                </w:p>
              </w:tc>
              <w:tc>
                <w:tcPr>
                  <w:tcW w:w="1358" w:type="dxa"/>
                </w:tcPr>
                <w:p w14:paraId="57D868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天气状况</w:t>
                  </w:r>
                </w:p>
              </w:tc>
              <w:tc>
                <w:tcPr>
                  <w:tcW w:w="1359" w:type="dxa"/>
                </w:tcPr>
                <w:p w14:paraId="0F3466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气温（℃）</w:t>
                  </w:r>
                </w:p>
              </w:tc>
              <w:tc>
                <w:tcPr>
                  <w:tcW w:w="1359" w:type="dxa"/>
                </w:tcPr>
                <w:p w14:paraId="082305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气压（kPa）</w:t>
                  </w:r>
                </w:p>
              </w:tc>
              <w:tc>
                <w:tcPr>
                  <w:tcW w:w="1360" w:type="dxa"/>
                </w:tcPr>
                <w:p w14:paraId="28C124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风速（m/s）</w:t>
                  </w:r>
                </w:p>
              </w:tc>
              <w:tc>
                <w:tcPr>
                  <w:tcW w:w="1359" w:type="dxa"/>
                </w:tcPr>
                <w:p w14:paraId="2283AD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风向</w:t>
                  </w:r>
                </w:p>
              </w:tc>
            </w:tr>
            <w:tr w14:paraId="62355C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7" w:type="dxa"/>
                </w:tcPr>
                <w:p w14:paraId="02F524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1月20日</w:t>
                  </w:r>
                </w:p>
              </w:tc>
              <w:tc>
                <w:tcPr>
                  <w:tcW w:w="1358" w:type="dxa"/>
                </w:tcPr>
                <w:p w14:paraId="6529B06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晴</w:t>
                  </w:r>
                </w:p>
              </w:tc>
              <w:tc>
                <w:tcPr>
                  <w:tcW w:w="1359" w:type="dxa"/>
                </w:tcPr>
                <w:p w14:paraId="3D5A1C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-6~-9</w:t>
                  </w:r>
                </w:p>
              </w:tc>
              <w:tc>
                <w:tcPr>
                  <w:tcW w:w="1359" w:type="dxa"/>
                </w:tcPr>
                <w:p w14:paraId="6CAB67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101.2~101.6</w:t>
                  </w:r>
                </w:p>
              </w:tc>
              <w:tc>
                <w:tcPr>
                  <w:tcW w:w="1360" w:type="dxa"/>
                </w:tcPr>
                <w:p w14:paraId="639D29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1.26~1.35</w:t>
                  </w:r>
                </w:p>
              </w:tc>
              <w:tc>
                <w:tcPr>
                  <w:tcW w:w="1359" w:type="dxa"/>
                </w:tcPr>
                <w:p w14:paraId="65D539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西南风</w:t>
                  </w:r>
                </w:p>
              </w:tc>
            </w:tr>
            <w:tr w14:paraId="3BE329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7" w:type="dxa"/>
                </w:tcPr>
                <w:p w14:paraId="3FAC4D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1月21日</w:t>
                  </w:r>
                </w:p>
              </w:tc>
              <w:tc>
                <w:tcPr>
                  <w:tcW w:w="1358" w:type="dxa"/>
                </w:tcPr>
                <w:p w14:paraId="620626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晴</w:t>
                  </w:r>
                </w:p>
              </w:tc>
              <w:tc>
                <w:tcPr>
                  <w:tcW w:w="1359" w:type="dxa"/>
                </w:tcPr>
                <w:p w14:paraId="36B069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-3~-6</w:t>
                  </w:r>
                </w:p>
              </w:tc>
              <w:tc>
                <w:tcPr>
                  <w:tcW w:w="1359" w:type="dxa"/>
                </w:tcPr>
                <w:p w14:paraId="7FD625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101.3~101.5</w:t>
                  </w:r>
                </w:p>
              </w:tc>
              <w:tc>
                <w:tcPr>
                  <w:tcW w:w="1360" w:type="dxa"/>
                </w:tcPr>
                <w:p w14:paraId="7BA5B4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1.20~1.31</w:t>
                  </w:r>
                </w:p>
              </w:tc>
              <w:tc>
                <w:tcPr>
                  <w:tcW w:w="1359" w:type="dxa"/>
                </w:tcPr>
                <w:p w14:paraId="1BF589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西南风</w:t>
                  </w:r>
                </w:p>
              </w:tc>
            </w:tr>
          </w:tbl>
          <w:p w14:paraId="3439EDE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olor w:val="auto"/>
                <w:sz w:val="24"/>
                <w:highlight w:val="none"/>
                <w:lang w:val="en-US" w:eastAsia="zh-CN"/>
              </w:rPr>
            </w:pPr>
            <w:r>
              <w:rPr>
                <w:rFonts w:hint="eastAsia" w:ascii="Times New Roman" w:hAnsi="Times New Roman" w:eastAsia="黑体" w:cs="Times New Roman"/>
                <w:b w:val="0"/>
                <w:bCs w:val="0"/>
                <w:color w:val="auto"/>
                <w:sz w:val="21"/>
                <w:highlight w:val="none"/>
              </w:rPr>
              <w:t>表</w:t>
            </w:r>
            <w:r>
              <w:rPr>
                <w:rFonts w:hint="eastAsia" w:ascii="Times New Roman" w:hAnsi="Times New Roman" w:eastAsia="黑体" w:cs="Times New Roman"/>
                <w:b w:val="0"/>
                <w:bCs w:val="0"/>
                <w:color w:val="auto"/>
                <w:sz w:val="21"/>
                <w:highlight w:val="none"/>
                <w:lang w:val="en-US" w:eastAsia="zh-CN"/>
              </w:rPr>
              <w:t>7-3无</w:t>
            </w:r>
            <w:r>
              <w:rPr>
                <w:rFonts w:hint="eastAsia" w:ascii="Times New Roman" w:hAnsi="Times New Roman" w:eastAsia="黑体" w:cs="Times New Roman"/>
                <w:b w:val="0"/>
                <w:bCs w:val="0"/>
                <w:color w:val="auto"/>
                <w:sz w:val="21"/>
                <w:highlight w:val="none"/>
                <w:lang w:eastAsia="zh-CN"/>
              </w:rPr>
              <w:t>组织废气检测结果</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3"/>
              <w:gridCol w:w="1165"/>
              <w:gridCol w:w="1165"/>
              <w:gridCol w:w="1165"/>
              <w:gridCol w:w="1165"/>
              <w:gridCol w:w="1164"/>
              <w:gridCol w:w="1165"/>
            </w:tblGrid>
            <w:tr w14:paraId="2E679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restart"/>
                  <w:vAlign w:val="center"/>
                </w:tcPr>
                <w:p w14:paraId="59D4CE5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监测日期</w:t>
                  </w:r>
                </w:p>
              </w:tc>
              <w:tc>
                <w:tcPr>
                  <w:tcW w:w="1165" w:type="dxa"/>
                  <w:vMerge w:val="restart"/>
                  <w:vAlign w:val="center"/>
                </w:tcPr>
                <w:p w14:paraId="346439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监测项目</w:t>
                  </w:r>
                </w:p>
              </w:tc>
              <w:tc>
                <w:tcPr>
                  <w:tcW w:w="1165" w:type="dxa"/>
                  <w:vMerge w:val="restart"/>
                  <w:vAlign w:val="center"/>
                </w:tcPr>
                <w:p w14:paraId="2F796E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单位</w:t>
                  </w:r>
                </w:p>
              </w:tc>
              <w:tc>
                <w:tcPr>
                  <w:tcW w:w="1165" w:type="dxa"/>
                  <w:vMerge w:val="restart"/>
                  <w:vAlign w:val="center"/>
                </w:tcPr>
                <w:p w14:paraId="0F6DEC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监测点位</w:t>
                  </w:r>
                </w:p>
              </w:tc>
              <w:tc>
                <w:tcPr>
                  <w:tcW w:w="3494" w:type="dxa"/>
                  <w:gridSpan w:val="3"/>
                  <w:vAlign w:val="center"/>
                </w:tcPr>
                <w:p w14:paraId="1C1780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监测频次</w:t>
                  </w:r>
                </w:p>
              </w:tc>
            </w:tr>
            <w:tr w14:paraId="01A7F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continue"/>
                  <w:vAlign w:val="center"/>
                </w:tcPr>
                <w:p w14:paraId="7CB2080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color w:val="auto"/>
                      <w:sz w:val="21"/>
                      <w:szCs w:val="21"/>
                      <w:highlight w:val="none"/>
                      <w:vertAlign w:val="baseline"/>
                      <w:lang w:val="en-US" w:eastAsia="zh-CN"/>
                    </w:rPr>
                  </w:pPr>
                </w:p>
              </w:tc>
              <w:tc>
                <w:tcPr>
                  <w:tcW w:w="1165" w:type="dxa"/>
                  <w:vMerge w:val="continue"/>
                  <w:vAlign w:val="center"/>
                </w:tcPr>
                <w:p w14:paraId="17E3BB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vertAlign w:val="baseline"/>
                      <w:lang w:val="en-US" w:eastAsia="zh-CN"/>
                    </w:rPr>
                  </w:pPr>
                </w:p>
              </w:tc>
              <w:tc>
                <w:tcPr>
                  <w:tcW w:w="1165" w:type="dxa"/>
                  <w:vMerge w:val="continue"/>
                  <w:vAlign w:val="center"/>
                </w:tcPr>
                <w:p w14:paraId="62D6F9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vertAlign w:val="baseline"/>
                      <w:lang w:val="en-US" w:eastAsia="zh-CN"/>
                    </w:rPr>
                  </w:pPr>
                </w:p>
              </w:tc>
              <w:tc>
                <w:tcPr>
                  <w:tcW w:w="1165" w:type="dxa"/>
                  <w:vMerge w:val="continue"/>
                  <w:vAlign w:val="center"/>
                </w:tcPr>
                <w:p w14:paraId="109185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vertAlign w:val="baseline"/>
                      <w:lang w:val="en-US" w:eastAsia="zh-CN"/>
                    </w:rPr>
                  </w:pPr>
                </w:p>
              </w:tc>
              <w:tc>
                <w:tcPr>
                  <w:tcW w:w="1165" w:type="dxa"/>
                  <w:vAlign w:val="center"/>
                </w:tcPr>
                <w:p w14:paraId="23563A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第一次</w:t>
                  </w:r>
                </w:p>
              </w:tc>
              <w:tc>
                <w:tcPr>
                  <w:tcW w:w="1164" w:type="dxa"/>
                  <w:vAlign w:val="center"/>
                </w:tcPr>
                <w:p w14:paraId="5C71FF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第二次</w:t>
                  </w:r>
                </w:p>
              </w:tc>
              <w:tc>
                <w:tcPr>
                  <w:tcW w:w="1165" w:type="dxa"/>
                  <w:vAlign w:val="center"/>
                </w:tcPr>
                <w:p w14:paraId="0E55D7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第三次</w:t>
                  </w:r>
                </w:p>
              </w:tc>
            </w:tr>
            <w:tr w14:paraId="26463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restart"/>
                  <w:vAlign w:val="center"/>
                </w:tcPr>
                <w:p w14:paraId="275347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1月20日</w:t>
                  </w:r>
                </w:p>
              </w:tc>
              <w:tc>
                <w:tcPr>
                  <w:tcW w:w="1165" w:type="dxa"/>
                  <w:vMerge w:val="restart"/>
                  <w:vAlign w:val="center"/>
                </w:tcPr>
                <w:p w14:paraId="469335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非甲烷总烃</w:t>
                  </w:r>
                </w:p>
              </w:tc>
              <w:tc>
                <w:tcPr>
                  <w:tcW w:w="1165" w:type="dxa"/>
                  <w:vMerge w:val="restart"/>
                  <w:vAlign w:val="center"/>
                </w:tcPr>
                <w:p w14:paraId="181235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mg/m3</w:t>
                  </w:r>
                </w:p>
              </w:tc>
              <w:tc>
                <w:tcPr>
                  <w:tcW w:w="1165" w:type="dxa"/>
                  <w:vAlign w:val="center"/>
                </w:tcPr>
                <w:p w14:paraId="098618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K1</w:t>
                  </w:r>
                </w:p>
              </w:tc>
              <w:tc>
                <w:tcPr>
                  <w:tcW w:w="1165" w:type="dxa"/>
                  <w:vAlign w:val="center"/>
                </w:tcPr>
                <w:p w14:paraId="1094EE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0.41</w:t>
                  </w:r>
                </w:p>
              </w:tc>
              <w:tc>
                <w:tcPr>
                  <w:tcW w:w="1164" w:type="dxa"/>
                  <w:vAlign w:val="center"/>
                </w:tcPr>
                <w:p w14:paraId="10AEC1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0.44</w:t>
                  </w:r>
                </w:p>
              </w:tc>
              <w:tc>
                <w:tcPr>
                  <w:tcW w:w="1165" w:type="dxa"/>
                  <w:vAlign w:val="center"/>
                </w:tcPr>
                <w:p w14:paraId="235C8C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0.34</w:t>
                  </w:r>
                </w:p>
              </w:tc>
            </w:tr>
            <w:tr w14:paraId="6B8AA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continue"/>
                  <w:vAlign w:val="center"/>
                </w:tcPr>
                <w:p w14:paraId="2B6403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016486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72E5C7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Align w:val="center"/>
                </w:tcPr>
                <w:p w14:paraId="6B39B3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K2</w:t>
                  </w:r>
                </w:p>
              </w:tc>
              <w:tc>
                <w:tcPr>
                  <w:tcW w:w="1165" w:type="dxa"/>
                  <w:vAlign w:val="center"/>
                </w:tcPr>
                <w:p w14:paraId="1BDAD3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0.76</w:t>
                  </w:r>
                </w:p>
              </w:tc>
              <w:tc>
                <w:tcPr>
                  <w:tcW w:w="1164" w:type="dxa"/>
                  <w:vAlign w:val="center"/>
                </w:tcPr>
                <w:p w14:paraId="091D55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0.77</w:t>
                  </w:r>
                </w:p>
              </w:tc>
              <w:tc>
                <w:tcPr>
                  <w:tcW w:w="1165" w:type="dxa"/>
                  <w:vAlign w:val="center"/>
                </w:tcPr>
                <w:p w14:paraId="550B58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0.93</w:t>
                  </w:r>
                </w:p>
              </w:tc>
            </w:tr>
            <w:tr w14:paraId="16E36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continue"/>
                  <w:vAlign w:val="center"/>
                </w:tcPr>
                <w:p w14:paraId="234403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137551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03C502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Align w:val="center"/>
                </w:tcPr>
                <w:p w14:paraId="6B5A5E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K3</w:t>
                  </w:r>
                </w:p>
              </w:tc>
              <w:tc>
                <w:tcPr>
                  <w:tcW w:w="1165" w:type="dxa"/>
                  <w:vAlign w:val="center"/>
                </w:tcPr>
                <w:p w14:paraId="250E3D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0.73</w:t>
                  </w:r>
                </w:p>
              </w:tc>
              <w:tc>
                <w:tcPr>
                  <w:tcW w:w="1164" w:type="dxa"/>
                  <w:vAlign w:val="center"/>
                </w:tcPr>
                <w:p w14:paraId="3FBC0E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0.87</w:t>
                  </w:r>
                </w:p>
              </w:tc>
              <w:tc>
                <w:tcPr>
                  <w:tcW w:w="1165" w:type="dxa"/>
                  <w:vAlign w:val="center"/>
                </w:tcPr>
                <w:p w14:paraId="189039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0.81</w:t>
                  </w:r>
                </w:p>
              </w:tc>
            </w:tr>
            <w:tr w14:paraId="5C645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continue"/>
                  <w:vAlign w:val="center"/>
                </w:tcPr>
                <w:p w14:paraId="73E0DB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30AD44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7669F8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Align w:val="center"/>
                </w:tcPr>
                <w:p w14:paraId="4F44CC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K4</w:t>
                  </w:r>
                </w:p>
              </w:tc>
              <w:tc>
                <w:tcPr>
                  <w:tcW w:w="1165" w:type="dxa"/>
                  <w:vAlign w:val="center"/>
                </w:tcPr>
                <w:p w14:paraId="000E1B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0.70</w:t>
                  </w:r>
                </w:p>
              </w:tc>
              <w:tc>
                <w:tcPr>
                  <w:tcW w:w="1164" w:type="dxa"/>
                  <w:vAlign w:val="center"/>
                </w:tcPr>
                <w:p w14:paraId="728A91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0.60</w:t>
                  </w:r>
                </w:p>
              </w:tc>
              <w:tc>
                <w:tcPr>
                  <w:tcW w:w="1165" w:type="dxa"/>
                  <w:vAlign w:val="center"/>
                </w:tcPr>
                <w:p w14:paraId="51DFD9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0.85</w:t>
                  </w:r>
                </w:p>
              </w:tc>
            </w:tr>
            <w:tr w14:paraId="42BAB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continue"/>
                  <w:vAlign w:val="center"/>
                </w:tcPr>
                <w:p w14:paraId="7138A3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4B3B1D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562A17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Align w:val="center"/>
                </w:tcPr>
                <w:p w14:paraId="5B5BC3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K5</w:t>
                  </w:r>
                </w:p>
              </w:tc>
              <w:tc>
                <w:tcPr>
                  <w:tcW w:w="1165" w:type="dxa"/>
                  <w:vAlign w:val="center"/>
                </w:tcPr>
                <w:p w14:paraId="0A4951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1.07</w:t>
                  </w:r>
                </w:p>
              </w:tc>
              <w:tc>
                <w:tcPr>
                  <w:tcW w:w="1164" w:type="dxa"/>
                  <w:vAlign w:val="center"/>
                </w:tcPr>
                <w:p w14:paraId="7D4AC9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1.23</w:t>
                  </w:r>
                </w:p>
              </w:tc>
              <w:tc>
                <w:tcPr>
                  <w:tcW w:w="1165" w:type="dxa"/>
                  <w:vAlign w:val="center"/>
                </w:tcPr>
                <w:p w14:paraId="373957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1.59</w:t>
                  </w:r>
                </w:p>
              </w:tc>
            </w:tr>
            <w:tr w14:paraId="6445B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continue"/>
                  <w:vAlign w:val="center"/>
                </w:tcPr>
                <w:p w14:paraId="793B79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restart"/>
                  <w:vAlign w:val="center"/>
                </w:tcPr>
                <w:p w14:paraId="0B8DEE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颗粒物</w:t>
                  </w:r>
                </w:p>
              </w:tc>
              <w:tc>
                <w:tcPr>
                  <w:tcW w:w="1165" w:type="dxa"/>
                  <w:vMerge w:val="restart"/>
                  <w:vAlign w:val="center"/>
                </w:tcPr>
                <w:p w14:paraId="774101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mg/m3</w:t>
                  </w:r>
                </w:p>
              </w:tc>
              <w:tc>
                <w:tcPr>
                  <w:tcW w:w="1165" w:type="dxa"/>
                  <w:vAlign w:val="center"/>
                </w:tcPr>
                <w:p w14:paraId="630EF2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K1</w:t>
                  </w:r>
                </w:p>
              </w:tc>
              <w:tc>
                <w:tcPr>
                  <w:tcW w:w="1165" w:type="dxa"/>
                  <w:vAlign w:val="center"/>
                </w:tcPr>
                <w:p w14:paraId="6CBFA9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0.26</w:t>
                  </w:r>
                </w:p>
              </w:tc>
              <w:tc>
                <w:tcPr>
                  <w:tcW w:w="1164" w:type="dxa"/>
                  <w:vAlign w:val="center"/>
                </w:tcPr>
                <w:p w14:paraId="42DF2B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0.30</w:t>
                  </w:r>
                </w:p>
              </w:tc>
              <w:tc>
                <w:tcPr>
                  <w:tcW w:w="1165" w:type="dxa"/>
                  <w:vAlign w:val="center"/>
                </w:tcPr>
                <w:p w14:paraId="6DF74F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0.28</w:t>
                  </w:r>
                </w:p>
              </w:tc>
            </w:tr>
            <w:tr w14:paraId="504DD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continue"/>
                  <w:vAlign w:val="center"/>
                </w:tcPr>
                <w:p w14:paraId="21DF54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31236B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47B1A9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Align w:val="center"/>
                </w:tcPr>
                <w:p w14:paraId="737897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K2</w:t>
                  </w:r>
                </w:p>
              </w:tc>
              <w:tc>
                <w:tcPr>
                  <w:tcW w:w="1165" w:type="dxa"/>
                  <w:vAlign w:val="center"/>
                </w:tcPr>
                <w:p w14:paraId="611307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0.39</w:t>
                  </w:r>
                </w:p>
              </w:tc>
              <w:tc>
                <w:tcPr>
                  <w:tcW w:w="1164" w:type="dxa"/>
                  <w:vAlign w:val="center"/>
                </w:tcPr>
                <w:p w14:paraId="40612D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0.42</w:t>
                  </w:r>
                </w:p>
              </w:tc>
              <w:tc>
                <w:tcPr>
                  <w:tcW w:w="1165" w:type="dxa"/>
                  <w:vAlign w:val="center"/>
                </w:tcPr>
                <w:p w14:paraId="6FC140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0.38</w:t>
                  </w:r>
                </w:p>
              </w:tc>
            </w:tr>
            <w:tr w14:paraId="694AC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continue"/>
                  <w:vAlign w:val="center"/>
                </w:tcPr>
                <w:p w14:paraId="7C7925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6A2D47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71EFCE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Align w:val="center"/>
                </w:tcPr>
                <w:p w14:paraId="155578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K3</w:t>
                  </w:r>
                </w:p>
              </w:tc>
              <w:tc>
                <w:tcPr>
                  <w:tcW w:w="1165" w:type="dxa"/>
                  <w:vAlign w:val="center"/>
                </w:tcPr>
                <w:p w14:paraId="35E3F6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0.36</w:t>
                  </w:r>
                </w:p>
              </w:tc>
              <w:tc>
                <w:tcPr>
                  <w:tcW w:w="1164" w:type="dxa"/>
                  <w:vAlign w:val="center"/>
                </w:tcPr>
                <w:p w14:paraId="759F17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0.45</w:t>
                  </w:r>
                </w:p>
              </w:tc>
              <w:tc>
                <w:tcPr>
                  <w:tcW w:w="1165" w:type="dxa"/>
                  <w:vAlign w:val="center"/>
                </w:tcPr>
                <w:p w14:paraId="16B318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0.40</w:t>
                  </w:r>
                </w:p>
              </w:tc>
            </w:tr>
            <w:tr w14:paraId="5E78D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continue"/>
                  <w:vAlign w:val="center"/>
                </w:tcPr>
                <w:p w14:paraId="3B667A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6F54AE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161E8E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Align w:val="center"/>
                </w:tcPr>
                <w:p w14:paraId="6FC4B5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K4</w:t>
                  </w:r>
                </w:p>
              </w:tc>
              <w:tc>
                <w:tcPr>
                  <w:tcW w:w="1165" w:type="dxa"/>
                  <w:vAlign w:val="center"/>
                </w:tcPr>
                <w:p w14:paraId="26738E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0.37</w:t>
                  </w:r>
                </w:p>
              </w:tc>
              <w:tc>
                <w:tcPr>
                  <w:tcW w:w="1164" w:type="dxa"/>
                  <w:vAlign w:val="center"/>
                </w:tcPr>
                <w:p w14:paraId="02C548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0.41</w:t>
                  </w:r>
                </w:p>
              </w:tc>
              <w:tc>
                <w:tcPr>
                  <w:tcW w:w="1165" w:type="dxa"/>
                  <w:vAlign w:val="center"/>
                </w:tcPr>
                <w:p w14:paraId="4A668C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0.39</w:t>
                  </w:r>
                </w:p>
              </w:tc>
            </w:tr>
            <w:tr w14:paraId="1CD8A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restart"/>
                  <w:vAlign w:val="center"/>
                </w:tcPr>
                <w:p w14:paraId="4A6BC5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1月21日</w:t>
                  </w:r>
                </w:p>
              </w:tc>
              <w:tc>
                <w:tcPr>
                  <w:tcW w:w="1165" w:type="dxa"/>
                  <w:vMerge w:val="restart"/>
                  <w:vAlign w:val="center"/>
                </w:tcPr>
                <w:p w14:paraId="314088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非甲烷总烃</w:t>
                  </w:r>
                </w:p>
              </w:tc>
              <w:tc>
                <w:tcPr>
                  <w:tcW w:w="1165" w:type="dxa"/>
                  <w:vMerge w:val="restart"/>
                  <w:vAlign w:val="center"/>
                </w:tcPr>
                <w:p w14:paraId="5FF566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mg/m3</w:t>
                  </w:r>
                </w:p>
              </w:tc>
              <w:tc>
                <w:tcPr>
                  <w:tcW w:w="1165" w:type="dxa"/>
                  <w:vAlign w:val="center"/>
                </w:tcPr>
                <w:p w14:paraId="0E21F5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K1</w:t>
                  </w:r>
                </w:p>
              </w:tc>
              <w:tc>
                <w:tcPr>
                  <w:tcW w:w="1165" w:type="dxa"/>
                  <w:vAlign w:val="center"/>
                </w:tcPr>
                <w:p w14:paraId="427382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0.36</w:t>
                  </w:r>
                </w:p>
              </w:tc>
              <w:tc>
                <w:tcPr>
                  <w:tcW w:w="1164" w:type="dxa"/>
                  <w:vAlign w:val="center"/>
                </w:tcPr>
                <w:p w14:paraId="28595D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0.43</w:t>
                  </w:r>
                </w:p>
              </w:tc>
              <w:tc>
                <w:tcPr>
                  <w:tcW w:w="1165" w:type="dxa"/>
                  <w:vAlign w:val="center"/>
                </w:tcPr>
                <w:p w14:paraId="4481FF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0.45</w:t>
                  </w:r>
                </w:p>
              </w:tc>
            </w:tr>
            <w:tr w14:paraId="20AFE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continue"/>
                  <w:vAlign w:val="center"/>
                </w:tcPr>
                <w:p w14:paraId="13B310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1E73D9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0C0573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Align w:val="center"/>
                </w:tcPr>
                <w:p w14:paraId="495ADC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K2</w:t>
                  </w:r>
                </w:p>
              </w:tc>
              <w:tc>
                <w:tcPr>
                  <w:tcW w:w="1165" w:type="dxa"/>
                  <w:vAlign w:val="center"/>
                </w:tcPr>
                <w:p w14:paraId="1C97D9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0.86</w:t>
                  </w:r>
                </w:p>
              </w:tc>
              <w:tc>
                <w:tcPr>
                  <w:tcW w:w="1164" w:type="dxa"/>
                  <w:vAlign w:val="center"/>
                </w:tcPr>
                <w:p w14:paraId="24646E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0.73</w:t>
                  </w:r>
                </w:p>
              </w:tc>
              <w:tc>
                <w:tcPr>
                  <w:tcW w:w="1165" w:type="dxa"/>
                  <w:vAlign w:val="center"/>
                </w:tcPr>
                <w:p w14:paraId="77B4DF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0.60</w:t>
                  </w:r>
                </w:p>
              </w:tc>
            </w:tr>
            <w:tr w14:paraId="597D8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continue"/>
                  <w:vAlign w:val="center"/>
                </w:tcPr>
                <w:p w14:paraId="51B884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39D022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439D16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Align w:val="center"/>
                </w:tcPr>
                <w:p w14:paraId="715903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K3</w:t>
                  </w:r>
                </w:p>
              </w:tc>
              <w:tc>
                <w:tcPr>
                  <w:tcW w:w="1165" w:type="dxa"/>
                  <w:vAlign w:val="center"/>
                </w:tcPr>
                <w:p w14:paraId="5DC9B7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0.89</w:t>
                  </w:r>
                </w:p>
              </w:tc>
              <w:tc>
                <w:tcPr>
                  <w:tcW w:w="1164" w:type="dxa"/>
                  <w:vAlign w:val="center"/>
                </w:tcPr>
                <w:p w14:paraId="06CC56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0.85</w:t>
                  </w:r>
                </w:p>
              </w:tc>
              <w:tc>
                <w:tcPr>
                  <w:tcW w:w="1165" w:type="dxa"/>
                  <w:vAlign w:val="center"/>
                </w:tcPr>
                <w:p w14:paraId="578E06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0.72</w:t>
                  </w:r>
                </w:p>
              </w:tc>
            </w:tr>
            <w:tr w14:paraId="34C8A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continue"/>
                  <w:vAlign w:val="center"/>
                </w:tcPr>
                <w:p w14:paraId="2EAE8F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4497FF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7836D5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Align w:val="center"/>
                </w:tcPr>
                <w:p w14:paraId="0167E4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K4</w:t>
                  </w:r>
                </w:p>
              </w:tc>
              <w:tc>
                <w:tcPr>
                  <w:tcW w:w="1165" w:type="dxa"/>
                  <w:vAlign w:val="center"/>
                </w:tcPr>
                <w:p w14:paraId="61719F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0.70</w:t>
                  </w:r>
                </w:p>
              </w:tc>
              <w:tc>
                <w:tcPr>
                  <w:tcW w:w="1164" w:type="dxa"/>
                  <w:vAlign w:val="center"/>
                </w:tcPr>
                <w:p w14:paraId="4DC9FC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0.68</w:t>
                  </w:r>
                </w:p>
              </w:tc>
              <w:tc>
                <w:tcPr>
                  <w:tcW w:w="1165" w:type="dxa"/>
                  <w:vAlign w:val="center"/>
                </w:tcPr>
                <w:p w14:paraId="2E347E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0.74</w:t>
                  </w:r>
                </w:p>
              </w:tc>
            </w:tr>
            <w:tr w14:paraId="6B32A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continue"/>
                  <w:vAlign w:val="center"/>
                </w:tcPr>
                <w:p w14:paraId="635A20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5390F3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00F9F5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Align w:val="center"/>
                </w:tcPr>
                <w:p w14:paraId="19E435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K5</w:t>
                  </w:r>
                </w:p>
              </w:tc>
              <w:tc>
                <w:tcPr>
                  <w:tcW w:w="1165" w:type="dxa"/>
                  <w:vAlign w:val="center"/>
                </w:tcPr>
                <w:p w14:paraId="477D19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1.48</w:t>
                  </w:r>
                </w:p>
              </w:tc>
              <w:tc>
                <w:tcPr>
                  <w:tcW w:w="1164" w:type="dxa"/>
                  <w:vAlign w:val="center"/>
                </w:tcPr>
                <w:p w14:paraId="077F08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1.19</w:t>
                  </w:r>
                </w:p>
              </w:tc>
              <w:tc>
                <w:tcPr>
                  <w:tcW w:w="1165" w:type="dxa"/>
                  <w:vAlign w:val="center"/>
                </w:tcPr>
                <w:p w14:paraId="1D38E2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1.39</w:t>
                  </w:r>
                </w:p>
              </w:tc>
            </w:tr>
            <w:tr w14:paraId="4F5DD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continue"/>
                  <w:vAlign w:val="center"/>
                </w:tcPr>
                <w:p w14:paraId="46624C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restart"/>
                  <w:vAlign w:val="center"/>
                </w:tcPr>
                <w:p w14:paraId="0808B8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颗粒物</w:t>
                  </w:r>
                </w:p>
              </w:tc>
              <w:tc>
                <w:tcPr>
                  <w:tcW w:w="1165" w:type="dxa"/>
                  <w:vMerge w:val="restart"/>
                  <w:vAlign w:val="center"/>
                </w:tcPr>
                <w:p w14:paraId="0B6E80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mg/m3</w:t>
                  </w:r>
                </w:p>
              </w:tc>
              <w:tc>
                <w:tcPr>
                  <w:tcW w:w="1165" w:type="dxa"/>
                  <w:vAlign w:val="center"/>
                </w:tcPr>
                <w:p w14:paraId="5B138D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K1</w:t>
                  </w:r>
                </w:p>
              </w:tc>
              <w:tc>
                <w:tcPr>
                  <w:tcW w:w="1165" w:type="dxa"/>
                  <w:vAlign w:val="center"/>
                </w:tcPr>
                <w:p w14:paraId="603006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0.27</w:t>
                  </w:r>
                </w:p>
              </w:tc>
              <w:tc>
                <w:tcPr>
                  <w:tcW w:w="1164" w:type="dxa"/>
                  <w:vAlign w:val="center"/>
                </w:tcPr>
                <w:p w14:paraId="414D61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0.30</w:t>
                  </w:r>
                </w:p>
              </w:tc>
              <w:tc>
                <w:tcPr>
                  <w:tcW w:w="1165" w:type="dxa"/>
                  <w:vAlign w:val="center"/>
                </w:tcPr>
                <w:p w14:paraId="7F7A46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0.29</w:t>
                  </w:r>
                </w:p>
              </w:tc>
            </w:tr>
            <w:tr w14:paraId="5E561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continue"/>
                  <w:vAlign w:val="center"/>
                </w:tcPr>
                <w:p w14:paraId="402AC6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191245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662E68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Align w:val="center"/>
                </w:tcPr>
                <w:p w14:paraId="1CF677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K2</w:t>
                  </w:r>
                </w:p>
              </w:tc>
              <w:tc>
                <w:tcPr>
                  <w:tcW w:w="1165" w:type="dxa"/>
                  <w:vAlign w:val="center"/>
                </w:tcPr>
                <w:p w14:paraId="0FD523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0.37</w:t>
                  </w:r>
                </w:p>
              </w:tc>
              <w:tc>
                <w:tcPr>
                  <w:tcW w:w="1164" w:type="dxa"/>
                  <w:vAlign w:val="center"/>
                </w:tcPr>
                <w:p w14:paraId="3D239F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0.42</w:t>
                  </w:r>
                </w:p>
              </w:tc>
              <w:tc>
                <w:tcPr>
                  <w:tcW w:w="1165" w:type="dxa"/>
                  <w:vAlign w:val="center"/>
                </w:tcPr>
                <w:p w14:paraId="15AD08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0.40</w:t>
                  </w:r>
                </w:p>
              </w:tc>
            </w:tr>
            <w:tr w14:paraId="77BA4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continue"/>
                  <w:vAlign w:val="center"/>
                </w:tcPr>
                <w:p w14:paraId="20B234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584463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6927B1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Align w:val="center"/>
                </w:tcPr>
                <w:p w14:paraId="2E6DB4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K3</w:t>
                  </w:r>
                </w:p>
              </w:tc>
              <w:tc>
                <w:tcPr>
                  <w:tcW w:w="1165" w:type="dxa"/>
                  <w:vAlign w:val="center"/>
                </w:tcPr>
                <w:p w14:paraId="774CD9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0.35</w:t>
                  </w:r>
                </w:p>
              </w:tc>
              <w:tc>
                <w:tcPr>
                  <w:tcW w:w="1164" w:type="dxa"/>
                  <w:vAlign w:val="center"/>
                </w:tcPr>
                <w:p w14:paraId="6FE0EC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0.38</w:t>
                  </w:r>
                </w:p>
              </w:tc>
              <w:tc>
                <w:tcPr>
                  <w:tcW w:w="1165" w:type="dxa"/>
                  <w:vAlign w:val="center"/>
                </w:tcPr>
                <w:p w14:paraId="429AEB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0.38</w:t>
                  </w:r>
                </w:p>
              </w:tc>
            </w:tr>
            <w:tr w14:paraId="2E68B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3" w:type="dxa"/>
                  <w:vMerge w:val="continue"/>
                  <w:vAlign w:val="center"/>
                </w:tcPr>
                <w:p w14:paraId="1507F8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51F2C8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Merge w:val="continue"/>
                  <w:vAlign w:val="center"/>
                </w:tcPr>
                <w:p w14:paraId="146CBC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165" w:type="dxa"/>
                  <w:vAlign w:val="center"/>
                </w:tcPr>
                <w:p w14:paraId="660C6C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K4</w:t>
                  </w:r>
                </w:p>
              </w:tc>
              <w:tc>
                <w:tcPr>
                  <w:tcW w:w="1165" w:type="dxa"/>
                  <w:vAlign w:val="center"/>
                </w:tcPr>
                <w:p w14:paraId="159430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0.38</w:t>
                  </w:r>
                </w:p>
              </w:tc>
              <w:tc>
                <w:tcPr>
                  <w:tcW w:w="1164" w:type="dxa"/>
                  <w:vAlign w:val="center"/>
                </w:tcPr>
                <w:p w14:paraId="739531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0.40</w:t>
                  </w:r>
                </w:p>
              </w:tc>
              <w:tc>
                <w:tcPr>
                  <w:tcW w:w="1165" w:type="dxa"/>
                  <w:vAlign w:val="center"/>
                </w:tcPr>
                <w:p w14:paraId="73E46E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0.37</w:t>
                  </w:r>
                </w:p>
              </w:tc>
            </w:tr>
          </w:tbl>
          <w:p w14:paraId="789C67A6">
            <w:pPr>
              <w:bidi w:val="0"/>
              <w:ind w:left="0" w:leftChars="0" w:firstLine="0" w:firstLineChars="0"/>
              <w:rPr>
                <w:rFonts w:hint="eastAsia" w:ascii="Times New Roman" w:hAnsi="Times New Roman" w:eastAsia="宋体"/>
                <w:color w:val="auto"/>
                <w:sz w:val="24"/>
                <w:highlight w:val="none"/>
                <w:lang w:val="en-US" w:eastAsia="zh-CN"/>
              </w:rPr>
            </w:pPr>
          </w:p>
          <w:p w14:paraId="6839D582">
            <w:pPr>
              <w:bidi w:val="0"/>
              <w:rPr>
                <w:rFonts w:hint="eastAsia"/>
                <w:lang w:val="en-US" w:eastAsia="zh-CN"/>
              </w:rPr>
            </w:pPr>
            <w:r>
              <w:rPr>
                <w:rFonts w:hint="eastAsia"/>
                <w:lang w:val="en-US" w:eastAsia="zh-CN"/>
              </w:rPr>
              <w:t>监测结果表明：本项目有组织废气满足</w:t>
            </w:r>
            <w:r>
              <w:rPr>
                <w:rFonts w:hint="default" w:ascii="Times New Roman" w:hAnsi="Times New Roman" w:eastAsia="宋体"/>
                <w:color w:val="auto"/>
                <w:sz w:val="24"/>
                <w:highlight w:val="none"/>
                <w:lang w:val="en-US" w:eastAsia="zh-CN"/>
              </w:rPr>
              <w:t>《挥发性有机物无组织排放控制标准》（GB37822-2019）表A.1规定的限值</w:t>
            </w:r>
            <w:r>
              <w:rPr>
                <w:rFonts w:hint="eastAsia"/>
                <w:color w:val="auto"/>
                <w:sz w:val="24"/>
                <w:highlight w:val="none"/>
                <w:lang w:val="en-US" w:eastAsia="zh-CN"/>
              </w:rPr>
              <w:t>及《大气污染物综合排放标准》（GB16297-1996）</w:t>
            </w:r>
            <w:r>
              <w:rPr>
                <w:rFonts w:hint="eastAsia" w:ascii="Times New Roman" w:hAnsi="Times New Roman" w:eastAsia="宋体" w:cs="Times New Roman"/>
                <w:bCs/>
                <w:color w:val="auto"/>
                <w:kern w:val="2"/>
                <w:sz w:val="24"/>
                <w:szCs w:val="24"/>
                <w:highlight w:val="none"/>
                <w:lang w:val="en-US" w:eastAsia="zh-CN" w:bidi="ar-SA"/>
              </w:rPr>
              <w:t>。</w:t>
            </w:r>
          </w:p>
          <w:p w14:paraId="33867734">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1.3噪声</w:t>
            </w:r>
            <w:r>
              <w:rPr>
                <w:rFonts w:hint="default" w:ascii="Times New Roman" w:hAnsi="Times New Roman"/>
                <w:b/>
                <w:color w:val="auto"/>
                <w:sz w:val="24"/>
                <w:highlight w:val="none"/>
                <w:vertAlign w:val="baseline"/>
                <w:lang w:val="en-US" w:eastAsia="zh-CN"/>
              </w:rPr>
              <w:t>验收检测结果</w:t>
            </w:r>
          </w:p>
          <w:p w14:paraId="78DB7F39">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黑体" w:cs="Times New Roman"/>
                <w:b w:val="0"/>
                <w:bCs w:val="0"/>
                <w:color w:val="auto"/>
                <w:sz w:val="21"/>
                <w:highlight w:val="none"/>
              </w:rPr>
              <w:t>表</w:t>
            </w:r>
            <w:r>
              <w:rPr>
                <w:rFonts w:hint="eastAsia" w:ascii="Times New Roman" w:hAnsi="Times New Roman" w:eastAsia="黑体" w:cs="Times New Roman"/>
                <w:b w:val="0"/>
                <w:bCs w:val="0"/>
                <w:color w:val="auto"/>
                <w:sz w:val="21"/>
                <w:highlight w:val="none"/>
                <w:lang w:val="en-US" w:eastAsia="zh-CN"/>
              </w:rPr>
              <w:t>7-</w:t>
            </w:r>
            <w:r>
              <w:rPr>
                <w:rFonts w:hint="eastAsia" w:eastAsia="黑体" w:cs="Times New Roman"/>
                <w:b w:val="0"/>
                <w:bCs w:val="0"/>
                <w:color w:val="auto"/>
                <w:sz w:val="21"/>
                <w:highlight w:val="none"/>
                <w:lang w:val="en-US" w:eastAsia="zh-CN"/>
              </w:rPr>
              <w:t>4噪声</w:t>
            </w:r>
            <w:r>
              <w:rPr>
                <w:rFonts w:hint="eastAsia" w:ascii="Times New Roman" w:hAnsi="Times New Roman" w:eastAsia="黑体" w:cs="Times New Roman"/>
                <w:b w:val="0"/>
                <w:bCs w:val="0"/>
                <w:color w:val="auto"/>
                <w:sz w:val="21"/>
                <w:highlight w:val="none"/>
                <w:lang w:eastAsia="zh-CN"/>
              </w:rPr>
              <w:t>检测结果</w:t>
            </w:r>
          </w:p>
          <w:tbl>
            <w:tblPr>
              <w:tblStyle w:val="25"/>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07"/>
              <w:gridCol w:w="1554"/>
              <w:gridCol w:w="1487"/>
              <w:gridCol w:w="1474"/>
              <w:gridCol w:w="1630"/>
            </w:tblGrid>
            <w:tr w14:paraId="35CA1B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07" w:type="dxa"/>
                  <w:vMerge w:val="restart"/>
                  <w:vAlign w:val="center"/>
                </w:tcPr>
                <w:p w14:paraId="7FDA6A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监测点位</w:t>
                  </w:r>
                </w:p>
              </w:tc>
              <w:tc>
                <w:tcPr>
                  <w:tcW w:w="6145" w:type="dxa"/>
                  <w:gridSpan w:val="4"/>
                  <w:vAlign w:val="center"/>
                </w:tcPr>
                <w:p w14:paraId="6B48BA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监测结果</w:t>
                  </w:r>
                </w:p>
              </w:tc>
            </w:tr>
            <w:tr w14:paraId="1A06FE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07" w:type="dxa"/>
                  <w:vMerge w:val="continue"/>
                  <w:vAlign w:val="center"/>
                </w:tcPr>
                <w:p w14:paraId="1DFA76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3041" w:type="dxa"/>
                  <w:gridSpan w:val="2"/>
                  <w:vAlign w:val="center"/>
                </w:tcPr>
                <w:p w14:paraId="3C67A7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1月20日</w:t>
                  </w:r>
                </w:p>
              </w:tc>
              <w:tc>
                <w:tcPr>
                  <w:tcW w:w="3104" w:type="dxa"/>
                  <w:gridSpan w:val="2"/>
                  <w:vAlign w:val="center"/>
                </w:tcPr>
                <w:p w14:paraId="719872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1月21日</w:t>
                  </w:r>
                </w:p>
              </w:tc>
            </w:tr>
            <w:tr w14:paraId="77F223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07" w:type="dxa"/>
                  <w:vMerge w:val="continue"/>
                  <w:vAlign w:val="center"/>
                </w:tcPr>
                <w:p w14:paraId="0E09B0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554" w:type="dxa"/>
                  <w:vAlign w:val="center"/>
                </w:tcPr>
                <w:p w14:paraId="033C6E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昼间</w:t>
                  </w:r>
                </w:p>
              </w:tc>
              <w:tc>
                <w:tcPr>
                  <w:tcW w:w="1487" w:type="dxa"/>
                  <w:vAlign w:val="center"/>
                </w:tcPr>
                <w:p w14:paraId="480F87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夜间</w:t>
                  </w:r>
                </w:p>
              </w:tc>
              <w:tc>
                <w:tcPr>
                  <w:tcW w:w="1474" w:type="dxa"/>
                  <w:vAlign w:val="center"/>
                </w:tcPr>
                <w:p w14:paraId="1F69FC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昼间</w:t>
                  </w:r>
                </w:p>
              </w:tc>
              <w:tc>
                <w:tcPr>
                  <w:tcW w:w="1630" w:type="dxa"/>
                  <w:vAlign w:val="center"/>
                </w:tcPr>
                <w:p w14:paraId="474B5E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夜间</w:t>
                  </w:r>
                </w:p>
              </w:tc>
            </w:tr>
            <w:tr w14:paraId="48866F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07" w:type="dxa"/>
                  <w:vAlign w:val="center"/>
                </w:tcPr>
                <w:p w14:paraId="3CEDE0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项目厂界东S1</w:t>
                  </w:r>
                </w:p>
              </w:tc>
              <w:tc>
                <w:tcPr>
                  <w:tcW w:w="1554" w:type="dxa"/>
                  <w:vAlign w:val="center"/>
                </w:tcPr>
                <w:p w14:paraId="65200B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55</w:t>
                  </w:r>
                </w:p>
              </w:tc>
              <w:tc>
                <w:tcPr>
                  <w:tcW w:w="1487" w:type="dxa"/>
                  <w:vAlign w:val="center"/>
                </w:tcPr>
                <w:p w14:paraId="1E25659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42</w:t>
                  </w:r>
                </w:p>
              </w:tc>
              <w:tc>
                <w:tcPr>
                  <w:tcW w:w="1474" w:type="dxa"/>
                  <w:vAlign w:val="center"/>
                </w:tcPr>
                <w:p w14:paraId="63B73C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53</w:t>
                  </w:r>
                </w:p>
              </w:tc>
              <w:tc>
                <w:tcPr>
                  <w:tcW w:w="1630" w:type="dxa"/>
                  <w:vAlign w:val="center"/>
                </w:tcPr>
                <w:p w14:paraId="4348FA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43</w:t>
                  </w:r>
                </w:p>
              </w:tc>
            </w:tr>
            <w:tr w14:paraId="4E29C9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07" w:type="dxa"/>
                  <w:vAlign w:val="center"/>
                </w:tcPr>
                <w:p w14:paraId="5314DB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项目厂界南S2</w:t>
                  </w:r>
                </w:p>
              </w:tc>
              <w:tc>
                <w:tcPr>
                  <w:tcW w:w="1554" w:type="dxa"/>
                  <w:vAlign w:val="center"/>
                </w:tcPr>
                <w:p w14:paraId="4B9FF4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56</w:t>
                  </w:r>
                </w:p>
              </w:tc>
              <w:tc>
                <w:tcPr>
                  <w:tcW w:w="1487" w:type="dxa"/>
                  <w:vAlign w:val="center"/>
                </w:tcPr>
                <w:p w14:paraId="3BB8DD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43</w:t>
                  </w:r>
                </w:p>
              </w:tc>
              <w:tc>
                <w:tcPr>
                  <w:tcW w:w="1474" w:type="dxa"/>
                  <w:vAlign w:val="center"/>
                </w:tcPr>
                <w:p w14:paraId="7A40A9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54</w:t>
                  </w:r>
                </w:p>
              </w:tc>
              <w:tc>
                <w:tcPr>
                  <w:tcW w:w="1630" w:type="dxa"/>
                  <w:vAlign w:val="center"/>
                </w:tcPr>
                <w:p w14:paraId="5A592F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41</w:t>
                  </w:r>
                </w:p>
              </w:tc>
            </w:tr>
            <w:tr w14:paraId="692685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07" w:type="dxa"/>
                  <w:vAlign w:val="center"/>
                </w:tcPr>
                <w:p w14:paraId="17DEB0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项目厂界西S3</w:t>
                  </w:r>
                </w:p>
              </w:tc>
              <w:tc>
                <w:tcPr>
                  <w:tcW w:w="1554" w:type="dxa"/>
                  <w:vAlign w:val="center"/>
                </w:tcPr>
                <w:p w14:paraId="6BB5F2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54</w:t>
                  </w:r>
                </w:p>
              </w:tc>
              <w:tc>
                <w:tcPr>
                  <w:tcW w:w="1487" w:type="dxa"/>
                  <w:vAlign w:val="center"/>
                </w:tcPr>
                <w:p w14:paraId="0710E5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41</w:t>
                  </w:r>
                </w:p>
              </w:tc>
              <w:tc>
                <w:tcPr>
                  <w:tcW w:w="1474" w:type="dxa"/>
                  <w:vAlign w:val="center"/>
                </w:tcPr>
                <w:p w14:paraId="113796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53</w:t>
                  </w:r>
                </w:p>
              </w:tc>
              <w:tc>
                <w:tcPr>
                  <w:tcW w:w="1630" w:type="dxa"/>
                  <w:vAlign w:val="center"/>
                </w:tcPr>
                <w:p w14:paraId="452EAB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42</w:t>
                  </w:r>
                </w:p>
              </w:tc>
            </w:tr>
            <w:tr w14:paraId="79410B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07" w:type="dxa"/>
                  <w:vAlign w:val="center"/>
                </w:tcPr>
                <w:p w14:paraId="161CBF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项目厂界北S4</w:t>
                  </w:r>
                </w:p>
              </w:tc>
              <w:tc>
                <w:tcPr>
                  <w:tcW w:w="1554" w:type="dxa"/>
                  <w:vAlign w:val="center"/>
                </w:tcPr>
                <w:p w14:paraId="10DAA9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58</w:t>
                  </w:r>
                </w:p>
              </w:tc>
              <w:tc>
                <w:tcPr>
                  <w:tcW w:w="1487" w:type="dxa"/>
                  <w:vAlign w:val="center"/>
                </w:tcPr>
                <w:p w14:paraId="5BF45A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44</w:t>
                  </w:r>
                </w:p>
              </w:tc>
              <w:tc>
                <w:tcPr>
                  <w:tcW w:w="1474" w:type="dxa"/>
                  <w:vAlign w:val="center"/>
                </w:tcPr>
                <w:p w14:paraId="215D40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56</w:t>
                  </w:r>
                </w:p>
              </w:tc>
              <w:tc>
                <w:tcPr>
                  <w:tcW w:w="1630" w:type="dxa"/>
                  <w:vAlign w:val="center"/>
                </w:tcPr>
                <w:p w14:paraId="49F60E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44</w:t>
                  </w:r>
                </w:p>
              </w:tc>
            </w:tr>
          </w:tbl>
          <w:p w14:paraId="1ADE0D1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由上表检测数据可知，本项目厂界四周噪声满足《工业企业厂界环境噪声排放标准》（GB 12348-2008）3类标准（即：昼间65dB（A）、夜间55dB（A））。</w:t>
            </w:r>
          </w:p>
          <w:p w14:paraId="6DCB6D56">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4监测点位图</w:t>
            </w:r>
          </w:p>
          <w:p w14:paraId="4173EA26">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drawing>
                <wp:inline distT="0" distB="0" distL="114300" distR="114300">
                  <wp:extent cx="4286250" cy="5715000"/>
                  <wp:effectExtent l="0" t="0" r="0" b="0"/>
                  <wp:docPr id="6" name="图片 6" descr="1741832268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741832268756"/>
                          <pic:cNvPicPr>
                            <a:picLocks noChangeAspect="1"/>
                          </pic:cNvPicPr>
                        </pic:nvPicPr>
                        <pic:blipFill>
                          <a:blip r:embed="rId36"/>
                          <a:stretch>
                            <a:fillRect/>
                          </a:stretch>
                        </pic:blipFill>
                        <pic:spPr>
                          <a:xfrm>
                            <a:off x="0" y="0"/>
                            <a:ext cx="4286250" cy="5715000"/>
                          </a:xfrm>
                          <a:prstGeom prst="rect">
                            <a:avLst/>
                          </a:prstGeom>
                        </pic:spPr>
                      </pic:pic>
                    </a:graphicData>
                  </a:graphic>
                </wp:inline>
              </w:drawing>
            </w:r>
          </w:p>
          <w:p w14:paraId="72B6ECD1">
            <w:pPr>
              <w:ind w:left="0" w:leftChars="0" w:firstLine="0" w:firstLineChars="0"/>
              <w:rPr>
                <w:rFonts w:hint="default"/>
                <w:lang w:val="en-US" w:eastAsia="zh-CN"/>
              </w:rPr>
            </w:pPr>
            <w:r>
              <w:rPr>
                <w:rFonts w:hint="eastAsia" w:ascii="Times New Roman" w:hAnsi="Times New Roman"/>
                <w:b/>
                <w:color w:val="auto"/>
                <w:sz w:val="24"/>
                <w:highlight w:val="none"/>
                <w:vertAlign w:val="baseline"/>
                <w:lang w:val="en-US" w:eastAsia="zh-CN"/>
              </w:rPr>
              <w:t>5污染物排放总量</w:t>
            </w:r>
          </w:p>
          <w:p w14:paraId="4B772A7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（1）废气</w:t>
            </w:r>
          </w:p>
          <w:p w14:paraId="48FF3A5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项目建成后，本项目VOCs排放量为0.0713t/a（其中有组织排放量为0.0949kg/a，无组织排放量为71.25kg/a）；未超过环评中的企业排口的总量控制指标，即：VOCs排放量为0.98t/a（其中有组织排放量为0.64t/a，无组织排放量为0.34t/a）</w:t>
            </w:r>
          </w:p>
          <w:p w14:paraId="6E742D9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（2）废水</w:t>
            </w:r>
          </w:p>
          <w:p w14:paraId="59E0C9D7">
            <w:pPr>
              <w:keepNext w:val="0"/>
              <w:keepLines w:val="0"/>
              <w:pageBreakBefore w:val="0"/>
              <w:numPr>
                <w:ilvl w:val="0"/>
                <w:numId w:val="0"/>
              </w:numPr>
              <w:kinsoku/>
              <w:wordWrap/>
              <w:overflowPunct/>
              <w:topLinePunct w:val="0"/>
              <w:autoSpaceDE/>
              <w:autoSpaceDN/>
              <w:bidi w:val="0"/>
              <w:spacing w:line="360" w:lineRule="auto"/>
              <w:ind w:leftChars="0" w:right="0"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lang w:val="en-US" w:eastAsia="zh-CN"/>
              </w:rPr>
              <w:t>由于本项目所在区域无市政管网，且验收阶段，生活污水排入防渗旱厕定期清掏不外排。一旦布设管网，本项目生活污水排入化粪池处理后，在监测达标后方可排入市政管网因此，本项目验收阶段不涉及水污染排放总量。</w:t>
            </w:r>
          </w:p>
          <w:p w14:paraId="583A334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综上，本项目总量控制指标为：</w:t>
            </w:r>
            <w:r>
              <w:rPr>
                <w:rFonts w:hint="eastAsia" w:ascii="Times New Roman" w:hAnsi="Times New Roman" w:eastAsia="宋体" w:cs="Times New Roman"/>
                <w:color w:val="auto"/>
                <w:kern w:val="2"/>
                <w:sz w:val="24"/>
                <w:szCs w:val="24"/>
                <w:highlight w:val="none"/>
                <w:lang w:val="en-US" w:eastAsia="zh-CN" w:bidi="ar-SA"/>
              </w:rPr>
              <w:t>VOCs</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0.0713t/a。</w:t>
            </w:r>
          </w:p>
          <w:p w14:paraId="5EBBDA03">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6、环保设施处理效率监测结果</w:t>
            </w:r>
          </w:p>
          <w:p w14:paraId="637B772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废气治理设施</w:t>
            </w:r>
          </w:p>
          <w:p w14:paraId="4EDBC2C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黑体" w:cs="Times New Roman"/>
                <w:b w:val="0"/>
                <w:bCs w:val="0"/>
                <w:color w:val="auto"/>
                <w:sz w:val="21"/>
                <w:highlight w:val="none"/>
              </w:rPr>
              <w:t>表</w:t>
            </w:r>
            <w:r>
              <w:rPr>
                <w:rFonts w:hint="eastAsia" w:ascii="Times New Roman" w:hAnsi="Times New Roman" w:eastAsia="黑体" w:cs="Times New Roman"/>
                <w:b w:val="0"/>
                <w:bCs w:val="0"/>
                <w:color w:val="auto"/>
                <w:sz w:val="21"/>
                <w:highlight w:val="none"/>
                <w:lang w:val="en-US" w:eastAsia="zh-CN"/>
              </w:rPr>
              <w:t>7-7废气治理设施效率</w:t>
            </w:r>
          </w:p>
          <w:tbl>
            <w:tblPr>
              <w:tblStyle w:val="24"/>
              <w:tblW w:w="4801"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5"/>
              <w:gridCol w:w="648"/>
              <w:gridCol w:w="1023"/>
              <w:gridCol w:w="1827"/>
              <w:gridCol w:w="1112"/>
              <w:gridCol w:w="873"/>
              <w:gridCol w:w="1009"/>
              <w:gridCol w:w="861"/>
            </w:tblGrid>
            <w:tr w14:paraId="08ED83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restart"/>
                  <w:noWrap w:val="0"/>
                  <w:vAlign w:val="center"/>
                </w:tcPr>
                <w:p w14:paraId="6ED348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采样</w:t>
                  </w:r>
                </w:p>
                <w:p w14:paraId="3E5E6A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日期</w:t>
                  </w:r>
                </w:p>
              </w:tc>
              <w:tc>
                <w:tcPr>
                  <w:tcW w:w="648" w:type="dxa"/>
                  <w:vMerge w:val="restart"/>
                  <w:noWrap w:val="0"/>
                  <w:vAlign w:val="center"/>
                </w:tcPr>
                <w:p w14:paraId="5AC6FC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采样点位</w:t>
                  </w:r>
                </w:p>
              </w:tc>
              <w:tc>
                <w:tcPr>
                  <w:tcW w:w="1023" w:type="dxa"/>
                  <w:vMerge w:val="restart"/>
                  <w:noWrap w:val="0"/>
                  <w:vAlign w:val="center"/>
                </w:tcPr>
                <w:p w14:paraId="268560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监测</w:t>
                  </w:r>
                </w:p>
                <w:p w14:paraId="0CCD9E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频次</w:t>
                  </w:r>
                </w:p>
              </w:tc>
              <w:tc>
                <w:tcPr>
                  <w:tcW w:w="5682" w:type="dxa"/>
                  <w:gridSpan w:val="5"/>
                  <w:noWrap w:val="0"/>
                  <w:vAlign w:val="center"/>
                </w:tcPr>
                <w:p w14:paraId="2A3C7E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检测项目</w:t>
                  </w:r>
                </w:p>
              </w:tc>
            </w:tr>
            <w:tr w14:paraId="4BDE83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continue"/>
                  <w:noWrap w:val="0"/>
                  <w:vAlign w:val="center"/>
                </w:tcPr>
                <w:p w14:paraId="7DDAF8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648" w:type="dxa"/>
                  <w:vMerge w:val="continue"/>
                  <w:noWrap w:val="0"/>
                  <w:vAlign w:val="center"/>
                </w:tcPr>
                <w:p w14:paraId="63F672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023" w:type="dxa"/>
                  <w:vMerge w:val="continue"/>
                  <w:noWrap w:val="0"/>
                  <w:vAlign w:val="center"/>
                </w:tcPr>
                <w:p w14:paraId="3930756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827" w:type="dxa"/>
                  <w:noWrap w:val="0"/>
                  <w:vAlign w:val="center"/>
                </w:tcPr>
                <w:p w14:paraId="5CEF24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监测项目</w:t>
                  </w:r>
                </w:p>
              </w:tc>
              <w:tc>
                <w:tcPr>
                  <w:tcW w:w="1112" w:type="dxa"/>
                  <w:noWrap w:val="0"/>
                  <w:vAlign w:val="center"/>
                </w:tcPr>
                <w:p w14:paraId="568EF5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非甲烷</w:t>
                  </w:r>
                </w:p>
                <w:p w14:paraId="226241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总烃</w:t>
                  </w:r>
                </w:p>
              </w:tc>
              <w:tc>
                <w:tcPr>
                  <w:tcW w:w="873" w:type="dxa"/>
                  <w:noWrap w:val="0"/>
                  <w:vAlign w:val="center"/>
                </w:tcPr>
                <w:p w14:paraId="63D2E76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处理效率%</w:t>
                  </w:r>
                </w:p>
              </w:tc>
              <w:tc>
                <w:tcPr>
                  <w:tcW w:w="1009" w:type="dxa"/>
                  <w:noWrap w:val="0"/>
                  <w:vAlign w:val="center"/>
                </w:tcPr>
                <w:p w14:paraId="2C5CF0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颗粒物</w:t>
                  </w:r>
                </w:p>
              </w:tc>
              <w:tc>
                <w:tcPr>
                  <w:tcW w:w="861" w:type="dxa"/>
                  <w:noWrap w:val="0"/>
                  <w:vAlign w:val="center"/>
                </w:tcPr>
                <w:p w14:paraId="205399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处理效率%</w:t>
                  </w:r>
                </w:p>
              </w:tc>
            </w:tr>
            <w:tr w14:paraId="6695A2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restart"/>
                  <w:noWrap w:val="0"/>
                  <w:vAlign w:val="center"/>
                </w:tcPr>
                <w:p w14:paraId="0DCA18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w:t>
                  </w:r>
                </w:p>
                <w:p w14:paraId="4D3779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月</w:t>
                  </w:r>
                </w:p>
                <w:p w14:paraId="72505A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20</w:t>
                  </w:r>
                </w:p>
                <w:p w14:paraId="5DB272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日</w:t>
                  </w:r>
                </w:p>
              </w:tc>
              <w:tc>
                <w:tcPr>
                  <w:tcW w:w="648" w:type="dxa"/>
                  <w:vMerge w:val="restart"/>
                  <w:noWrap w:val="0"/>
                  <w:vAlign w:val="center"/>
                </w:tcPr>
                <w:p w14:paraId="454186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进口</w:t>
                  </w:r>
                </w:p>
              </w:tc>
              <w:tc>
                <w:tcPr>
                  <w:tcW w:w="1023" w:type="dxa"/>
                  <w:noWrap w:val="0"/>
                  <w:vAlign w:val="center"/>
                </w:tcPr>
                <w:p w14:paraId="5AC564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第一次</w:t>
                  </w:r>
                </w:p>
              </w:tc>
              <w:tc>
                <w:tcPr>
                  <w:tcW w:w="1827" w:type="dxa"/>
                  <w:noWrap w:val="0"/>
                  <w:vAlign w:val="center"/>
                </w:tcPr>
                <w:p w14:paraId="6F7B46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实测浓度（mg/m3）</w:t>
                  </w:r>
                </w:p>
              </w:tc>
              <w:tc>
                <w:tcPr>
                  <w:tcW w:w="1112" w:type="dxa"/>
                  <w:noWrap w:val="0"/>
                  <w:vAlign w:val="center"/>
                </w:tcPr>
                <w:p w14:paraId="399A55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23.4</w:t>
                  </w:r>
                </w:p>
              </w:tc>
              <w:tc>
                <w:tcPr>
                  <w:tcW w:w="873" w:type="dxa"/>
                  <w:noWrap w:val="0"/>
                  <w:vAlign w:val="center"/>
                </w:tcPr>
                <w:p w14:paraId="632015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c>
                <w:tcPr>
                  <w:tcW w:w="1009" w:type="dxa"/>
                  <w:noWrap w:val="0"/>
                  <w:vAlign w:val="center"/>
                </w:tcPr>
                <w:p w14:paraId="7D9E58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369.7</w:t>
                  </w:r>
                </w:p>
              </w:tc>
              <w:tc>
                <w:tcPr>
                  <w:tcW w:w="861" w:type="dxa"/>
                  <w:noWrap w:val="0"/>
                  <w:vAlign w:val="center"/>
                </w:tcPr>
                <w:p w14:paraId="13040E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r>
            <w:tr w14:paraId="347AC7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continue"/>
                  <w:noWrap w:val="0"/>
                  <w:vAlign w:val="center"/>
                </w:tcPr>
                <w:p w14:paraId="647323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648" w:type="dxa"/>
                  <w:vMerge w:val="continue"/>
                  <w:noWrap w:val="0"/>
                  <w:vAlign w:val="center"/>
                </w:tcPr>
                <w:p w14:paraId="3215A1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023" w:type="dxa"/>
                  <w:noWrap w:val="0"/>
                  <w:vAlign w:val="center"/>
                </w:tcPr>
                <w:p w14:paraId="362A11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第二次</w:t>
                  </w:r>
                </w:p>
              </w:tc>
              <w:tc>
                <w:tcPr>
                  <w:tcW w:w="1827" w:type="dxa"/>
                  <w:noWrap w:val="0"/>
                  <w:vAlign w:val="center"/>
                </w:tcPr>
                <w:p w14:paraId="1EA092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实测浓度（mg/m3）</w:t>
                  </w:r>
                </w:p>
              </w:tc>
              <w:tc>
                <w:tcPr>
                  <w:tcW w:w="1112" w:type="dxa"/>
                  <w:noWrap w:val="0"/>
                  <w:vAlign w:val="center"/>
                </w:tcPr>
                <w:p w14:paraId="2A56C25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25.7</w:t>
                  </w:r>
                </w:p>
              </w:tc>
              <w:tc>
                <w:tcPr>
                  <w:tcW w:w="873" w:type="dxa"/>
                  <w:noWrap w:val="0"/>
                  <w:vAlign w:val="center"/>
                </w:tcPr>
                <w:p w14:paraId="25578F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c>
                <w:tcPr>
                  <w:tcW w:w="1009" w:type="dxa"/>
                  <w:noWrap w:val="0"/>
                  <w:vAlign w:val="center"/>
                </w:tcPr>
                <w:p w14:paraId="562F84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396.4</w:t>
                  </w:r>
                </w:p>
              </w:tc>
              <w:tc>
                <w:tcPr>
                  <w:tcW w:w="861" w:type="dxa"/>
                  <w:noWrap w:val="0"/>
                  <w:vAlign w:val="center"/>
                </w:tcPr>
                <w:p w14:paraId="1635BB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r>
            <w:tr w14:paraId="6AD661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continue"/>
                  <w:noWrap w:val="0"/>
                  <w:vAlign w:val="center"/>
                </w:tcPr>
                <w:p w14:paraId="390952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648" w:type="dxa"/>
                  <w:vMerge w:val="continue"/>
                  <w:noWrap w:val="0"/>
                  <w:vAlign w:val="center"/>
                </w:tcPr>
                <w:p w14:paraId="4CE536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023" w:type="dxa"/>
                  <w:noWrap w:val="0"/>
                  <w:vAlign w:val="center"/>
                </w:tcPr>
                <w:p w14:paraId="2B872E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第三次</w:t>
                  </w:r>
                </w:p>
              </w:tc>
              <w:tc>
                <w:tcPr>
                  <w:tcW w:w="1827" w:type="dxa"/>
                  <w:noWrap w:val="0"/>
                  <w:vAlign w:val="center"/>
                </w:tcPr>
                <w:p w14:paraId="076A9B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实测浓度（mg/m3）</w:t>
                  </w:r>
                </w:p>
              </w:tc>
              <w:tc>
                <w:tcPr>
                  <w:tcW w:w="1112" w:type="dxa"/>
                  <w:noWrap w:val="0"/>
                  <w:vAlign w:val="center"/>
                </w:tcPr>
                <w:p w14:paraId="20AF3D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22.6</w:t>
                  </w:r>
                </w:p>
              </w:tc>
              <w:tc>
                <w:tcPr>
                  <w:tcW w:w="873" w:type="dxa"/>
                  <w:noWrap w:val="0"/>
                  <w:vAlign w:val="center"/>
                </w:tcPr>
                <w:p w14:paraId="20BC72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c>
                <w:tcPr>
                  <w:tcW w:w="1009" w:type="dxa"/>
                  <w:noWrap w:val="0"/>
                  <w:vAlign w:val="center"/>
                </w:tcPr>
                <w:p w14:paraId="06C9A9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403.6</w:t>
                  </w:r>
                </w:p>
              </w:tc>
              <w:tc>
                <w:tcPr>
                  <w:tcW w:w="861" w:type="dxa"/>
                  <w:noWrap w:val="0"/>
                  <w:vAlign w:val="center"/>
                </w:tcPr>
                <w:p w14:paraId="3B11A0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r>
            <w:tr w14:paraId="5A023E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continue"/>
                  <w:noWrap w:val="0"/>
                  <w:vAlign w:val="center"/>
                </w:tcPr>
                <w:p w14:paraId="3A8420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p>
              </w:tc>
              <w:tc>
                <w:tcPr>
                  <w:tcW w:w="648" w:type="dxa"/>
                  <w:vMerge w:val="restart"/>
                  <w:noWrap w:val="0"/>
                  <w:vAlign w:val="center"/>
                </w:tcPr>
                <w:p w14:paraId="1AD1E7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出口</w:t>
                  </w:r>
                </w:p>
              </w:tc>
              <w:tc>
                <w:tcPr>
                  <w:tcW w:w="1023" w:type="dxa"/>
                  <w:vMerge w:val="restart"/>
                  <w:noWrap w:val="0"/>
                  <w:vAlign w:val="center"/>
                </w:tcPr>
                <w:p w14:paraId="474569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第一次</w:t>
                  </w:r>
                </w:p>
              </w:tc>
              <w:tc>
                <w:tcPr>
                  <w:tcW w:w="1827" w:type="dxa"/>
                  <w:noWrap w:val="0"/>
                  <w:vAlign w:val="center"/>
                </w:tcPr>
                <w:p w14:paraId="6AEA9F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实测浓度（mg/m3）</w:t>
                  </w:r>
                </w:p>
              </w:tc>
              <w:tc>
                <w:tcPr>
                  <w:tcW w:w="1112" w:type="dxa"/>
                  <w:noWrap w:val="0"/>
                  <w:vAlign w:val="center"/>
                </w:tcPr>
                <w:p w14:paraId="003F36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2.02</w:t>
                  </w:r>
                </w:p>
              </w:tc>
              <w:tc>
                <w:tcPr>
                  <w:tcW w:w="873" w:type="dxa"/>
                  <w:noWrap w:val="0"/>
                  <w:vAlign w:val="center"/>
                </w:tcPr>
                <w:p w14:paraId="432EE6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91.37</w:t>
                  </w:r>
                </w:p>
              </w:tc>
              <w:tc>
                <w:tcPr>
                  <w:tcW w:w="1009" w:type="dxa"/>
                  <w:noWrap w:val="0"/>
                  <w:vAlign w:val="center"/>
                </w:tcPr>
                <w:p w14:paraId="25C970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2.6</w:t>
                  </w:r>
                </w:p>
              </w:tc>
              <w:tc>
                <w:tcPr>
                  <w:tcW w:w="861" w:type="dxa"/>
                  <w:noWrap w:val="0"/>
                  <w:vAlign w:val="center"/>
                </w:tcPr>
                <w:p w14:paraId="146A14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99.30</w:t>
                  </w:r>
                </w:p>
              </w:tc>
            </w:tr>
            <w:tr w14:paraId="05CE9A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continue"/>
                  <w:noWrap w:val="0"/>
                  <w:vAlign w:val="center"/>
                </w:tcPr>
                <w:p w14:paraId="165BF6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648" w:type="dxa"/>
                  <w:vMerge w:val="continue"/>
                  <w:noWrap w:val="0"/>
                  <w:vAlign w:val="center"/>
                </w:tcPr>
                <w:p w14:paraId="676882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023" w:type="dxa"/>
                  <w:vMerge w:val="continue"/>
                  <w:noWrap w:val="0"/>
                  <w:vAlign w:val="center"/>
                </w:tcPr>
                <w:p w14:paraId="0871D9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827" w:type="dxa"/>
                  <w:noWrap w:val="0"/>
                  <w:vAlign w:val="center"/>
                </w:tcPr>
                <w:p w14:paraId="1041AE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排放速率（kg/h）</w:t>
                  </w:r>
                </w:p>
              </w:tc>
              <w:tc>
                <w:tcPr>
                  <w:tcW w:w="1112" w:type="dxa"/>
                  <w:noWrap w:val="0"/>
                  <w:vAlign w:val="center"/>
                </w:tcPr>
                <w:p w14:paraId="39A8B6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2.6</w:t>
                  </w:r>
                  <w:r>
                    <w:rPr>
                      <w:rFonts w:hint="default" w:cs="Times New Roman"/>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873" w:type="dxa"/>
                  <w:noWrap w:val="0"/>
                  <w:vAlign w:val="center"/>
                </w:tcPr>
                <w:p w14:paraId="5A95C0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c>
                <w:tcPr>
                  <w:tcW w:w="1009" w:type="dxa"/>
                  <w:noWrap w:val="0"/>
                  <w:vAlign w:val="center"/>
                </w:tcPr>
                <w:p w14:paraId="565671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3.4</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861" w:type="dxa"/>
                  <w:noWrap w:val="0"/>
                  <w:vAlign w:val="center"/>
                </w:tcPr>
                <w:p w14:paraId="1F9051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r>
            <w:tr w14:paraId="03CE8B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continue"/>
                  <w:noWrap w:val="0"/>
                  <w:vAlign w:val="center"/>
                </w:tcPr>
                <w:p w14:paraId="195C0D2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648" w:type="dxa"/>
                  <w:vMerge w:val="continue"/>
                  <w:noWrap w:val="0"/>
                  <w:vAlign w:val="center"/>
                </w:tcPr>
                <w:p w14:paraId="091EFC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023" w:type="dxa"/>
                  <w:vMerge w:val="restart"/>
                  <w:noWrap w:val="0"/>
                  <w:vAlign w:val="center"/>
                </w:tcPr>
                <w:p w14:paraId="4DB481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第二次</w:t>
                  </w:r>
                </w:p>
              </w:tc>
              <w:tc>
                <w:tcPr>
                  <w:tcW w:w="1827" w:type="dxa"/>
                  <w:noWrap w:val="0"/>
                  <w:vAlign w:val="center"/>
                </w:tcPr>
                <w:p w14:paraId="65E51B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实测浓度（mg/m3）</w:t>
                  </w:r>
                </w:p>
              </w:tc>
              <w:tc>
                <w:tcPr>
                  <w:tcW w:w="1112" w:type="dxa"/>
                  <w:noWrap w:val="0"/>
                  <w:vAlign w:val="center"/>
                </w:tcPr>
                <w:p w14:paraId="0A1D57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2.10</w:t>
                  </w:r>
                </w:p>
              </w:tc>
              <w:tc>
                <w:tcPr>
                  <w:tcW w:w="873" w:type="dxa"/>
                  <w:noWrap w:val="0"/>
                  <w:vAlign w:val="center"/>
                </w:tcPr>
                <w:p w14:paraId="04160A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91.83</w:t>
                  </w:r>
                </w:p>
              </w:tc>
              <w:tc>
                <w:tcPr>
                  <w:tcW w:w="1009" w:type="dxa"/>
                  <w:noWrap w:val="0"/>
                  <w:vAlign w:val="center"/>
                </w:tcPr>
                <w:p w14:paraId="2B37C4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2.9</w:t>
                  </w:r>
                </w:p>
              </w:tc>
              <w:tc>
                <w:tcPr>
                  <w:tcW w:w="861" w:type="dxa"/>
                  <w:noWrap w:val="0"/>
                  <w:vAlign w:val="center"/>
                </w:tcPr>
                <w:p w14:paraId="3910DA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99.22</w:t>
                  </w:r>
                </w:p>
              </w:tc>
            </w:tr>
            <w:tr w14:paraId="3F219F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continue"/>
                  <w:noWrap w:val="0"/>
                  <w:vAlign w:val="center"/>
                </w:tcPr>
                <w:p w14:paraId="2E564B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648" w:type="dxa"/>
                  <w:vMerge w:val="continue"/>
                  <w:noWrap w:val="0"/>
                  <w:vAlign w:val="center"/>
                </w:tcPr>
                <w:p w14:paraId="21C3A3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023" w:type="dxa"/>
                  <w:vMerge w:val="continue"/>
                  <w:noWrap w:val="0"/>
                  <w:vAlign w:val="center"/>
                </w:tcPr>
                <w:p w14:paraId="159E05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827" w:type="dxa"/>
                  <w:noWrap w:val="0"/>
                  <w:vAlign w:val="center"/>
                </w:tcPr>
                <w:p w14:paraId="0550F0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排放速率（kg/h）</w:t>
                  </w:r>
                </w:p>
              </w:tc>
              <w:tc>
                <w:tcPr>
                  <w:tcW w:w="1112" w:type="dxa"/>
                  <w:noWrap w:val="0"/>
                  <w:vAlign w:val="center"/>
                </w:tcPr>
                <w:p w14:paraId="5ED743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3.5</w:t>
                  </w:r>
                  <w:r>
                    <w:rPr>
                      <w:rFonts w:hint="default" w:cs="Times New Roman"/>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873" w:type="dxa"/>
                  <w:noWrap w:val="0"/>
                  <w:vAlign w:val="center"/>
                </w:tcPr>
                <w:p w14:paraId="2828B0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c>
                <w:tcPr>
                  <w:tcW w:w="1009" w:type="dxa"/>
                  <w:noWrap w:val="0"/>
                  <w:vAlign w:val="center"/>
                </w:tcPr>
                <w:p w14:paraId="597A99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4.8</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861" w:type="dxa"/>
                  <w:noWrap w:val="0"/>
                  <w:vAlign w:val="center"/>
                </w:tcPr>
                <w:p w14:paraId="0C6B05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r>
            <w:tr w14:paraId="0F433A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continue"/>
                  <w:noWrap w:val="0"/>
                  <w:vAlign w:val="center"/>
                </w:tcPr>
                <w:p w14:paraId="33B8FE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648" w:type="dxa"/>
                  <w:vMerge w:val="continue"/>
                  <w:noWrap w:val="0"/>
                  <w:vAlign w:val="center"/>
                </w:tcPr>
                <w:p w14:paraId="234B0C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023" w:type="dxa"/>
                  <w:vMerge w:val="restart"/>
                  <w:noWrap w:val="0"/>
                  <w:vAlign w:val="center"/>
                </w:tcPr>
                <w:p w14:paraId="634679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第三次</w:t>
                  </w:r>
                </w:p>
              </w:tc>
              <w:tc>
                <w:tcPr>
                  <w:tcW w:w="1827" w:type="dxa"/>
                  <w:noWrap w:val="0"/>
                  <w:vAlign w:val="center"/>
                </w:tcPr>
                <w:p w14:paraId="69E29C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实测浓度（mg/m3）</w:t>
                  </w:r>
                </w:p>
              </w:tc>
              <w:tc>
                <w:tcPr>
                  <w:tcW w:w="1112" w:type="dxa"/>
                  <w:noWrap w:val="0"/>
                  <w:vAlign w:val="center"/>
                </w:tcPr>
                <w:p w14:paraId="0C98AC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1.88</w:t>
                  </w:r>
                </w:p>
              </w:tc>
              <w:tc>
                <w:tcPr>
                  <w:tcW w:w="873" w:type="dxa"/>
                  <w:noWrap w:val="0"/>
                  <w:vAlign w:val="center"/>
                </w:tcPr>
                <w:p w14:paraId="596DB4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91.68</w:t>
                  </w:r>
                </w:p>
              </w:tc>
              <w:tc>
                <w:tcPr>
                  <w:tcW w:w="1009" w:type="dxa"/>
                  <w:noWrap w:val="0"/>
                  <w:vAlign w:val="center"/>
                </w:tcPr>
                <w:p w14:paraId="3897DC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3.2</w:t>
                  </w:r>
                </w:p>
              </w:tc>
              <w:tc>
                <w:tcPr>
                  <w:tcW w:w="861" w:type="dxa"/>
                  <w:noWrap w:val="0"/>
                  <w:vAlign w:val="center"/>
                </w:tcPr>
                <w:p w14:paraId="3AF373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99.21</w:t>
                  </w:r>
                </w:p>
              </w:tc>
            </w:tr>
            <w:tr w14:paraId="294806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continue"/>
                  <w:noWrap w:val="0"/>
                  <w:vAlign w:val="center"/>
                </w:tcPr>
                <w:p w14:paraId="4633E8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648" w:type="dxa"/>
                  <w:vMerge w:val="continue"/>
                  <w:noWrap w:val="0"/>
                  <w:vAlign w:val="center"/>
                </w:tcPr>
                <w:p w14:paraId="6FBABF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023" w:type="dxa"/>
                  <w:vMerge w:val="continue"/>
                  <w:noWrap w:val="0"/>
                  <w:vAlign w:val="center"/>
                </w:tcPr>
                <w:p w14:paraId="325C04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827" w:type="dxa"/>
                  <w:noWrap w:val="0"/>
                  <w:vAlign w:val="center"/>
                </w:tcPr>
                <w:p w14:paraId="73F754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排放速率（kg/h）</w:t>
                  </w:r>
                </w:p>
              </w:tc>
              <w:tc>
                <w:tcPr>
                  <w:tcW w:w="1112" w:type="dxa"/>
                  <w:noWrap w:val="0"/>
                  <w:vAlign w:val="center"/>
                </w:tcPr>
                <w:p w14:paraId="3E545B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2.5</w:t>
                  </w:r>
                  <w:r>
                    <w:rPr>
                      <w:rFonts w:hint="default" w:cs="Times New Roman"/>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873" w:type="dxa"/>
                  <w:noWrap w:val="0"/>
                  <w:vAlign w:val="center"/>
                </w:tcPr>
                <w:p w14:paraId="0FDABA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c>
                <w:tcPr>
                  <w:tcW w:w="1009" w:type="dxa"/>
                  <w:noWrap w:val="0"/>
                  <w:vAlign w:val="center"/>
                </w:tcPr>
                <w:p w14:paraId="70558C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4.3</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861" w:type="dxa"/>
                  <w:noWrap w:val="0"/>
                  <w:vAlign w:val="center"/>
                </w:tcPr>
                <w:p w14:paraId="60559D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r>
            <w:tr w14:paraId="261C9E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restart"/>
                  <w:noWrap w:val="0"/>
                  <w:vAlign w:val="center"/>
                </w:tcPr>
                <w:p w14:paraId="457BD2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w:t>
                  </w:r>
                </w:p>
                <w:p w14:paraId="245165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月</w:t>
                  </w:r>
                </w:p>
                <w:p w14:paraId="389DE4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21</w:t>
                  </w:r>
                </w:p>
                <w:p w14:paraId="64E6D7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日</w:t>
                  </w:r>
                </w:p>
              </w:tc>
              <w:tc>
                <w:tcPr>
                  <w:tcW w:w="648" w:type="dxa"/>
                  <w:vMerge w:val="restart"/>
                  <w:noWrap w:val="0"/>
                  <w:vAlign w:val="center"/>
                </w:tcPr>
                <w:p w14:paraId="0EB9C1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进口</w:t>
                  </w:r>
                </w:p>
              </w:tc>
              <w:tc>
                <w:tcPr>
                  <w:tcW w:w="1023" w:type="dxa"/>
                  <w:noWrap w:val="0"/>
                  <w:vAlign w:val="center"/>
                </w:tcPr>
                <w:p w14:paraId="002CB2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第一次</w:t>
                  </w:r>
                </w:p>
              </w:tc>
              <w:tc>
                <w:tcPr>
                  <w:tcW w:w="1827" w:type="dxa"/>
                  <w:noWrap w:val="0"/>
                  <w:vAlign w:val="center"/>
                </w:tcPr>
                <w:p w14:paraId="6E8B7F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实测浓度（mg/m3）</w:t>
                  </w:r>
                </w:p>
              </w:tc>
              <w:tc>
                <w:tcPr>
                  <w:tcW w:w="1112" w:type="dxa"/>
                  <w:noWrap w:val="0"/>
                  <w:vAlign w:val="center"/>
                </w:tcPr>
                <w:p w14:paraId="617BC8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19.9</w:t>
                  </w:r>
                </w:p>
              </w:tc>
              <w:tc>
                <w:tcPr>
                  <w:tcW w:w="873" w:type="dxa"/>
                  <w:noWrap w:val="0"/>
                  <w:vAlign w:val="center"/>
                </w:tcPr>
                <w:p w14:paraId="17CB60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c>
                <w:tcPr>
                  <w:tcW w:w="1009" w:type="dxa"/>
                  <w:noWrap w:val="0"/>
                  <w:vAlign w:val="center"/>
                </w:tcPr>
                <w:p w14:paraId="4B4C71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345.6</w:t>
                  </w:r>
                </w:p>
              </w:tc>
              <w:tc>
                <w:tcPr>
                  <w:tcW w:w="861" w:type="dxa"/>
                  <w:noWrap w:val="0"/>
                  <w:vAlign w:val="center"/>
                </w:tcPr>
                <w:p w14:paraId="447C9A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r>
            <w:tr w14:paraId="1AAE04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continue"/>
                  <w:noWrap w:val="0"/>
                  <w:vAlign w:val="center"/>
                </w:tcPr>
                <w:p w14:paraId="36208D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648" w:type="dxa"/>
                  <w:vMerge w:val="continue"/>
                  <w:noWrap w:val="0"/>
                  <w:vAlign w:val="center"/>
                </w:tcPr>
                <w:p w14:paraId="08C188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023" w:type="dxa"/>
                  <w:noWrap w:val="0"/>
                  <w:vAlign w:val="center"/>
                </w:tcPr>
                <w:p w14:paraId="6C2EE0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第二次</w:t>
                  </w:r>
                </w:p>
              </w:tc>
              <w:tc>
                <w:tcPr>
                  <w:tcW w:w="1827" w:type="dxa"/>
                  <w:noWrap w:val="0"/>
                  <w:vAlign w:val="center"/>
                </w:tcPr>
                <w:p w14:paraId="21032E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实测浓度（mg/m3）</w:t>
                  </w:r>
                </w:p>
              </w:tc>
              <w:tc>
                <w:tcPr>
                  <w:tcW w:w="1112" w:type="dxa"/>
                  <w:noWrap w:val="0"/>
                  <w:vAlign w:val="center"/>
                </w:tcPr>
                <w:p w14:paraId="5886AA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18.9</w:t>
                  </w:r>
                </w:p>
              </w:tc>
              <w:tc>
                <w:tcPr>
                  <w:tcW w:w="873" w:type="dxa"/>
                  <w:noWrap w:val="0"/>
                  <w:vAlign w:val="center"/>
                </w:tcPr>
                <w:p w14:paraId="1E1165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c>
                <w:tcPr>
                  <w:tcW w:w="1009" w:type="dxa"/>
                  <w:noWrap w:val="0"/>
                  <w:vAlign w:val="center"/>
                </w:tcPr>
                <w:p w14:paraId="0D90CE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366.4</w:t>
                  </w:r>
                </w:p>
              </w:tc>
              <w:tc>
                <w:tcPr>
                  <w:tcW w:w="861" w:type="dxa"/>
                  <w:noWrap w:val="0"/>
                  <w:vAlign w:val="center"/>
                </w:tcPr>
                <w:p w14:paraId="01C69A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r>
            <w:tr w14:paraId="7996A6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continue"/>
                  <w:noWrap w:val="0"/>
                  <w:vAlign w:val="center"/>
                </w:tcPr>
                <w:p w14:paraId="034758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648" w:type="dxa"/>
                  <w:vMerge w:val="continue"/>
                  <w:noWrap w:val="0"/>
                  <w:vAlign w:val="center"/>
                </w:tcPr>
                <w:p w14:paraId="1F8CA1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023" w:type="dxa"/>
                  <w:noWrap w:val="0"/>
                  <w:vAlign w:val="center"/>
                </w:tcPr>
                <w:p w14:paraId="0B87CC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第三次</w:t>
                  </w:r>
                </w:p>
              </w:tc>
              <w:tc>
                <w:tcPr>
                  <w:tcW w:w="1827" w:type="dxa"/>
                  <w:noWrap w:val="0"/>
                  <w:vAlign w:val="center"/>
                </w:tcPr>
                <w:p w14:paraId="524CA7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实测浓度（mg/m3）</w:t>
                  </w:r>
                </w:p>
              </w:tc>
              <w:tc>
                <w:tcPr>
                  <w:tcW w:w="1112" w:type="dxa"/>
                  <w:noWrap w:val="0"/>
                  <w:vAlign w:val="center"/>
                </w:tcPr>
                <w:p w14:paraId="567B9F9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18.8</w:t>
                  </w:r>
                </w:p>
              </w:tc>
              <w:tc>
                <w:tcPr>
                  <w:tcW w:w="873" w:type="dxa"/>
                  <w:noWrap w:val="0"/>
                  <w:vAlign w:val="center"/>
                </w:tcPr>
                <w:p w14:paraId="21FAD3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c>
                <w:tcPr>
                  <w:tcW w:w="1009" w:type="dxa"/>
                  <w:noWrap w:val="0"/>
                  <w:vAlign w:val="center"/>
                </w:tcPr>
                <w:p w14:paraId="385129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396.7</w:t>
                  </w:r>
                </w:p>
              </w:tc>
              <w:tc>
                <w:tcPr>
                  <w:tcW w:w="861" w:type="dxa"/>
                  <w:noWrap w:val="0"/>
                  <w:vAlign w:val="center"/>
                </w:tcPr>
                <w:p w14:paraId="5885C0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r>
            <w:tr w14:paraId="75A3A6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continue"/>
                  <w:noWrap w:val="0"/>
                  <w:vAlign w:val="center"/>
                </w:tcPr>
                <w:p w14:paraId="16873E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p>
              </w:tc>
              <w:tc>
                <w:tcPr>
                  <w:tcW w:w="648" w:type="dxa"/>
                  <w:vMerge w:val="restart"/>
                  <w:noWrap w:val="0"/>
                  <w:vAlign w:val="center"/>
                </w:tcPr>
                <w:p w14:paraId="4A5FC1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出口</w:t>
                  </w:r>
                </w:p>
              </w:tc>
              <w:tc>
                <w:tcPr>
                  <w:tcW w:w="1023" w:type="dxa"/>
                  <w:vMerge w:val="restart"/>
                  <w:noWrap w:val="0"/>
                  <w:vAlign w:val="center"/>
                </w:tcPr>
                <w:p w14:paraId="7898CE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第一次</w:t>
                  </w:r>
                </w:p>
              </w:tc>
              <w:tc>
                <w:tcPr>
                  <w:tcW w:w="1827" w:type="dxa"/>
                  <w:noWrap w:val="0"/>
                  <w:vAlign w:val="center"/>
                </w:tcPr>
                <w:p w14:paraId="1EE7D8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实测浓度（mg/m3）</w:t>
                  </w:r>
                </w:p>
              </w:tc>
              <w:tc>
                <w:tcPr>
                  <w:tcW w:w="1112" w:type="dxa"/>
                  <w:noWrap w:val="0"/>
                  <w:vAlign w:val="center"/>
                </w:tcPr>
                <w:p w14:paraId="5CC7F1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1.94</w:t>
                  </w:r>
                </w:p>
              </w:tc>
              <w:tc>
                <w:tcPr>
                  <w:tcW w:w="873" w:type="dxa"/>
                  <w:noWrap w:val="0"/>
                  <w:vAlign w:val="center"/>
                </w:tcPr>
                <w:p w14:paraId="069AA9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90.25</w:t>
                  </w:r>
                </w:p>
              </w:tc>
              <w:tc>
                <w:tcPr>
                  <w:tcW w:w="1009" w:type="dxa"/>
                  <w:noWrap w:val="0"/>
                  <w:vAlign w:val="center"/>
                </w:tcPr>
                <w:p w14:paraId="651A63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3.2</w:t>
                  </w:r>
                </w:p>
              </w:tc>
              <w:tc>
                <w:tcPr>
                  <w:tcW w:w="861" w:type="dxa"/>
                  <w:noWrap w:val="0"/>
                  <w:vAlign w:val="center"/>
                </w:tcPr>
                <w:p w14:paraId="6C1347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99.07</w:t>
                  </w:r>
                </w:p>
              </w:tc>
            </w:tr>
            <w:tr w14:paraId="53FDF6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continue"/>
                  <w:noWrap w:val="0"/>
                  <w:vAlign w:val="center"/>
                </w:tcPr>
                <w:p w14:paraId="11EA65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648" w:type="dxa"/>
                  <w:vMerge w:val="continue"/>
                  <w:noWrap w:val="0"/>
                  <w:vAlign w:val="center"/>
                </w:tcPr>
                <w:p w14:paraId="24256A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023" w:type="dxa"/>
                  <w:vMerge w:val="continue"/>
                  <w:noWrap w:val="0"/>
                  <w:vAlign w:val="center"/>
                </w:tcPr>
                <w:p w14:paraId="1BEB74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827" w:type="dxa"/>
                  <w:noWrap w:val="0"/>
                  <w:vAlign w:val="center"/>
                </w:tcPr>
                <w:p w14:paraId="75C702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排放速率（kg/h）</w:t>
                  </w:r>
                </w:p>
              </w:tc>
              <w:tc>
                <w:tcPr>
                  <w:tcW w:w="1112" w:type="dxa"/>
                  <w:noWrap w:val="0"/>
                  <w:vAlign w:val="center"/>
                </w:tcPr>
                <w:p w14:paraId="1615CE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2.4</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873" w:type="dxa"/>
                  <w:noWrap w:val="0"/>
                  <w:vAlign w:val="center"/>
                </w:tcPr>
                <w:p w14:paraId="5B1FF7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c>
                <w:tcPr>
                  <w:tcW w:w="1009" w:type="dxa"/>
                  <w:noWrap w:val="0"/>
                  <w:vAlign w:val="center"/>
                </w:tcPr>
                <w:p w14:paraId="2E6B95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4.0</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861" w:type="dxa"/>
                  <w:noWrap w:val="0"/>
                  <w:vAlign w:val="center"/>
                </w:tcPr>
                <w:p w14:paraId="4282A13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r>
            <w:tr w14:paraId="5E4D71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continue"/>
                  <w:noWrap w:val="0"/>
                  <w:vAlign w:val="center"/>
                </w:tcPr>
                <w:p w14:paraId="240E5B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648" w:type="dxa"/>
                  <w:vMerge w:val="continue"/>
                  <w:noWrap w:val="0"/>
                  <w:vAlign w:val="center"/>
                </w:tcPr>
                <w:p w14:paraId="65F352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023" w:type="dxa"/>
                  <w:vMerge w:val="restart"/>
                  <w:noWrap w:val="0"/>
                  <w:vAlign w:val="center"/>
                </w:tcPr>
                <w:p w14:paraId="04E208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第二次</w:t>
                  </w:r>
                </w:p>
              </w:tc>
              <w:tc>
                <w:tcPr>
                  <w:tcW w:w="1827" w:type="dxa"/>
                  <w:noWrap w:val="0"/>
                  <w:vAlign w:val="center"/>
                </w:tcPr>
                <w:p w14:paraId="587CF5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实测浓度（mg/m3）</w:t>
                  </w:r>
                </w:p>
              </w:tc>
              <w:tc>
                <w:tcPr>
                  <w:tcW w:w="1112" w:type="dxa"/>
                  <w:noWrap w:val="0"/>
                  <w:vAlign w:val="center"/>
                </w:tcPr>
                <w:p w14:paraId="490568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1.80</w:t>
                  </w:r>
                </w:p>
              </w:tc>
              <w:tc>
                <w:tcPr>
                  <w:tcW w:w="873" w:type="dxa"/>
                  <w:noWrap w:val="0"/>
                  <w:vAlign w:val="center"/>
                </w:tcPr>
                <w:p w14:paraId="6D6DC3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90.48</w:t>
                  </w:r>
                </w:p>
              </w:tc>
              <w:tc>
                <w:tcPr>
                  <w:tcW w:w="1009" w:type="dxa"/>
                  <w:noWrap w:val="0"/>
                  <w:vAlign w:val="center"/>
                </w:tcPr>
                <w:p w14:paraId="222B8B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2.8</w:t>
                  </w:r>
                </w:p>
              </w:tc>
              <w:tc>
                <w:tcPr>
                  <w:tcW w:w="861" w:type="dxa"/>
                  <w:noWrap w:val="0"/>
                  <w:vAlign w:val="center"/>
                </w:tcPr>
                <w:p w14:paraId="094BA7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99.24</w:t>
                  </w:r>
                </w:p>
              </w:tc>
            </w:tr>
            <w:tr w14:paraId="065F6C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continue"/>
                  <w:noWrap w:val="0"/>
                  <w:vAlign w:val="center"/>
                </w:tcPr>
                <w:p w14:paraId="51D822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648" w:type="dxa"/>
                  <w:vMerge w:val="continue"/>
                  <w:noWrap w:val="0"/>
                  <w:vAlign w:val="center"/>
                </w:tcPr>
                <w:p w14:paraId="2A21BF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023" w:type="dxa"/>
                  <w:vMerge w:val="continue"/>
                  <w:noWrap w:val="0"/>
                  <w:vAlign w:val="center"/>
                </w:tcPr>
                <w:p w14:paraId="2169F7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827" w:type="dxa"/>
                  <w:noWrap w:val="0"/>
                  <w:vAlign w:val="center"/>
                </w:tcPr>
                <w:p w14:paraId="7A5844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排放速率（kg/h）</w:t>
                  </w:r>
                </w:p>
              </w:tc>
              <w:tc>
                <w:tcPr>
                  <w:tcW w:w="1112" w:type="dxa"/>
                  <w:noWrap w:val="0"/>
                  <w:vAlign w:val="center"/>
                </w:tcPr>
                <w:p w14:paraId="0AA4D0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2.4</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873" w:type="dxa"/>
                  <w:noWrap w:val="0"/>
                  <w:vAlign w:val="center"/>
                </w:tcPr>
                <w:p w14:paraId="02A72A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c>
                <w:tcPr>
                  <w:tcW w:w="1009" w:type="dxa"/>
                  <w:noWrap w:val="0"/>
                  <w:vAlign w:val="center"/>
                </w:tcPr>
                <w:p w14:paraId="5F378A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3.7</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861" w:type="dxa"/>
                  <w:noWrap w:val="0"/>
                  <w:vAlign w:val="center"/>
                </w:tcPr>
                <w:p w14:paraId="7D9950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r>
            <w:tr w14:paraId="15B9CF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continue"/>
                  <w:noWrap w:val="0"/>
                  <w:vAlign w:val="center"/>
                </w:tcPr>
                <w:p w14:paraId="763D76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648" w:type="dxa"/>
                  <w:vMerge w:val="continue"/>
                  <w:noWrap w:val="0"/>
                  <w:vAlign w:val="center"/>
                </w:tcPr>
                <w:p w14:paraId="222804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023" w:type="dxa"/>
                  <w:vMerge w:val="restart"/>
                  <w:noWrap w:val="0"/>
                  <w:vAlign w:val="center"/>
                </w:tcPr>
                <w:p w14:paraId="74A347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第三次</w:t>
                  </w:r>
                </w:p>
              </w:tc>
              <w:tc>
                <w:tcPr>
                  <w:tcW w:w="1827" w:type="dxa"/>
                  <w:noWrap w:val="0"/>
                  <w:vAlign w:val="center"/>
                </w:tcPr>
                <w:p w14:paraId="6FA442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实测浓度（mg/m3）</w:t>
                  </w:r>
                </w:p>
              </w:tc>
              <w:tc>
                <w:tcPr>
                  <w:tcW w:w="1112" w:type="dxa"/>
                  <w:noWrap w:val="0"/>
                  <w:vAlign w:val="center"/>
                </w:tcPr>
                <w:p w14:paraId="1F9908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1.79</w:t>
                  </w:r>
                </w:p>
              </w:tc>
              <w:tc>
                <w:tcPr>
                  <w:tcW w:w="873" w:type="dxa"/>
                  <w:noWrap w:val="0"/>
                  <w:vAlign w:val="center"/>
                </w:tcPr>
                <w:p w14:paraId="0E56FF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90.48</w:t>
                  </w:r>
                </w:p>
              </w:tc>
              <w:tc>
                <w:tcPr>
                  <w:tcW w:w="1009" w:type="dxa"/>
                  <w:noWrap w:val="0"/>
                  <w:vAlign w:val="center"/>
                </w:tcPr>
                <w:p w14:paraId="35BEED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2.6</w:t>
                  </w:r>
                </w:p>
              </w:tc>
              <w:tc>
                <w:tcPr>
                  <w:tcW w:w="861" w:type="dxa"/>
                  <w:noWrap w:val="0"/>
                  <w:vAlign w:val="center"/>
                </w:tcPr>
                <w:p w14:paraId="1256F2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99.34</w:t>
                  </w:r>
                </w:p>
              </w:tc>
            </w:tr>
            <w:tr w14:paraId="72ECDD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5" w:type="dxa"/>
                  <w:vMerge w:val="continue"/>
                  <w:noWrap w:val="0"/>
                  <w:vAlign w:val="center"/>
                </w:tcPr>
                <w:p w14:paraId="4EF796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648" w:type="dxa"/>
                  <w:vMerge w:val="continue"/>
                  <w:noWrap w:val="0"/>
                  <w:vAlign w:val="center"/>
                </w:tcPr>
                <w:p w14:paraId="28E5272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023" w:type="dxa"/>
                  <w:vMerge w:val="continue"/>
                  <w:noWrap w:val="0"/>
                  <w:vAlign w:val="center"/>
                </w:tcPr>
                <w:p w14:paraId="72A2EF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p>
              </w:tc>
              <w:tc>
                <w:tcPr>
                  <w:tcW w:w="1827" w:type="dxa"/>
                  <w:noWrap w:val="0"/>
                  <w:vAlign w:val="center"/>
                </w:tcPr>
                <w:p w14:paraId="3E4982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排放速率（kg/h）</w:t>
                  </w:r>
                </w:p>
              </w:tc>
              <w:tc>
                <w:tcPr>
                  <w:tcW w:w="1112" w:type="dxa"/>
                  <w:noWrap w:val="0"/>
                  <w:vAlign w:val="center"/>
                </w:tcPr>
                <w:p w14:paraId="425B5C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2.2</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873" w:type="dxa"/>
                  <w:noWrap w:val="0"/>
                  <w:vAlign w:val="center"/>
                </w:tcPr>
                <w:p w14:paraId="14B490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c>
                <w:tcPr>
                  <w:tcW w:w="1009" w:type="dxa"/>
                  <w:noWrap w:val="0"/>
                  <w:vAlign w:val="center"/>
                </w:tcPr>
                <w:p w14:paraId="5DE873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3.2</w:t>
                  </w:r>
                  <w:r>
                    <w:rPr>
                      <w:rFonts w:hint="default" w:ascii="Arial" w:hAnsi="Arial" w:cs="Arial"/>
                      <w:b w:val="0"/>
                      <w:bCs w:val="0"/>
                      <w:color w:val="000000"/>
                      <w:sz w:val="21"/>
                      <w:szCs w:val="21"/>
                      <w:highlight w:val="none"/>
                      <w:u w:val="none"/>
                      <w:lang w:val="en-US" w:eastAsia="zh-CN"/>
                    </w:rPr>
                    <w:t>×</w:t>
                  </w:r>
                  <w:r>
                    <w:rPr>
                      <w:rFonts w:hint="eastAsia" w:cs="Times New Roman"/>
                      <w:b w:val="0"/>
                      <w:bCs w:val="0"/>
                      <w:color w:val="000000"/>
                      <w:sz w:val="21"/>
                      <w:szCs w:val="21"/>
                      <w:highlight w:val="none"/>
                      <w:u w:val="none"/>
                      <w:lang w:val="en-US" w:eastAsia="zh-CN"/>
                    </w:rPr>
                    <w:t>10-4</w:t>
                  </w:r>
                </w:p>
              </w:tc>
              <w:tc>
                <w:tcPr>
                  <w:tcW w:w="861" w:type="dxa"/>
                  <w:noWrap w:val="0"/>
                  <w:vAlign w:val="center"/>
                </w:tcPr>
                <w:p w14:paraId="286F1C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r>
          </w:tbl>
          <w:p w14:paraId="69CF5422">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eastAsia="宋体" w:cs="Times New Roman"/>
                <w:color w:val="auto"/>
                <w:kern w:val="2"/>
                <w:sz w:val="24"/>
                <w:szCs w:val="24"/>
                <w:highlight w:val="none"/>
                <w:lang w:val="en-US" w:eastAsia="zh-CN" w:bidi="ar-SA"/>
              </w:rPr>
            </w:pPr>
          </w:p>
          <w:p w14:paraId="6353378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本项目有组织废气经三级活性炭吸附装置及布袋除尘器处理后高空排放。由上表可知，本项目三级活性炭吸附装置效率可达90%以上，布袋除尘器处理效率可达99%以上。</w:t>
            </w:r>
          </w:p>
          <w:p w14:paraId="2839C81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2"/>
                <w:sz w:val="24"/>
                <w:szCs w:val="24"/>
                <w:highlight w:val="none"/>
                <w:lang w:val="en-US" w:eastAsia="zh-CN" w:bidi="ar-SA"/>
              </w:rPr>
            </w:pPr>
          </w:p>
          <w:p w14:paraId="2F73963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2"/>
                <w:sz w:val="24"/>
                <w:szCs w:val="24"/>
                <w:highlight w:val="none"/>
                <w:lang w:val="en-US" w:eastAsia="zh-CN" w:bidi="ar-SA"/>
              </w:rPr>
            </w:pPr>
          </w:p>
          <w:p w14:paraId="78132F8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2"/>
                <w:sz w:val="24"/>
                <w:szCs w:val="24"/>
                <w:highlight w:val="none"/>
                <w:lang w:val="en-US" w:eastAsia="zh-CN" w:bidi="ar-SA"/>
              </w:rPr>
            </w:pPr>
          </w:p>
          <w:p w14:paraId="35A0E129">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bCs/>
                <w:color w:val="auto"/>
                <w:kern w:val="2"/>
                <w:sz w:val="24"/>
                <w:szCs w:val="24"/>
                <w:highlight w:val="none"/>
                <w:lang w:val="en-US" w:eastAsia="zh-CN" w:bidi="ar-SA"/>
              </w:rPr>
            </w:pPr>
          </w:p>
          <w:p w14:paraId="6B43A925">
            <w:pPr>
              <w:pStyle w:val="16"/>
              <w:rPr>
                <w:rFonts w:hint="default"/>
                <w:highlight w:val="none"/>
                <w:lang w:val="en-US" w:eastAsia="zh-CN"/>
              </w:rPr>
            </w:pPr>
          </w:p>
        </w:tc>
      </w:tr>
    </w:tbl>
    <w:p w14:paraId="008DB654">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eastAsia" w:ascii="Times New Roman" w:hAnsi="Times New Roman" w:eastAsia="黑体"/>
          <w:b/>
          <w:color w:val="auto"/>
          <w:sz w:val="24"/>
          <w:szCs w:val="24"/>
          <w:highlight w:val="yellow"/>
          <w:vertAlign w:val="baseli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C75528E">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eastAsia="黑体"/>
          <w:b/>
          <w:color w:val="auto"/>
          <w:sz w:val="24"/>
          <w:szCs w:val="24"/>
          <w:highlight w:val="none"/>
          <w:vertAlign w:val="baseline"/>
          <w:lang w:val="en-US" w:eastAsia="zh-CN"/>
        </w:rPr>
      </w:pPr>
      <w:r>
        <w:rPr>
          <w:rFonts w:hint="eastAsia" w:ascii="Times New Roman" w:hAnsi="Times New Roman" w:eastAsia="黑体"/>
          <w:b/>
          <w:color w:val="auto"/>
          <w:sz w:val="24"/>
          <w:szCs w:val="24"/>
          <w:highlight w:val="none"/>
          <w:vertAlign w:val="baseline"/>
          <w:lang w:val="en-US" w:eastAsia="zh-CN"/>
        </w:rPr>
        <w:t>表八</w:t>
      </w:r>
    </w:p>
    <w:tbl>
      <w:tblPr>
        <w:tblStyle w:val="25"/>
        <w:tblW w:w="0" w:type="auto"/>
        <w:tblInd w:w="10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40"/>
      </w:tblGrid>
      <w:tr w14:paraId="1461C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04" w:hRule="atLeast"/>
        </w:trPr>
        <w:tc>
          <w:tcPr>
            <w:tcW w:w="8340" w:type="dxa"/>
          </w:tcPr>
          <w:p w14:paraId="3950B778">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b/>
                <w:bCs/>
                <w:color w:val="auto"/>
                <w:sz w:val="28"/>
                <w:highlight w:val="none"/>
                <w:vertAlign w:val="baseline"/>
                <w:lang w:val="en-US" w:eastAsia="zh-CN"/>
              </w:rPr>
            </w:pPr>
            <w:r>
              <w:rPr>
                <w:rFonts w:hint="default" w:ascii="Times New Roman" w:hAnsi="Times New Roman"/>
                <w:b/>
                <w:bCs/>
                <w:color w:val="auto"/>
                <w:sz w:val="28"/>
                <w:highlight w:val="none"/>
                <w:vertAlign w:val="baseline"/>
                <w:lang w:val="en-US" w:eastAsia="zh-CN"/>
              </w:rPr>
              <w:t>十、验收监测结论：</w:t>
            </w:r>
          </w:p>
          <w:p w14:paraId="64E635A3">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b/>
                <w:color w:val="auto"/>
                <w:sz w:val="24"/>
                <w:highlight w:val="none"/>
                <w:vertAlign w:val="baseline"/>
                <w:lang w:val="en-US" w:eastAsia="zh-CN"/>
              </w:rPr>
            </w:pPr>
            <w:r>
              <w:rPr>
                <w:rFonts w:hint="default" w:ascii="Times New Roman" w:hAnsi="Times New Roman"/>
                <w:b/>
                <w:color w:val="auto"/>
                <w:sz w:val="24"/>
                <w:highlight w:val="none"/>
                <w:vertAlign w:val="baseline"/>
                <w:lang w:val="en-US" w:eastAsia="zh-CN"/>
              </w:rPr>
              <w:t>1 环保设施调试效果</w:t>
            </w:r>
          </w:p>
          <w:p w14:paraId="2AE33E0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本项目主要环保设施为有组织废气的三级活性炭吸附装置及布袋除尘器，根据</w:t>
            </w:r>
            <w:r>
              <w:rPr>
                <w:rFonts w:hint="default" w:ascii="Times New Roman" w:hAnsi="Times New Roman" w:eastAsia="宋体" w:cs="Times New Roman"/>
                <w:bCs/>
                <w:color w:val="auto"/>
                <w:kern w:val="2"/>
                <w:sz w:val="24"/>
                <w:szCs w:val="24"/>
                <w:highlight w:val="none"/>
                <w:lang w:val="en-US" w:eastAsia="zh-CN" w:bidi="ar-SA"/>
              </w:rPr>
              <w:t>辽宁天圆检测有限责任公司</w:t>
            </w:r>
            <w:r>
              <w:rPr>
                <w:rFonts w:hint="eastAsia" w:ascii="Times New Roman" w:hAnsi="Times New Roman" w:eastAsia="宋体" w:cs="Times New Roman"/>
                <w:bCs/>
                <w:color w:val="auto"/>
                <w:kern w:val="2"/>
                <w:sz w:val="24"/>
                <w:szCs w:val="24"/>
                <w:highlight w:val="none"/>
                <w:lang w:val="en-US" w:eastAsia="zh-CN" w:bidi="ar-SA"/>
              </w:rPr>
              <w:t>于2025年1月20日-21日对该项目进行污染源检测，</w:t>
            </w:r>
            <w:r>
              <w:rPr>
                <w:rFonts w:hint="eastAsia" w:ascii="Times New Roman" w:hAnsi="Times New Roman" w:eastAsia="宋体" w:cs="Times New Roman"/>
                <w:color w:val="auto"/>
                <w:kern w:val="2"/>
                <w:sz w:val="24"/>
                <w:szCs w:val="24"/>
                <w:highlight w:val="none"/>
                <w:lang w:val="en-US" w:eastAsia="zh-CN" w:bidi="ar-SA"/>
              </w:rPr>
              <w:t>本项目三级活性炭吸附装置效率可达90%以上，布袋除尘器处理效率可达99%以上</w:t>
            </w:r>
            <w:r>
              <w:rPr>
                <w:rFonts w:hint="eastAsia" w:ascii="Times New Roman" w:hAnsi="Times New Roman" w:eastAsia="宋体" w:cs="Times New Roman"/>
                <w:bCs/>
                <w:color w:val="auto"/>
                <w:kern w:val="2"/>
                <w:sz w:val="24"/>
                <w:szCs w:val="24"/>
                <w:highlight w:val="none"/>
                <w:lang w:val="en-US" w:eastAsia="zh-CN" w:bidi="ar-SA"/>
              </w:rPr>
              <w:t>。</w:t>
            </w:r>
          </w:p>
          <w:p w14:paraId="71AF775B">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b/>
                <w:color w:val="auto"/>
                <w:sz w:val="24"/>
                <w:highlight w:val="none"/>
                <w:vertAlign w:val="baseline"/>
                <w:lang w:val="en-US" w:eastAsia="zh-CN"/>
              </w:rPr>
            </w:pPr>
            <w:r>
              <w:rPr>
                <w:rFonts w:hint="default" w:ascii="Times New Roman" w:hAnsi="Times New Roman"/>
                <w:b/>
                <w:color w:val="auto"/>
                <w:sz w:val="24"/>
                <w:highlight w:val="none"/>
                <w:vertAlign w:val="baseline"/>
                <w:lang w:val="en-US" w:eastAsia="zh-CN"/>
              </w:rPr>
              <w:t>2 验收监测结论</w:t>
            </w:r>
          </w:p>
          <w:p w14:paraId="6300B46C">
            <w:pPr>
              <w:bidi w:val="0"/>
              <w:rPr>
                <w:rFonts w:hint="default"/>
                <w:lang w:val="en-US" w:eastAsia="zh-CN"/>
              </w:rPr>
            </w:pPr>
            <w:r>
              <w:rPr>
                <w:rFonts w:hint="default"/>
                <w:lang w:val="en-US" w:eastAsia="zh-CN"/>
              </w:rPr>
              <w:t>（1）验收监测期间，建设单位主体工程工况稳定、环境保护设施运行正常。验收检测结果能够反映该项目的实际排污状况。</w:t>
            </w:r>
          </w:p>
          <w:p w14:paraId="510A1171">
            <w:pPr>
              <w:bidi w:val="0"/>
              <w:rPr>
                <w:rFonts w:hint="default"/>
                <w:lang w:val="en-US" w:eastAsia="zh-CN"/>
              </w:rPr>
            </w:pPr>
            <w:r>
              <w:rPr>
                <w:rFonts w:hint="default"/>
                <w:lang w:val="en-US" w:eastAsia="zh-CN"/>
              </w:rPr>
              <w:t>（2）本项目按照环评及批复的要求，做到了认真贯彻</w:t>
            </w:r>
            <w:r>
              <w:rPr>
                <w:rFonts w:hint="eastAsia"/>
                <w:lang w:val="en-US" w:eastAsia="zh-CN"/>
              </w:rPr>
              <w:t>“</w:t>
            </w:r>
            <w:r>
              <w:rPr>
                <w:rFonts w:hint="default"/>
                <w:lang w:val="en-US" w:eastAsia="zh-CN"/>
              </w:rPr>
              <w:t>三同时</w:t>
            </w:r>
            <w:r>
              <w:rPr>
                <w:rFonts w:hint="eastAsia"/>
                <w:lang w:val="en-US" w:eastAsia="zh-CN"/>
              </w:rPr>
              <w:t>”</w:t>
            </w:r>
            <w:r>
              <w:rPr>
                <w:rFonts w:hint="default"/>
                <w:lang w:val="en-US" w:eastAsia="zh-CN"/>
              </w:rPr>
              <w:t>制度，在建设项目中基本落实了各种污染防治措施。</w:t>
            </w:r>
          </w:p>
          <w:p w14:paraId="157BA010">
            <w:pPr>
              <w:bidi w:val="0"/>
              <w:rPr>
                <w:rFonts w:hint="default"/>
                <w:lang w:val="en-US" w:eastAsia="zh-CN"/>
              </w:rPr>
            </w:pPr>
            <w:r>
              <w:rPr>
                <w:rFonts w:hint="default"/>
                <w:lang w:val="en-US" w:eastAsia="zh-CN"/>
              </w:rPr>
              <w:t>（3）</w:t>
            </w:r>
            <w:r>
              <w:rPr>
                <w:rFonts w:hint="eastAsia"/>
                <w:lang w:val="en-US" w:eastAsia="zh-CN"/>
              </w:rPr>
              <w:t>本项目生活污水排入防渗旱厕，定期清掏不外排；脱模工序的间接冷却水（单独存在管道中，不与生产工序接触），循环使用，不外排。</w:t>
            </w:r>
            <w:r>
              <w:rPr>
                <w:rFonts w:hint="default"/>
                <w:lang w:val="en-US" w:eastAsia="zh-CN"/>
              </w:rPr>
              <w:t>高温蒸汽冷凝水</w:t>
            </w:r>
            <w:r>
              <w:rPr>
                <w:rFonts w:hint="eastAsia"/>
                <w:lang w:val="en-US" w:eastAsia="zh-CN"/>
              </w:rPr>
              <w:t>排入</w:t>
            </w:r>
            <w:r>
              <w:rPr>
                <w:rFonts w:hint="default"/>
                <w:lang w:val="en-US" w:eastAsia="zh-CN"/>
              </w:rPr>
              <w:t>收集池（</w:t>
            </w:r>
            <w:r>
              <w:rPr>
                <w:rFonts w:hint="eastAsia"/>
                <w:lang w:val="en-US" w:eastAsia="zh-CN"/>
              </w:rPr>
              <w:t>4个收集池，每个</w:t>
            </w:r>
            <w:r>
              <w:rPr>
                <w:rFonts w:hint="default"/>
                <w:lang w:val="en-US" w:eastAsia="zh-CN"/>
              </w:rPr>
              <w:t>容积为</w:t>
            </w:r>
            <w:r>
              <w:rPr>
                <w:rFonts w:hint="eastAsia"/>
                <w:lang w:val="en-US" w:eastAsia="zh-CN"/>
              </w:rPr>
              <w:t>3</w:t>
            </w:r>
            <w:r>
              <w:rPr>
                <w:rFonts w:hint="default"/>
                <w:lang w:val="en-US" w:eastAsia="zh-CN"/>
              </w:rPr>
              <w:t>0m3），收集后送入冷却水循环系统，作为冷却补充水使用，不外排</w:t>
            </w:r>
            <w:r>
              <w:rPr>
                <w:rFonts w:hint="eastAsia"/>
                <w:lang w:val="en-US" w:eastAsia="zh-CN"/>
              </w:rPr>
              <w:t>。本项目无外排废水。</w:t>
            </w:r>
          </w:p>
          <w:p w14:paraId="7842284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（4）本项目</w:t>
            </w:r>
            <w:r>
              <w:rPr>
                <w:rFonts w:hint="eastAsia" w:ascii="Times New Roman" w:hAnsi="Times New Roman" w:eastAsia="宋体" w:cs="Times New Roman"/>
                <w:bCs/>
                <w:color w:val="auto"/>
                <w:kern w:val="2"/>
                <w:sz w:val="24"/>
                <w:szCs w:val="24"/>
                <w:highlight w:val="none"/>
                <w:lang w:val="en-US" w:eastAsia="zh-CN" w:bidi="ar-SA"/>
              </w:rPr>
              <w:t>有组织废气满足</w:t>
            </w:r>
            <w:r>
              <w:rPr>
                <w:rFonts w:hint="default" w:ascii="Times New Roman" w:hAnsi="Times New Roman" w:eastAsia="宋体"/>
                <w:color w:val="auto"/>
                <w:sz w:val="24"/>
                <w:highlight w:val="none"/>
                <w:lang w:val="en-US" w:eastAsia="zh-CN"/>
              </w:rPr>
              <w:t>《合成树脂工业污染物排放标准》(GB31572-2015)</w:t>
            </w:r>
            <w:r>
              <w:rPr>
                <w:rFonts w:hint="eastAsia" w:ascii="Times New Roman" w:hAnsi="Times New Roman" w:eastAsia="宋体"/>
                <w:color w:val="auto"/>
                <w:sz w:val="24"/>
                <w:highlight w:val="none"/>
                <w:lang w:val="en-US" w:eastAsia="zh-CN"/>
              </w:rPr>
              <w:t>及2024年修改单</w:t>
            </w:r>
            <w:r>
              <w:rPr>
                <w:rFonts w:hint="default" w:ascii="Times New Roman" w:hAnsi="Times New Roman" w:eastAsia="宋体"/>
                <w:color w:val="auto"/>
                <w:sz w:val="24"/>
                <w:highlight w:val="none"/>
                <w:lang w:val="en-US" w:eastAsia="zh-CN"/>
              </w:rPr>
              <w:t>表5大气污染物特别排放限值</w:t>
            </w:r>
            <w:r>
              <w:rPr>
                <w:rFonts w:hint="eastAsia" w:ascii="Times New Roman" w:hAnsi="Times New Roman" w:eastAsia="宋体"/>
                <w:color w:val="auto"/>
                <w:sz w:val="24"/>
                <w:highlight w:val="none"/>
                <w:lang w:val="en-US" w:eastAsia="zh-CN"/>
              </w:rPr>
              <w:t>，</w:t>
            </w:r>
            <w:r>
              <w:rPr>
                <w:rFonts w:hint="default" w:ascii="Times New Roman" w:hAnsi="Times New Roman" w:eastAsia="宋体"/>
                <w:color w:val="auto"/>
                <w:sz w:val="24"/>
                <w:highlight w:val="none"/>
                <w:lang w:val="en-US" w:eastAsia="zh-CN"/>
              </w:rPr>
              <w:t>无组织废气</w:t>
            </w:r>
            <w:r>
              <w:rPr>
                <w:rFonts w:hint="eastAsia"/>
                <w:color w:val="auto"/>
                <w:sz w:val="24"/>
                <w:highlight w:val="none"/>
                <w:lang w:val="en-US" w:eastAsia="zh-CN"/>
              </w:rPr>
              <w:t>满足</w:t>
            </w:r>
            <w:r>
              <w:rPr>
                <w:rFonts w:hint="default" w:ascii="Times New Roman" w:hAnsi="Times New Roman" w:eastAsia="宋体"/>
                <w:color w:val="auto"/>
                <w:sz w:val="24"/>
                <w:highlight w:val="none"/>
                <w:lang w:val="en-US" w:eastAsia="zh-CN"/>
              </w:rPr>
              <w:t>《挥发性有机物无组织排放控制标准》（GB37822-2019）表A.1规定的限值</w:t>
            </w:r>
            <w:r>
              <w:rPr>
                <w:rFonts w:hint="eastAsia" w:ascii="Times New Roman" w:hAnsi="Times New Roman" w:eastAsia="宋体" w:cs="Times New Roman"/>
                <w:bCs/>
                <w:color w:val="auto"/>
                <w:kern w:val="2"/>
                <w:sz w:val="24"/>
                <w:szCs w:val="24"/>
                <w:highlight w:val="none"/>
                <w:lang w:val="en-US" w:eastAsia="zh-CN" w:bidi="ar-SA"/>
              </w:rPr>
              <w:t>，及《</w:t>
            </w:r>
            <w:r>
              <w:rPr>
                <w:rFonts w:hint="default" w:ascii="Times New Roman" w:hAnsi="Times New Roman" w:eastAsia="宋体" w:cs="Times New Roman"/>
                <w:bCs/>
                <w:color w:val="auto"/>
                <w:kern w:val="2"/>
                <w:sz w:val="24"/>
                <w:szCs w:val="24"/>
                <w:highlight w:val="none"/>
                <w:lang w:val="en-US" w:eastAsia="zh-CN" w:bidi="ar-SA"/>
              </w:rPr>
              <w:t>大气污染物综合排放标准》（GB16297-1996）</w:t>
            </w:r>
            <w:r>
              <w:rPr>
                <w:rFonts w:hint="eastAsia" w:ascii="Times New Roman" w:hAnsi="Times New Roman" w:eastAsia="宋体" w:cs="Times New Roman"/>
                <w:bCs/>
                <w:color w:val="auto"/>
                <w:kern w:val="2"/>
                <w:sz w:val="24"/>
                <w:szCs w:val="24"/>
                <w:highlight w:val="none"/>
                <w:lang w:val="en-US" w:eastAsia="zh-CN" w:bidi="ar-SA"/>
              </w:rPr>
              <w:t>无组织排放标准</w:t>
            </w:r>
            <w:r>
              <w:rPr>
                <w:rFonts w:hint="default" w:ascii="Times New Roman" w:hAnsi="Times New Roman" w:eastAsia="宋体" w:cs="Times New Roman"/>
                <w:bCs/>
                <w:color w:val="auto"/>
                <w:kern w:val="2"/>
                <w:sz w:val="24"/>
                <w:szCs w:val="24"/>
                <w:highlight w:val="none"/>
                <w:lang w:val="en-US" w:eastAsia="zh-CN" w:bidi="ar-SA"/>
              </w:rPr>
              <w:t>限值要求</w:t>
            </w:r>
            <w:r>
              <w:rPr>
                <w:rFonts w:hint="eastAsia" w:ascii="Times New Roman" w:hAnsi="Times New Roman" w:eastAsia="宋体" w:cs="Times New Roman"/>
                <w:bCs/>
                <w:color w:val="auto"/>
                <w:kern w:val="2"/>
                <w:sz w:val="24"/>
                <w:szCs w:val="24"/>
                <w:highlight w:val="none"/>
                <w:lang w:val="en-US" w:eastAsia="zh-CN" w:bidi="ar-SA"/>
              </w:rPr>
              <w:t>。</w:t>
            </w:r>
          </w:p>
          <w:p w14:paraId="117C298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lang w:val="en-US" w:eastAsia="zh-CN"/>
              </w:rPr>
            </w:pPr>
            <w:r>
              <w:rPr>
                <w:rFonts w:hint="default" w:ascii="Times New Roman" w:hAnsi="Times New Roman" w:eastAsia="宋体" w:cs="Times New Roman"/>
                <w:bCs/>
                <w:color w:val="auto"/>
                <w:kern w:val="2"/>
                <w:sz w:val="24"/>
                <w:szCs w:val="24"/>
                <w:highlight w:val="none"/>
                <w:lang w:val="en-US" w:eastAsia="zh-CN" w:bidi="ar-SA"/>
              </w:rPr>
              <w:t>（5）本项目厂界四周噪声满足《工业企业厂界环境噪声排放标准》（GB 12348-2008）</w:t>
            </w:r>
            <w:r>
              <w:rPr>
                <w:rFonts w:hint="eastAsia" w:ascii="Times New Roman" w:hAnsi="Times New Roman" w:eastAsia="宋体" w:cs="Times New Roman"/>
                <w:bCs/>
                <w:color w:val="auto"/>
                <w:kern w:val="2"/>
                <w:sz w:val="24"/>
                <w:szCs w:val="24"/>
                <w:highlight w:val="none"/>
                <w:lang w:val="en-US" w:eastAsia="zh-CN" w:bidi="ar-SA"/>
              </w:rPr>
              <w:t>3</w:t>
            </w:r>
            <w:r>
              <w:rPr>
                <w:rFonts w:hint="default" w:ascii="Times New Roman" w:hAnsi="Times New Roman" w:eastAsia="宋体" w:cs="Times New Roman"/>
                <w:bCs/>
                <w:color w:val="auto"/>
                <w:kern w:val="2"/>
                <w:sz w:val="24"/>
                <w:szCs w:val="24"/>
                <w:highlight w:val="none"/>
                <w:lang w:val="en-US" w:eastAsia="zh-CN" w:bidi="ar-SA"/>
              </w:rPr>
              <w:t>类标准。</w:t>
            </w:r>
          </w:p>
          <w:p w14:paraId="227406D8">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b/>
                <w:color w:val="auto"/>
                <w:sz w:val="24"/>
                <w:highlight w:val="none"/>
                <w:vertAlign w:val="baseline"/>
                <w:lang w:val="en-US" w:eastAsia="zh-CN"/>
              </w:rPr>
            </w:pPr>
            <w:r>
              <w:rPr>
                <w:rFonts w:hint="default" w:ascii="Times New Roman" w:hAnsi="Times New Roman"/>
                <w:b/>
                <w:color w:val="auto"/>
                <w:sz w:val="24"/>
                <w:highlight w:val="none"/>
                <w:vertAlign w:val="baseline"/>
                <w:lang w:val="en-US" w:eastAsia="zh-CN"/>
              </w:rPr>
              <w:t>3 总量</w:t>
            </w:r>
          </w:p>
          <w:p w14:paraId="19013582">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根据国家污染物排放总</w:t>
            </w:r>
            <w:r>
              <w:rPr>
                <w:rFonts w:hint="eastAsia" w:cs="Times New Roman"/>
                <w:bCs/>
                <w:color w:val="auto"/>
                <w:kern w:val="2"/>
                <w:sz w:val="24"/>
                <w:szCs w:val="24"/>
                <w:highlight w:val="none"/>
                <w:lang w:val="en-US" w:eastAsia="zh-CN" w:bidi="ar-SA"/>
              </w:rPr>
              <w:t>量</w:t>
            </w:r>
            <w:r>
              <w:rPr>
                <w:rFonts w:hint="eastAsia" w:ascii="Times New Roman" w:hAnsi="Times New Roman" w:eastAsia="宋体" w:cs="Times New Roman"/>
                <w:bCs/>
                <w:color w:val="auto"/>
                <w:kern w:val="2"/>
                <w:sz w:val="24"/>
                <w:szCs w:val="24"/>
                <w:highlight w:val="none"/>
                <w:lang w:val="en-US" w:eastAsia="zh-CN" w:bidi="ar-SA"/>
              </w:rPr>
              <w:t>控制原则，</w:t>
            </w:r>
            <w:r>
              <w:rPr>
                <w:rFonts w:hint="default" w:ascii="Times New Roman" w:hAnsi="Times New Roman" w:eastAsia="宋体" w:cs="Times New Roman"/>
                <w:bCs/>
                <w:color w:val="auto"/>
                <w:kern w:val="2"/>
                <w:sz w:val="24"/>
                <w:szCs w:val="24"/>
                <w:highlight w:val="none"/>
                <w:lang w:val="en-US" w:eastAsia="zh-CN" w:bidi="ar-SA"/>
              </w:rPr>
              <w:t>本项目</w:t>
            </w:r>
            <w:r>
              <w:rPr>
                <w:rFonts w:hint="eastAsia" w:ascii="Times New Roman" w:hAnsi="Times New Roman" w:eastAsia="宋体" w:cs="Times New Roman"/>
                <w:bCs/>
                <w:color w:val="auto"/>
                <w:kern w:val="2"/>
                <w:sz w:val="24"/>
                <w:szCs w:val="24"/>
                <w:highlight w:val="none"/>
                <w:lang w:val="en-US" w:eastAsia="zh-CN" w:bidi="ar-SA"/>
              </w:rPr>
              <w:t>建成后</w:t>
            </w:r>
            <w:r>
              <w:rPr>
                <w:rFonts w:hint="default" w:ascii="Times New Roman" w:hAnsi="Times New Roman" w:eastAsia="宋体" w:cs="Times New Roman"/>
                <w:bCs/>
                <w:color w:val="auto"/>
                <w:kern w:val="2"/>
                <w:sz w:val="24"/>
                <w:szCs w:val="24"/>
                <w:highlight w:val="none"/>
                <w:lang w:val="en-US" w:eastAsia="zh-CN" w:bidi="ar-SA"/>
              </w:rPr>
              <w:t>总量控制指标为：</w:t>
            </w:r>
            <w:r>
              <w:rPr>
                <w:rFonts w:hint="eastAsia" w:ascii="Times New Roman" w:hAnsi="Times New Roman" w:eastAsia="宋体" w:cs="Times New Roman"/>
                <w:color w:val="auto"/>
                <w:kern w:val="2"/>
                <w:sz w:val="24"/>
                <w:szCs w:val="24"/>
                <w:highlight w:val="none"/>
                <w:lang w:val="en-US" w:eastAsia="zh-CN" w:bidi="ar-SA"/>
              </w:rPr>
              <w:t>VOCs</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0.0713t/a</w:t>
            </w:r>
            <w:r>
              <w:rPr>
                <w:rFonts w:hint="eastAsia" w:cs="Times New Roman"/>
                <w:color w:val="auto"/>
                <w:kern w:val="2"/>
                <w:sz w:val="24"/>
                <w:szCs w:val="24"/>
                <w:highlight w:val="none"/>
                <w:lang w:val="en-US" w:eastAsia="zh-CN" w:bidi="ar-SA"/>
              </w:rPr>
              <w:t>。</w:t>
            </w:r>
          </w:p>
          <w:p w14:paraId="248B933F">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4 工程建设对当地的影响</w:t>
            </w:r>
          </w:p>
          <w:p w14:paraId="2E7BA3F2">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b/>
                <w:color w:val="auto"/>
                <w:sz w:val="24"/>
                <w:highlight w:val="none"/>
                <w:vertAlign w:val="baseline"/>
                <w:lang w:val="en-US" w:eastAsia="zh-CN"/>
              </w:rPr>
            </w:pPr>
            <w:r>
              <w:rPr>
                <w:rFonts w:hint="eastAsia" w:ascii="Times New Roman" w:hAnsi="Times New Roman" w:eastAsia="宋体" w:cs="Times New Roman"/>
                <w:bCs/>
                <w:color w:val="auto"/>
                <w:kern w:val="2"/>
                <w:sz w:val="24"/>
                <w:szCs w:val="24"/>
                <w:highlight w:val="none"/>
                <w:lang w:val="en-US" w:eastAsia="zh-CN" w:bidi="ar-SA"/>
              </w:rPr>
              <w:t>监测结果表明：本项目认真执行了国家环境影响评价制度、“三同时”制度，保证了本项目污染防治、生态保护措施得到了认真落实。同时，本项目按照环境影响报告表中的相关要求落实了环境监测计划，进一步为环境管理提供了依据。截至目前本项目未发生环境污染事件，环境保护主管部门亦未收到相关环保投诉。调查认为，本项目环境管理状况及监测计划落实情况较好，满足环评及环评批复中的相关要求。建议建设单位继续完善企业内部环境管理制度，建立“环境意识”教育制度，不断提高职工的环境保护意识。</w:t>
            </w:r>
          </w:p>
          <w:p w14:paraId="511BF310">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b/>
                <w:color w:val="auto"/>
                <w:sz w:val="24"/>
                <w:highlight w:val="none"/>
                <w:vertAlign w:val="baseline"/>
                <w:lang w:val="en-US" w:eastAsia="zh-CN"/>
              </w:rPr>
            </w:pPr>
            <w:r>
              <w:rPr>
                <w:rFonts w:hint="eastAsia" w:ascii="Times New Roman" w:hAnsi="Times New Roman"/>
                <w:b/>
                <w:color w:val="auto"/>
                <w:sz w:val="24"/>
                <w:highlight w:val="none"/>
                <w:vertAlign w:val="baseline"/>
                <w:lang w:val="en-US" w:eastAsia="zh-CN"/>
              </w:rPr>
              <w:t>5</w:t>
            </w:r>
            <w:r>
              <w:rPr>
                <w:rFonts w:hint="default" w:ascii="Times New Roman" w:hAnsi="Times New Roman"/>
                <w:b/>
                <w:color w:val="auto"/>
                <w:sz w:val="24"/>
                <w:highlight w:val="none"/>
                <w:vertAlign w:val="baseline"/>
                <w:lang w:val="en-US" w:eastAsia="zh-CN"/>
              </w:rPr>
              <w:t xml:space="preserve"> </w:t>
            </w:r>
            <w:r>
              <w:rPr>
                <w:rFonts w:hint="eastAsia" w:ascii="Times New Roman" w:hAnsi="Times New Roman"/>
                <w:b/>
                <w:color w:val="auto"/>
                <w:sz w:val="24"/>
                <w:highlight w:val="none"/>
                <w:vertAlign w:val="baseline"/>
                <w:lang w:val="en-US" w:eastAsia="zh-CN"/>
              </w:rPr>
              <w:t>计划</w:t>
            </w:r>
          </w:p>
          <w:p w14:paraId="6AD3083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 xml:space="preserve">（1）加强环境管理，保证各种环保设施正常运行，污染物长期稳定达标排放； </w:t>
            </w:r>
          </w:p>
          <w:p w14:paraId="42B49AD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（2）</w:t>
            </w:r>
            <w:r>
              <w:rPr>
                <w:rFonts w:hint="eastAsia"/>
                <w:lang w:val="en-US" w:eastAsia="zh-CN"/>
              </w:rPr>
              <w:t>由于本项目所在区域无市政</w:t>
            </w:r>
            <w:r>
              <w:rPr>
                <w:rFonts w:hint="eastAsia" w:ascii="Times New Roman" w:hAnsi="Times New Roman" w:eastAsia="宋体" w:cs="Times New Roman"/>
                <w:bCs/>
                <w:color w:val="auto"/>
                <w:kern w:val="2"/>
                <w:sz w:val="24"/>
                <w:szCs w:val="24"/>
                <w:highlight w:val="none"/>
                <w:lang w:val="en-US" w:eastAsia="zh-CN" w:bidi="ar-SA"/>
              </w:rPr>
              <w:t>管网，且验收阶段，生活污水排入防渗旱厕定期清掏不外排。一旦布设管网，本项目生活污水排入化粪池处理后，在监测达标后方可排入市政管网。</w:t>
            </w:r>
          </w:p>
          <w:p w14:paraId="1BC49B3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（3）加强环境意识教育，制定环保设施操作管理规程，建立健全各项环保岗位责任制。</w:t>
            </w:r>
          </w:p>
          <w:p w14:paraId="1A89312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黑体"/>
                <w:b/>
                <w:color w:val="auto"/>
                <w:sz w:val="24"/>
                <w:szCs w:val="24"/>
                <w:highlight w:val="yellow"/>
                <w:vertAlign w:val="baseline"/>
                <w:lang w:val="en-US" w:eastAsia="zh-CN"/>
              </w:rPr>
            </w:pPr>
            <w:r>
              <w:rPr>
                <w:rFonts w:hint="eastAsia" w:ascii="Times New Roman" w:hAnsi="Times New Roman" w:eastAsia="宋体" w:cs="Times New Roman"/>
                <w:bCs/>
                <w:color w:val="auto"/>
                <w:kern w:val="2"/>
                <w:sz w:val="24"/>
                <w:szCs w:val="24"/>
                <w:highlight w:val="none"/>
                <w:lang w:val="en-US" w:eastAsia="zh-CN" w:bidi="ar-SA"/>
              </w:rPr>
              <w:t>（4）按应急预案要求，完善应急物资配套应急物资，如吸油毡、土工膜、收集桶等，并</w:t>
            </w:r>
            <w:r>
              <w:rPr>
                <w:rFonts w:hint="eastAsia" w:cs="Times New Roman"/>
                <w:bCs/>
                <w:color w:val="auto"/>
                <w:kern w:val="2"/>
                <w:sz w:val="24"/>
                <w:szCs w:val="24"/>
                <w:highlight w:val="none"/>
                <w:lang w:val="en-US" w:eastAsia="zh-CN" w:bidi="ar-SA"/>
              </w:rPr>
              <w:t>定期</w:t>
            </w:r>
            <w:r>
              <w:rPr>
                <w:rFonts w:hint="eastAsia" w:ascii="Times New Roman" w:hAnsi="Times New Roman" w:eastAsia="宋体" w:cs="Times New Roman"/>
                <w:bCs/>
                <w:color w:val="auto"/>
                <w:kern w:val="2"/>
                <w:sz w:val="24"/>
                <w:szCs w:val="24"/>
                <w:highlight w:val="none"/>
                <w:lang w:val="en-US" w:eastAsia="zh-CN" w:bidi="ar-SA"/>
              </w:rPr>
              <w:t>进行应急演练。</w:t>
            </w:r>
          </w:p>
        </w:tc>
      </w:tr>
    </w:tbl>
    <w:p w14:paraId="7DFE1352">
      <w:pPr>
        <w:rPr>
          <w:rFonts w:hint="default" w:ascii="Times New Roman" w:hAnsi="Times New Roman" w:eastAsia="黑体"/>
          <w:b/>
          <w:color w:val="auto"/>
          <w:sz w:val="24"/>
          <w:szCs w:val="24"/>
          <w:highlight w:val="yellow"/>
          <w:vertAlign w:val="baseline"/>
          <w:lang w:val="en-US" w:eastAsia="zh-CN"/>
        </w:rPr>
      </w:pPr>
      <w:r>
        <w:rPr>
          <w:rFonts w:hint="default" w:ascii="Times New Roman" w:hAnsi="Times New Roman" w:eastAsia="黑体"/>
          <w:b/>
          <w:color w:val="auto"/>
          <w:sz w:val="24"/>
          <w:szCs w:val="24"/>
          <w:highlight w:val="yellow"/>
          <w:vertAlign w:val="baseline"/>
          <w:lang w:val="en-US" w:eastAsia="zh-CN"/>
        </w:rPr>
        <w:br w:type="page"/>
      </w:r>
    </w:p>
    <w:p w14:paraId="58357D10">
      <w:pPr>
        <w:pStyle w:val="16"/>
        <w:rPr>
          <w:rFonts w:hint="default"/>
          <w:highlight w:val="yellow"/>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7D625C6">
      <w:pPr>
        <w:pStyle w:val="15"/>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left"/>
        <w:textAlignment w:val="auto"/>
        <w:rPr>
          <w:rFonts w:hint="eastAsia" w:ascii="Times New Roman" w:hAnsi="Times New Roman" w:eastAsia="宋体"/>
          <w:b/>
          <w:color w:val="auto"/>
          <w:sz w:val="24"/>
          <w:highlight w:val="none"/>
          <w:lang w:val="en-US" w:eastAsia="zh-CN"/>
        </w:rPr>
      </w:pPr>
      <w:r>
        <w:rPr>
          <w:rFonts w:hint="eastAsia" w:ascii="Times New Roman" w:hAnsi="Times New Roman" w:eastAsia="宋体"/>
          <w:b/>
          <w:color w:val="auto"/>
          <w:sz w:val="24"/>
          <w:highlight w:val="none"/>
          <w:lang w:val="en-US" w:eastAsia="zh-CN"/>
        </w:rPr>
        <w:t>附件</w:t>
      </w:r>
    </w:p>
    <w:p w14:paraId="6B758078">
      <w:pPr>
        <w:pStyle w:val="1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Times New Roman" w:hAnsi="Times New Roman" w:eastAsia="宋体" w:cs="Times New Roman"/>
          <w:bCs/>
          <w:color w:val="auto"/>
          <w:kern w:val="2"/>
          <w:sz w:val="24"/>
          <w:szCs w:val="24"/>
          <w:highlight w:val="none"/>
          <w:lang w:val="en-US" w:eastAsia="zh-CN" w:bidi="ar-SA"/>
        </w:rPr>
      </w:pPr>
    </w:p>
    <w:p w14:paraId="768E34BD">
      <w:pPr>
        <w:pStyle w:val="15"/>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0" w:firstLineChars="0"/>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附件1：建设项目环境保护“三同时”竣工验收登记表</w:t>
      </w:r>
    </w:p>
    <w:p w14:paraId="0C034131">
      <w:pPr>
        <w:pStyle w:val="15"/>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0" w:firstLineChars="0"/>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附件2：环评批复</w:t>
      </w:r>
    </w:p>
    <w:p w14:paraId="385EE90C">
      <w:pPr>
        <w:pStyle w:val="15"/>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0" w:firstLineChars="0"/>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附件3：项目地理位置图</w:t>
      </w:r>
    </w:p>
    <w:p w14:paraId="7343F467">
      <w:pPr>
        <w:pStyle w:val="15"/>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0" w:firstLineChars="0"/>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附件4：项目四邻分布图</w:t>
      </w:r>
    </w:p>
    <w:p w14:paraId="21186498">
      <w:pPr>
        <w:pStyle w:val="15"/>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0" w:firstLineChars="0"/>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附件5：环境保护目标分布图</w:t>
      </w:r>
    </w:p>
    <w:p w14:paraId="5D1B9DDD">
      <w:pPr>
        <w:pStyle w:val="15"/>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0" w:firstLineChars="0"/>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附件6：平面布置图</w:t>
      </w:r>
    </w:p>
    <w:p w14:paraId="67E5BAE3">
      <w:pPr>
        <w:pStyle w:val="15"/>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0" w:firstLineChars="0"/>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附件7：原环评平</w:t>
      </w:r>
      <w:bookmarkStart w:id="3" w:name="_GoBack"/>
      <w:bookmarkEnd w:id="3"/>
      <w:r>
        <w:rPr>
          <w:rFonts w:hint="eastAsia" w:ascii="Times New Roman" w:hAnsi="Times New Roman" w:eastAsia="宋体" w:cs="Times New Roman"/>
          <w:bCs/>
          <w:color w:val="auto"/>
          <w:kern w:val="2"/>
          <w:sz w:val="24"/>
          <w:szCs w:val="24"/>
          <w:highlight w:val="none"/>
          <w:lang w:val="en-US" w:eastAsia="zh-CN" w:bidi="ar-SA"/>
        </w:rPr>
        <w:t>面布置图</w:t>
      </w:r>
    </w:p>
    <w:p w14:paraId="434507A6">
      <w:pPr>
        <w:pStyle w:val="15"/>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0" w:firstLineChars="0"/>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附件8：场地租用协议</w:t>
      </w:r>
    </w:p>
    <w:p w14:paraId="14273F89">
      <w:pPr>
        <w:pStyle w:val="15"/>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0" w:firstLineChars="0"/>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附件9：检测报告</w:t>
      </w:r>
    </w:p>
    <w:p w14:paraId="70428568">
      <w:pPr>
        <w:pStyle w:val="15"/>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0" w:firstLineChars="0"/>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附件10：危废处置协议</w:t>
      </w:r>
    </w:p>
    <w:p w14:paraId="638B1FAF">
      <w:pPr>
        <w:pStyle w:val="23"/>
        <w:rPr>
          <w:rFonts w:hint="default"/>
          <w:highlight w:val="yellow"/>
          <w:lang w:val="en-US" w:eastAsia="zh-CN"/>
        </w:rPr>
      </w:pPr>
    </w:p>
    <w:p w14:paraId="0E117196">
      <w:pPr>
        <w:pStyle w:val="23"/>
        <w:rPr>
          <w:rFonts w:hint="default"/>
          <w:highlight w:val="yellow"/>
          <w:lang w:val="en-US" w:eastAsia="zh-CN"/>
        </w:rPr>
      </w:pPr>
    </w:p>
    <w:p w14:paraId="10669482">
      <w:pPr>
        <w:pStyle w:val="8"/>
        <w:rPr>
          <w:rFonts w:hint="default"/>
          <w:color w:val="auto"/>
          <w:highlight w:val="yellow"/>
          <w:lang w:val="en-US" w:eastAsia="zh-CN"/>
        </w:rPr>
      </w:pPr>
    </w:p>
    <w:p w14:paraId="1715286B">
      <w:pPr>
        <w:rPr>
          <w:rFonts w:hint="default"/>
          <w:highlight w:val="yellow"/>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F65F4E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黑体" w:cs="Times New Roman"/>
          <w:b/>
          <w:color w:val="auto"/>
          <w:kern w:val="0"/>
          <w:sz w:val="21"/>
          <w:szCs w:val="21"/>
          <w:highlight w:val="none"/>
        </w:rPr>
      </w:pPr>
      <w:r>
        <w:rPr>
          <w:rFonts w:ascii="Tahoma" w:hAnsi="Tahoma" w:eastAsia="黑体" w:cs="Times New Roman"/>
          <w:b/>
          <w:color w:val="auto"/>
          <w:kern w:val="0"/>
          <w:sz w:val="21"/>
          <w:szCs w:val="21"/>
          <w:highlight w:val="none"/>
        </w:rPr>
        <w:t>建设项目竣工环境保护</w:t>
      </w:r>
      <w:r>
        <w:rPr>
          <w:rFonts w:hint="eastAsia" w:ascii="Tahoma" w:hAnsi="Tahoma" w:eastAsia="黑体" w:cs="Times New Roman"/>
          <w:b/>
          <w:color w:val="auto"/>
          <w:kern w:val="0"/>
          <w:sz w:val="21"/>
          <w:szCs w:val="21"/>
          <w:highlight w:val="none"/>
        </w:rPr>
        <w:t>“</w:t>
      </w:r>
      <w:r>
        <w:rPr>
          <w:rFonts w:ascii="Tahoma" w:hAnsi="Tahoma" w:eastAsia="黑体" w:cs="Times New Roman"/>
          <w:b/>
          <w:color w:val="auto"/>
          <w:kern w:val="0"/>
          <w:sz w:val="21"/>
          <w:szCs w:val="21"/>
          <w:highlight w:val="none"/>
        </w:rPr>
        <w:t>三同时</w:t>
      </w:r>
      <w:r>
        <w:rPr>
          <w:rFonts w:hint="eastAsia" w:ascii="Tahoma" w:hAnsi="Tahoma" w:eastAsia="黑体" w:cs="Times New Roman"/>
          <w:b/>
          <w:color w:val="auto"/>
          <w:kern w:val="0"/>
          <w:sz w:val="21"/>
          <w:szCs w:val="21"/>
          <w:highlight w:val="none"/>
        </w:rPr>
        <w:t>”</w:t>
      </w:r>
      <w:r>
        <w:rPr>
          <w:rFonts w:ascii="Tahoma" w:hAnsi="Tahoma" w:eastAsia="黑体" w:cs="Times New Roman"/>
          <w:b/>
          <w:color w:val="auto"/>
          <w:kern w:val="0"/>
          <w:sz w:val="21"/>
          <w:szCs w:val="21"/>
          <w:highlight w:val="none"/>
        </w:rPr>
        <w:t>验收登记表</w:t>
      </w:r>
    </w:p>
    <w:p w14:paraId="29F3858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宋体" w:hAnsi="宋体" w:eastAsia="宋体" w:cs="Times New Roman"/>
          <w:b/>
          <w:color w:val="auto"/>
          <w:kern w:val="0"/>
          <w:sz w:val="21"/>
          <w:szCs w:val="21"/>
          <w:highlight w:val="none"/>
        </w:rPr>
      </w:pPr>
      <w:r>
        <w:rPr>
          <w:rFonts w:ascii="宋体" w:hAnsi="宋体" w:eastAsia="宋体" w:cs="Times New Roman"/>
          <w:b/>
          <w:color w:val="auto"/>
          <w:kern w:val="0"/>
          <w:sz w:val="21"/>
          <w:szCs w:val="21"/>
          <w:highlight w:val="none"/>
        </w:rPr>
        <w:t>填表单位（盖章）</w:t>
      </w:r>
      <w:r>
        <w:rPr>
          <w:rFonts w:ascii="宋体" w:hAnsi="宋体" w:eastAsia="宋体" w:cs="Times New Roman"/>
          <w:b/>
          <w:color w:val="auto"/>
          <w:kern w:val="2"/>
          <w:sz w:val="21"/>
          <w:szCs w:val="21"/>
          <w:highlight w:val="none"/>
        </w:rPr>
        <w:t>：</w:t>
      </w:r>
      <w:r>
        <w:rPr>
          <w:rFonts w:ascii="宋体" w:hAnsi="宋体" w:eastAsia="宋体" w:cs="Times New Roman"/>
          <w:b/>
          <w:color w:val="auto"/>
          <w:kern w:val="0"/>
          <w:sz w:val="21"/>
          <w:szCs w:val="21"/>
          <w:highlight w:val="none"/>
        </w:rPr>
        <w:t xml:space="preserve">                  填表人（签字）：                              项目经办人（签字）：</w:t>
      </w:r>
    </w:p>
    <w:tbl>
      <w:tblPr>
        <w:tblStyle w:val="24"/>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75"/>
        <w:gridCol w:w="151"/>
        <w:gridCol w:w="986"/>
        <w:gridCol w:w="633"/>
        <w:gridCol w:w="746"/>
        <w:gridCol w:w="1245"/>
        <w:gridCol w:w="987"/>
        <w:gridCol w:w="898"/>
        <w:gridCol w:w="459"/>
        <w:gridCol w:w="545"/>
        <w:gridCol w:w="1027"/>
        <w:gridCol w:w="1081"/>
        <w:gridCol w:w="1437"/>
        <w:gridCol w:w="924"/>
        <w:gridCol w:w="528"/>
        <w:gridCol w:w="597"/>
        <w:gridCol w:w="69"/>
        <w:gridCol w:w="924"/>
        <w:gridCol w:w="723"/>
      </w:tblGrid>
      <w:tr w14:paraId="4F80EA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31" w:type="pct"/>
            <w:vMerge w:val="restart"/>
            <w:noWrap w:val="0"/>
            <w:tcMar>
              <w:left w:w="57" w:type="dxa"/>
              <w:right w:w="57" w:type="dxa"/>
            </w:tcMar>
            <w:textDirection w:val="tbRlV"/>
            <w:vAlign w:val="center"/>
          </w:tcPr>
          <w:p w14:paraId="083473C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建设项目</w:t>
            </w:r>
          </w:p>
        </w:tc>
        <w:tc>
          <w:tcPr>
            <w:tcW w:w="617" w:type="pct"/>
            <w:gridSpan w:val="3"/>
            <w:noWrap w:val="0"/>
            <w:tcMar>
              <w:left w:w="57" w:type="dxa"/>
              <w:right w:w="57" w:type="dxa"/>
            </w:tcMar>
            <w:vAlign w:val="center"/>
          </w:tcPr>
          <w:p w14:paraId="01C43D2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hint="eastAsia" w:ascii="Tahoma" w:hAnsi="Tahoma" w:eastAsia="微软雅黑" w:cs="Times New Roman"/>
                <w:color w:val="auto"/>
                <w:kern w:val="2"/>
                <w:sz w:val="13"/>
                <w:szCs w:val="13"/>
                <w:highlight w:val="none"/>
                <w:lang w:val="en-US" w:eastAsia="zh-CN"/>
              </w:rPr>
            </w:pPr>
            <w:r>
              <w:rPr>
                <w:rFonts w:hint="eastAsia" w:ascii="Tahoma" w:hAnsi="Tahoma" w:eastAsia="微软雅黑" w:cs="Times New Roman"/>
                <w:b/>
                <w:color w:val="auto"/>
                <w:kern w:val="2"/>
                <w:sz w:val="13"/>
                <w:szCs w:val="13"/>
                <w:highlight w:val="none"/>
                <w:lang w:val="en-US" w:eastAsia="zh-CN"/>
              </w:rPr>
              <w:t>项目名称</w:t>
            </w:r>
          </w:p>
        </w:tc>
        <w:tc>
          <w:tcPr>
            <w:tcW w:w="1701" w:type="pct"/>
            <w:gridSpan w:val="6"/>
            <w:noWrap w:val="0"/>
            <w:tcMar>
              <w:left w:w="57" w:type="dxa"/>
              <w:right w:w="57" w:type="dxa"/>
            </w:tcMar>
            <w:vAlign w:val="center"/>
          </w:tcPr>
          <w:p w14:paraId="3C67057E">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本溪市华宇木业有限公司木制品及泡沫制品包装生产线建设项目</w:t>
            </w:r>
          </w:p>
        </w:tc>
        <w:tc>
          <w:tcPr>
            <w:tcW w:w="735" w:type="pct"/>
            <w:gridSpan w:val="2"/>
            <w:noWrap w:val="0"/>
            <w:tcMar>
              <w:left w:w="57" w:type="dxa"/>
              <w:right w:w="57" w:type="dxa"/>
            </w:tcMar>
            <w:vAlign w:val="center"/>
          </w:tcPr>
          <w:p w14:paraId="76592A6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hint="eastAsia" w:ascii="Tahoma" w:hAnsi="Tahoma" w:eastAsia="微软雅黑" w:cs="Times New Roman"/>
                <w:b/>
                <w:color w:val="auto"/>
                <w:kern w:val="2"/>
                <w:sz w:val="13"/>
                <w:szCs w:val="13"/>
                <w:highlight w:val="none"/>
              </w:rPr>
              <w:t>项</w:t>
            </w:r>
            <w:r>
              <w:rPr>
                <w:rFonts w:ascii="Tahoma" w:hAnsi="Tahoma" w:eastAsia="微软雅黑" w:cs="Times New Roman"/>
                <w:b/>
                <w:color w:val="auto"/>
                <w:kern w:val="2"/>
                <w:sz w:val="13"/>
                <w:szCs w:val="13"/>
                <w:highlight w:val="none"/>
              </w:rPr>
              <w:t>目代码</w:t>
            </w:r>
          </w:p>
        </w:tc>
        <w:tc>
          <w:tcPr>
            <w:tcW w:w="501" w:type="pct"/>
            <w:noWrap w:val="0"/>
            <w:tcMar>
              <w:left w:w="57" w:type="dxa"/>
              <w:right w:w="57" w:type="dxa"/>
            </w:tcMar>
            <w:vAlign w:val="center"/>
          </w:tcPr>
          <w:p w14:paraId="44D12F73">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default" w:ascii="Tahoma" w:hAnsi="Tahoma" w:eastAsia="微软雅黑" w:cs="Times New Roman"/>
                <w:color w:val="auto"/>
                <w:kern w:val="2"/>
                <w:sz w:val="13"/>
                <w:szCs w:val="13"/>
                <w:highlight w:val="none"/>
                <w:lang w:val="en-US" w:eastAsia="zh-CN"/>
              </w:rPr>
              <w:t>锯材加工[C2011]</w:t>
            </w:r>
          </w:p>
          <w:p w14:paraId="5597ADD0">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r>
              <w:rPr>
                <w:rFonts w:hint="default" w:ascii="Tahoma" w:hAnsi="Tahoma" w:eastAsia="微软雅黑" w:cs="Times New Roman"/>
                <w:color w:val="auto"/>
                <w:kern w:val="2"/>
                <w:sz w:val="13"/>
                <w:szCs w:val="13"/>
                <w:highlight w:val="none"/>
                <w:lang w:val="en-US" w:eastAsia="zh-CN"/>
              </w:rPr>
              <w:t>泡沫塑料制造[C2924]</w:t>
            </w:r>
          </w:p>
        </w:tc>
        <w:tc>
          <w:tcPr>
            <w:tcW w:w="506" w:type="pct"/>
            <w:gridSpan w:val="2"/>
            <w:noWrap w:val="0"/>
            <w:tcMar>
              <w:left w:w="57" w:type="dxa"/>
              <w:right w:w="57" w:type="dxa"/>
            </w:tcMar>
            <w:vAlign w:val="center"/>
          </w:tcPr>
          <w:p w14:paraId="3D49ABAE">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建设地点</w:t>
            </w:r>
          </w:p>
        </w:tc>
        <w:tc>
          <w:tcPr>
            <w:tcW w:w="806" w:type="pct"/>
            <w:gridSpan w:val="4"/>
            <w:noWrap w:val="0"/>
            <w:tcMar>
              <w:left w:w="57" w:type="dxa"/>
              <w:right w:w="57" w:type="dxa"/>
            </w:tcMar>
            <w:vAlign w:val="center"/>
          </w:tcPr>
          <w:p w14:paraId="1FF07B4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r>
              <w:rPr>
                <w:rFonts w:hint="default" w:ascii="Tahoma" w:hAnsi="Tahoma" w:eastAsia="微软雅黑" w:cs="Times New Roman"/>
                <w:color w:val="auto"/>
                <w:kern w:val="2"/>
                <w:sz w:val="13"/>
                <w:szCs w:val="13"/>
                <w:highlight w:val="none"/>
                <w:lang w:val="en-US" w:eastAsia="zh-CN"/>
              </w:rPr>
              <w:t>辽宁省（自治区）本溪市明山（区）高台子办事处原赫地社区二组</w:t>
            </w:r>
          </w:p>
        </w:tc>
      </w:tr>
      <w:tr w14:paraId="405AAC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31" w:type="pct"/>
            <w:vMerge w:val="continue"/>
            <w:noWrap w:val="0"/>
            <w:tcMar>
              <w:left w:w="57" w:type="dxa"/>
              <w:right w:w="57" w:type="dxa"/>
            </w:tcMar>
            <w:vAlign w:val="center"/>
          </w:tcPr>
          <w:p w14:paraId="78A03FD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617" w:type="pct"/>
            <w:gridSpan w:val="3"/>
            <w:noWrap w:val="0"/>
            <w:tcMar>
              <w:left w:w="57" w:type="dxa"/>
              <w:right w:w="57" w:type="dxa"/>
            </w:tcMar>
            <w:vAlign w:val="center"/>
          </w:tcPr>
          <w:p w14:paraId="183A147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行业类别（分类管理</w:t>
            </w:r>
            <w:r>
              <w:rPr>
                <w:rFonts w:hint="eastAsia" w:ascii="Tahoma" w:hAnsi="Tahoma" w:eastAsia="微软雅黑" w:cs="Times New Roman"/>
                <w:b/>
                <w:color w:val="auto"/>
                <w:kern w:val="2"/>
                <w:sz w:val="13"/>
                <w:szCs w:val="13"/>
                <w:highlight w:val="none"/>
              </w:rPr>
              <w:t>名录</w:t>
            </w:r>
            <w:r>
              <w:rPr>
                <w:rFonts w:ascii="Tahoma" w:hAnsi="Tahoma" w:eastAsia="微软雅黑" w:cs="Times New Roman"/>
                <w:b/>
                <w:color w:val="auto"/>
                <w:kern w:val="2"/>
                <w:sz w:val="13"/>
                <w:szCs w:val="13"/>
                <w:highlight w:val="none"/>
              </w:rPr>
              <w:t>）</w:t>
            </w:r>
          </w:p>
        </w:tc>
        <w:tc>
          <w:tcPr>
            <w:tcW w:w="1701" w:type="pct"/>
            <w:gridSpan w:val="6"/>
            <w:noWrap w:val="0"/>
            <w:tcMar>
              <w:left w:w="57" w:type="dxa"/>
              <w:right w:w="57" w:type="dxa"/>
            </w:tcMar>
            <w:vAlign w:val="center"/>
          </w:tcPr>
          <w:p w14:paraId="65A6096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default" w:ascii="Tahoma" w:hAnsi="Tahoma" w:eastAsia="微软雅黑" w:cs="Times New Roman"/>
                <w:color w:val="auto"/>
                <w:kern w:val="2"/>
                <w:sz w:val="13"/>
                <w:szCs w:val="13"/>
                <w:highlight w:val="none"/>
                <w:lang w:val="en-US" w:eastAsia="zh-CN"/>
              </w:rPr>
              <w:t>二十六、橡胶和塑料制品业-53塑料制品业-其他</w:t>
            </w:r>
          </w:p>
          <w:p w14:paraId="61D1CC6A">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r>
              <w:rPr>
                <w:rFonts w:hint="default" w:ascii="Tahoma" w:hAnsi="Tahoma" w:eastAsia="微软雅黑" w:cs="Times New Roman"/>
                <w:color w:val="auto"/>
                <w:kern w:val="2"/>
                <w:sz w:val="13"/>
                <w:szCs w:val="13"/>
                <w:highlight w:val="none"/>
                <w:lang w:val="en-US" w:eastAsia="zh-CN"/>
              </w:rPr>
              <w:t>十七、木材加工和木、竹、藤、棕、草制品业-33木材加工</w:t>
            </w:r>
          </w:p>
        </w:tc>
        <w:tc>
          <w:tcPr>
            <w:tcW w:w="735" w:type="pct"/>
            <w:gridSpan w:val="2"/>
            <w:noWrap w:val="0"/>
            <w:tcMar>
              <w:left w:w="57" w:type="dxa"/>
              <w:right w:w="57" w:type="dxa"/>
            </w:tcMar>
            <w:vAlign w:val="center"/>
          </w:tcPr>
          <w:p w14:paraId="76DA61F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建设性质</w:t>
            </w:r>
          </w:p>
        </w:tc>
        <w:tc>
          <w:tcPr>
            <w:tcW w:w="1007" w:type="pct"/>
            <w:gridSpan w:val="3"/>
            <w:noWrap w:val="0"/>
            <w:tcMar>
              <w:left w:w="57" w:type="dxa"/>
              <w:right w:w="57" w:type="dxa"/>
            </w:tcMar>
            <w:vAlign w:val="center"/>
          </w:tcPr>
          <w:p w14:paraId="636137A8">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ascii="Tahoma" w:hAnsi="Tahoma" w:eastAsia="微软雅黑" w:cs="Times New Roman"/>
                <w:color w:val="auto"/>
                <w:kern w:val="2"/>
                <w:sz w:val="13"/>
                <w:szCs w:val="13"/>
                <w:highlight w:val="none"/>
              </w:rPr>
            </w:pPr>
            <w:r>
              <w:rPr>
                <w:rFonts w:hint="eastAsia" w:ascii="Tahoma" w:hAnsi="Tahoma" w:eastAsia="微软雅黑" w:cs="Times New Roman"/>
                <w:color w:val="auto"/>
                <w:kern w:val="2"/>
                <w:sz w:val="13"/>
                <w:szCs w:val="13"/>
                <w:highlight w:val="none"/>
                <w:lang w:val="en-US" w:eastAsia="zh-CN"/>
              </w:rPr>
              <w:sym w:font="Wingdings 2" w:char="0052"/>
            </w:r>
            <w:r>
              <w:rPr>
                <w:rFonts w:hint="eastAsia" w:ascii="Tahoma" w:hAnsi="Tahoma" w:eastAsia="微软雅黑" w:cs="Times New Roman"/>
                <w:color w:val="auto"/>
                <w:kern w:val="2"/>
                <w:sz w:val="13"/>
                <w:szCs w:val="13"/>
                <w:highlight w:val="none"/>
                <w:lang w:val="en-US" w:eastAsia="zh-CN"/>
              </w:rPr>
              <w:t>新建  □改扩建  □技术改造</w:t>
            </w:r>
          </w:p>
        </w:tc>
        <w:tc>
          <w:tcPr>
            <w:tcW w:w="232" w:type="pct"/>
            <w:gridSpan w:val="2"/>
            <w:noWrap w:val="0"/>
            <w:tcMar>
              <w:left w:w="57" w:type="dxa"/>
              <w:right w:w="57" w:type="dxa"/>
            </w:tcMar>
            <w:vAlign w:val="top"/>
          </w:tcPr>
          <w:p w14:paraId="7436B2A0">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hint="eastAsia" w:ascii="Tahoma" w:hAnsi="Tahoma" w:eastAsia="微软雅黑" w:cs="Times New Roman"/>
                <w:b/>
                <w:color w:val="auto"/>
                <w:kern w:val="2"/>
                <w:sz w:val="13"/>
                <w:szCs w:val="13"/>
                <w:highlight w:val="none"/>
                <w:lang w:val="en-US" w:eastAsia="zh-CN"/>
              </w:rPr>
            </w:pPr>
            <w:r>
              <w:rPr>
                <w:rFonts w:hint="eastAsia" w:ascii="Tahoma" w:hAnsi="Tahoma" w:eastAsia="微软雅黑" w:cs="Times New Roman"/>
                <w:b/>
                <w:color w:val="auto"/>
                <w:kern w:val="2"/>
                <w:sz w:val="13"/>
                <w:szCs w:val="13"/>
                <w:highlight w:val="none"/>
                <w:lang w:val="en-US" w:eastAsia="zh-CN"/>
              </w:rPr>
              <w:t>项目厂区中心经度/纬度</w:t>
            </w:r>
          </w:p>
        </w:tc>
        <w:tc>
          <w:tcPr>
            <w:tcW w:w="573" w:type="pct"/>
            <w:gridSpan w:val="2"/>
            <w:noWrap w:val="0"/>
            <w:tcMar>
              <w:left w:w="57" w:type="dxa"/>
              <w:right w:w="57" w:type="dxa"/>
            </w:tcMar>
            <w:vAlign w:val="top"/>
          </w:tcPr>
          <w:p w14:paraId="62D3513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hint="default" w:ascii="Tahoma" w:hAnsi="Tahoma" w:eastAsia="微软雅黑" w:cs="Times New Roman"/>
                <w:color w:val="auto"/>
                <w:kern w:val="2"/>
                <w:sz w:val="13"/>
                <w:szCs w:val="13"/>
                <w:highlight w:val="none"/>
                <w:lang w:val="en-US" w:eastAsia="zh-CN"/>
              </w:rPr>
            </w:pPr>
            <w:r>
              <w:rPr>
                <w:rFonts w:hint="default" w:ascii="Tahoma" w:hAnsi="Tahoma" w:eastAsia="微软雅黑" w:cs="Times New Roman"/>
                <w:color w:val="auto"/>
                <w:kern w:val="2"/>
                <w:sz w:val="13"/>
                <w:szCs w:val="13"/>
                <w:highlight w:val="none"/>
                <w:lang w:val="en-US" w:eastAsia="zh-CN"/>
              </w:rPr>
              <w:t>东经 123度49分9.129秒</w:t>
            </w:r>
          </w:p>
          <w:p w14:paraId="424F910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b/>
                <w:color w:val="auto"/>
                <w:kern w:val="2"/>
                <w:sz w:val="13"/>
                <w:szCs w:val="13"/>
                <w:highlight w:val="none"/>
                <w:lang w:val="en-US" w:eastAsia="zh-CN"/>
              </w:rPr>
            </w:pPr>
            <w:r>
              <w:rPr>
                <w:rFonts w:hint="default" w:ascii="Tahoma" w:hAnsi="Tahoma" w:eastAsia="微软雅黑" w:cs="Times New Roman"/>
                <w:color w:val="auto"/>
                <w:kern w:val="2"/>
                <w:sz w:val="13"/>
                <w:szCs w:val="13"/>
                <w:highlight w:val="none"/>
                <w:lang w:val="en-US" w:eastAsia="zh-CN"/>
              </w:rPr>
              <w:t>北纬 41度20分51.792秒</w:t>
            </w:r>
          </w:p>
        </w:tc>
      </w:tr>
      <w:tr w14:paraId="203094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3" w:hRule="atLeast"/>
          <w:jc w:val="center"/>
        </w:trPr>
        <w:tc>
          <w:tcPr>
            <w:tcW w:w="131" w:type="pct"/>
            <w:vMerge w:val="continue"/>
            <w:noWrap w:val="0"/>
            <w:tcMar>
              <w:left w:w="57" w:type="dxa"/>
              <w:right w:w="57" w:type="dxa"/>
            </w:tcMar>
            <w:vAlign w:val="center"/>
          </w:tcPr>
          <w:p w14:paraId="2328CD4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617" w:type="pct"/>
            <w:gridSpan w:val="3"/>
            <w:noWrap w:val="0"/>
            <w:tcMar>
              <w:left w:w="57" w:type="dxa"/>
              <w:right w:w="57" w:type="dxa"/>
            </w:tcMar>
            <w:vAlign w:val="center"/>
          </w:tcPr>
          <w:p w14:paraId="66DAD30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设计生产能力</w:t>
            </w:r>
          </w:p>
        </w:tc>
        <w:tc>
          <w:tcPr>
            <w:tcW w:w="1701" w:type="pct"/>
            <w:gridSpan w:val="6"/>
            <w:noWrap w:val="0"/>
            <w:tcMar>
              <w:left w:w="57" w:type="dxa"/>
              <w:right w:w="57" w:type="dxa"/>
            </w:tcMar>
            <w:vAlign w:val="center"/>
          </w:tcPr>
          <w:p w14:paraId="6FAE2B2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泡沫制品包装为500t/a、木制包装箱为500m3、木制托盘为500m3</w:t>
            </w:r>
          </w:p>
        </w:tc>
        <w:tc>
          <w:tcPr>
            <w:tcW w:w="735" w:type="pct"/>
            <w:gridSpan w:val="2"/>
            <w:noWrap w:val="0"/>
            <w:tcMar>
              <w:left w:w="57" w:type="dxa"/>
              <w:right w:w="57" w:type="dxa"/>
            </w:tcMar>
            <w:vAlign w:val="center"/>
          </w:tcPr>
          <w:p w14:paraId="262AF7F0">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实际生产能力</w:t>
            </w:r>
          </w:p>
        </w:tc>
        <w:tc>
          <w:tcPr>
            <w:tcW w:w="501" w:type="pct"/>
            <w:noWrap w:val="0"/>
            <w:tcMar>
              <w:left w:w="57" w:type="dxa"/>
              <w:right w:w="57" w:type="dxa"/>
            </w:tcMar>
            <w:vAlign w:val="center"/>
          </w:tcPr>
          <w:p w14:paraId="4BAB364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b/>
                <w:color w:val="auto"/>
                <w:kern w:val="2"/>
                <w:sz w:val="13"/>
                <w:szCs w:val="13"/>
                <w:highlight w:val="none"/>
                <w:lang w:val="en-US"/>
              </w:rPr>
            </w:pPr>
            <w:r>
              <w:rPr>
                <w:rFonts w:hint="eastAsia" w:ascii="Tahoma" w:hAnsi="Tahoma" w:eastAsia="微软雅黑" w:cs="Times New Roman"/>
                <w:color w:val="auto"/>
                <w:kern w:val="2"/>
                <w:sz w:val="13"/>
                <w:szCs w:val="13"/>
                <w:highlight w:val="none"/>
                <w:lang w:val="en-US" w:eastAsia="zh-CN"/>
              </w:rPr>
              <w:t>泡沫制品包装为500t/a、木制包装箱为500m3、木制托盘为500m3</w:t>
            </w:r>
          </w:p>
        </w:tc>
        <w:tc>
          <w:tcPr>
            <w:tcW w:w="506" w:type="pct"/>
            <w:gridSpan w:val="2"/>
            <w:noWrap w:val="0"/>
            <w:tcMar>
              <w:left w:w="57" w:type="dxa"/>
              <w:right w:w="57" w:type="dxa"/>
            </w:tcMar>
            <w:vAlign w:val="center"/>
          </w:tcPr>
          <w:p w14:paraId="73AC1530">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环评单位</w:t>
            </w:r>
          </w:p>
        </w:tc>
        <w:tc>
          <w:tcPr>
            <w:tcW w:w="806" w:type="pct"/>
            <w:gridSpan w:val="4"/>
            <w:noWrap w:val="0"/>
            <w:tcMar>
              <w:left w:w="57" w:type="dxa"/>
              <w:right w:w="57" w:type="dxa"/>
            </w:tcMar>
            <w:vAlign w:val="center"/>
          </w:tcPr>
          <w:p w14:paraId="1394ABF8">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r>
              <w:rPr>
                <w:rFonts w:hint="eastAsia" w:ascii="Tahoma" w:hAnsi="Tahoma" w:eastAsia="微软雅黑" w:cs="Times New Roman"/>
                <w:color w:val="auto"/>
                <w:kern w:val="2"/>
                <w:sz w:val="13"/>
                <w:szCs w:val="13"/>
                <w:highlight w:val="none"/>
                <w:lang w:val="en-US" w:eastAsia="zh-CN"/>
              </w:rPr>
              <w:t>辽宁碧辉科技有限公司</w:t>
            </w:r>
          </w:p>
        </w:tc>
      </w:tr>
      <w:tr w14:paraId="0081D7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31" w:type="pct"/>
            <w:vMerge w:val="continue"/>
            <w:noWrap w:val="0"/>
            <w:tcMar>
              <w:left w:w="57" w:type="dxa"/>
              <w:right w:w="57" w:type="dxa"/>
            </w:tcMar>
            <w:vAlign w:val="center"/>
          </w:tcPr>
          <w:p w14:paraId="02CFF7BA">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617" w:type="pct"/>
            <w:gridSpan w:val="3"/>
            <w:noWrap w:val="0"/>
            <w:tcMar>
              <w:left w:w="57" w:type="dxa"/>
              <w:right w:w="57" w:type="dxa"/>
            </w:tcMar>
            <w:vAlign w:val="center"/>
          </w:tcPr>
          <w:p w14:paraId="7908E95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环评文件审批机关</w:t>
            </w:r>
          </w:p>
        </w:tc>
        <w:tc>
          <w:tcPr>
            <w:tcW w:w="1701" w:type="pct"/>
            <w:gridSpan w:val="6"/>
            <w:noWrap w:val="0"/>
            <w:tcMar>
              <w:left w:w="57" w:type="dxa"/>
              <w:right w:w="57" w:type="dxa"/>
            </w:tcMar>
            <w:vAlign w:val="center"/>
          </w:tcPr>
          <w:p w14:paraId="19A940B3">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本溪市生态环境局局</w:t>
            </w:r>
          </w:p>
        </w:tc>
        <w:tc>
          <w:tcPr>
            <w:tcW w:w="735" w:type="pct"/>
            <w:gridSpan w:val="2"/>
            <w:noWrap w:val="0"/>
            <w:tcMar>
              <w:left w:w="57" w:type="dxa"/>
              <w:right w:w="57" w:type="dxa"/>
            </w:tcMar>
            <w:vAlign w:val="center"/>
          </w:tcPr>
          <w:p w14:paraId="3B64884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审批文号</w:t>
            </w:r>
          </w:p>
        </w:tc>
        <w:tc>
          <w:tcPr>
            <w:tcW w:w="501" w:type="pct"/>
            <w:noWrap w:val="0"/>
            <w:tcMar>
              <w:left w:w="57" w:type="dxa"/>
              <w:right w:w="57" w:type="dxa"/>
            </w:tcMar>
            <w:vAlign w:val="top"/>
          </w:tcPr>
          <w:p w14:paraId="6776C6F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本环建表字[2024]75号</w:t>
            </w:r>
          </w:p>
        </w:tc>
        <w:tc>
          <w:tcPr>
            <w:tcW w:w="506" w:type="pct"/>
            <w:gridSpan w:val="2"/>
            <w:noWrap w:val="0"/>
            <w:tcMar>
              <w:left w:w="57" w:type="dxa"/>
              <w:right w:w="57" w:type="dxa"/>
            </w:tcMar>
            <w:vAlign w:val="center"/>
          </w:tcPr>
          <w:p w14:paraId="581212E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hint="eastAsia" w:ascii="Tahoma" w:hAnsi="Tahoma" w:eastAsia="微软雅黑" w:cs="Times New Roman"/>
                <w:b/>
                <w:color w:val="auto"/>
                <w:kern w:val="2"/>
                <w:sz w:val="13"/>
                <w:szCs w:val="13"/>
                <w:highlight w:val="none"/>
              </w:rPr>
              <w:t>环评</w:t>
            </w:r>
            <w:r>
              <w:rPr>
                <w:rFonts w:ascii="Tahoma" w:hAnsi="Tahoma" w:eastAsia="微软雅黑" w:cs="Times New Roman"/>
                <w:b/>
                <w:color w:val="auto"/>
                <w:kern w:val="2"/>
                <w:sz w:val="13"/>
                <w:szCs w:val="13"/>
                <w:highlight w:val="none"/>
              </w:rPr>
              <w:t>文件</w:t>
            </w:r>
            <w:r>
              <w:rPr>
                <w:rFonts w:hint="eastAsia" w:ascii="Tahoma" w:hAnsi="Tahoma" w:eastAsia="微软雅黑" w:cs="Times New Roman"/>
                <w:b/>
                <w:color w:val="auto"/>
                <w:kern w:val="2"/>
                <w:sz w:val="13"/>
                <w:szCs w:val="13"/>
                <w:highlight w:val="none"/>
              </w:rPr>
              <w:t>类型</w:t>
            </w:r>
          </w:p>
        </w:tc>
        <w:tc>
          <w:tcPr>
            <w:tcW w:w="806" w:type="pct"/>
            <w:gridSpan w:val="4"/>
            <w:noWrap w:val="0"/>
            <w:tcMar>
              <w:left w:w="57" w:type="dxa"/>
              <w:right w:w="57" w:type="dxa"/>
            </w:tcMar>
            <w:vAlign w:val="center"/>
          </w:tcPr>
          <w:p w14:paraId="3679A30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环境影响报告表</w:t>
            </w:r>
          </w:p>
        </w:tc>
      </w:tr>
      <w:tr w14:paraId="76EBDB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31" w:type="pct"/>
            <w:vMerge w:val="continue"/>
            <w:noWrap w:val="0"/>
            <w:tcMar>
              <w:left w:w="57" w:type="dxa"/>
              <w:right w:w="57" w:type="dxa"/>
            </w:tcMar>
            <w:vAlign w:val="center"/>
          </w:tcPr>
          <w:p w14:paraId="3A1259A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617" w:type="pct"/>
            <w:gridSpan w:val="3"/>
            <w:noWrap w:val="0"/>
            <w:tcMar>
              <w:left w:w="57" w:type="dxa"/>
              <w:right w:w="57" w:type="dxa"/>
            </w:tcMar>
            <w:vAlign w:val="center"/>
          </w:tcPr>
          <w:p w14:paraId="78F6305E">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开工日期</w:t>
            </w:r>
          </w:p>
        </w:tc>
        <w:tc>
          <w:tcPr>
            <w:tcW w:w="1701" w:type="pct"/>
            <w:gridSpan w:val="6"/>
            <w:noWrap w:val="0"/>
            <w:tcMar>
              <w:left w:w="57" w:type="dxa"/>
              <w:right w:w="57" w:type="dxa"/>
            </w:tcMar>
            <w:vAlign w:val="center"/>
          </w:tcPr>
          <w:p w14:paraId="652C632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2024年10月</w:t>
            </w:r>
          </w:p>
        </w:tc>
        <w:tc>
          <w:tcPr>
            <w:tcW w:w="735" w:type="pct"/>
            <w:gridSpan w:val="2"/>
            <w:noWrap w:val="0"/>
            <w:tcMar>
              <w:left w:w="57" w:type="dxa"/>
              <w:right w:w="57" w:type="dxa"/>
            </w:tcMar>
            <w:vAlign w:val="center"/>
          </w:tcPr>
          <w:p w14:paraId="7AB01EA3">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竣工日期</w:t>
            </w:r>
          </w:p>
        </w:tc>
        <w:tc>
          <w:tcPr>
            <w:tcW w:w="501" w:type="pct"/>
            <w:noWrap w:val="0"/>
            <w:tcMar>
              <w:left w:w="57" w:type="dxa"/>
              <w:right w:w="57" w:type="dxa"/>
            </w:tcMar>
            <w:vAlign w:val="center"/>
          </w:tcPr>
          <w:p w14:paraId="073C3E2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2024年12月</w:t>
            </w:r>
          </w:p>
        </w:tc>
        <w:tc>
          <w:tcPr>
            <w:tcW w:w="506" w:type="pct"/>
            <w:gridSpan w:val="2"/>
            <w:noWrap w:val="0"/>
            <w:tcMar>
              <w:left w:w="57" w:type="dxa"/>
              <w:right w:w="57" w:type="dxa"/>
            </w:tcMar>
            <w:vAlign w:val="center"/>
          </w:tcPr>
          <w:p w14:paraId="4AC2DC9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hint="eastAsia" w:ascii="Tahoma" w:hAnsi="Tahoma" w:eastAsia="微软雅黑" w:cs="Times New Roman"/>
                <w:b/>
                <w:color w:val="auto"/>
                <w:kern w:val="2"/>
                <w:sz w:val="13"/>
                <w:szCs w:val="13"/>
                <w:highlight w:val="none"/>
              </w:rPr>
              <w:t>排污许可证申领时间</w:t>
            </w:r>
          </w:p>
        </w:tc>
        <w:tc>
          <w:tcPr>
            <w:tcW w:w="806" w:type="pct"/>
            <w:gridSpan w:val="4"/>
            <w:noWrap w:val="0"/>
            <w:tcMar>
              <w:left w:w="57" w:type="dxa"/>
              <w:right w:w="57" w:type="dxa"/>
            </w:tcMar>
            <w:vAlign w:val="top"/>
          </w:tcPr>
          <w:p w14:paraId="3893775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w:t>
            </w:r>
          </w:p>
        </w:tc>
      </w:tr>
      <w:tr w14:paraId="4B06FB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31" w:type="pct"/>
            <w:vMerge w:val="continue"/>
            <w:noWrap w:val="0"/>
            <w:tcMar>
              <w:left w:w="57" w:type="dxa"/>
              <w:right w:w="57" w:type="dxa"/>
            </w:tcMar>
            <w:vAlign w:val="center"/>
          </w:tcPr>
          <w:p w14:paraId="60EE7939">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617" w:type="pct"/>
            <w:gridSpan w:val="3"/>
            <w:noWrap w:val="0"/>
            <w:tcMar>
              <w:left w:w="57" w:type="dxa"/>
              <w:right w:w="57" w:type="dxa"/>
            </w:tcMar>
            <w:vAlign w:val="center"/>
          </w:tcPr>
          <w:p w14:paraId="5F600AA8">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环保设施设计单位</w:t>
            </w:r>
          </w:p>
        </w:tc>
        <w:tc>
          <w:tcPr>
            <w:tcW w:w="1701" w:type="pct"/>
            <w:gridSpan w:val="6"/>
            <w:noWrap w:val="0"/>
            <w:tcMar>
              <w:left w:w="57" w:type="dxa"/>
              <w:right w:w="57" w:type="dxa"/>
            </w:tcMar>
            <w:vAlign w:val="center"/>
          </w:tcPr>
          <w:p w14:paraId="49000A5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w:t>
            </w:r>
          </w:p>
        </w:tc>
        <w:tc>
          <w:tcPr>
            <w:tcW w:w="735" w:type="pct"/>
            <w:gridSpan w:val="2"/>
            <w:noWrap w:val="0"/>
            <w:tcMar>
              <w:left w:w="57" w:type="dxa"/>
              <w:right w:w="57" w:type="dxa"/>
            </w:tcMar>
            <w:vAlign w:val="center"/>
          </w:tcPr>
          <w:p w14:paraId="68FF55A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0"/>
                <w:sz w:val="13"/>
                <w:szCs w:val="13"/>
                <w:highlight w:val="none"/>
              </w:rPr>
            </w:pPr>
            <w:r>
              <w:rPr>
                <w:rFonts w:ascii="Tahoma" w:hAnsi="Tahoma" w:eastAsia="微软雅黑" w:cs="Times New Roman"/>
                <w:b/>
                <w:color w:val="auto"/>
                <w:kern w:val="0"/>
                <w:sz w:val="13"/>
                <w:szCs w:val="13"/>
                <w:highlight w:val="none"/>
              </w:rPr>
              <w:t>环保设施施工单位</w:t>
            </w:r>
          </w:p>
        </w:tc>
        <w:tc>
          <w:tcPr>
            <w:tcW w:w="501" w:type="pct"/>
            <w:noWrap w:val="0"/>
            <w:tcMar>
              <w:left w:w="57" w:type="dxa"/>
              <w:right w:w="57" w:type="dxa"/>
            </w:tcMar>
            <w:vAlign w:val="top"/>
          </w:tcPr>
          <w:p w14:paraId="53EC542A">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w:t>
            </w:r>
          </w:p>
        </w:tc>
        <w:tc>
          <w:tcPr>
            <w:tcW w:w="506" w:type="pct"/>
            <w:gridSpan w:val="2"/>
            <w:noWrap w:val="0"/>
            <w:tcMar>
              <w:left w:w="57" w:type="dxa"/>
              <w:right w:w="57" w:type="dxa"/>
            </w:tcMar>
            <w:vAlign w:val="center"/>
          </w:tcPr>
          <w:p w14:paraId="6593B11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hint="eastAsia" w:ascii="Tahoma" w:hAnsi="Tahoma" w:eastAsia="微软雅黑" w:cs="Times New Roman"/>
                <w:b/>
                <w:color w:val="auto"/>
                <w:kern w:val="2"/>
                <w:sz w:val="13"/>
                <w:szCs w:val="13"/>
                <w:highlight w:val="none"/>
              </w:rPr>
              <w:t>本工程排污许可证</w:t>
            </w:r>
            <w:r>
              <w:rPr>
                <w:rFonts w:ascii="Tahoma" w:hAnsi="Tahoma" w:eastAsia="微软雅黑" w:cs="Times New Roman"/>
                <w:b/>
                <w:color w:val="auto"/>
                <w:kern w:val="2"/>
                <w:sz w:val="13"/>
                <w:szCs w:val="13"/>
                <w:highlight w:val="none"/>
              </w:rPr>
              <w:t>编号</w:t>
            </w:r>
          </w:p>
        </w:tc>
        <w:tc>
          <w:tcPr>
            <w:tcW w:w="806" w:type="pct"/>
            <w:gridSpan w:val="4"/>
            <w:noWrap w:val="0"/>
            <w:tcMar>
              <w:left w:w="57" w:type="dxa"/>
              <w:right w:w="57" w:type="dxa"/>
            </w:tcMar>
            <w:vAlign w:val="center"/>
          </w:tcPr>
          <w:p w14:paraId="184E36B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yellow"/>
                <w:lang w:val="en-US" w:eastAsia="zh-CN"/>
              </w:rPr>
            </w:pPr>
          </w:p>
        </w:tc>
      </w:tr>
      <w:tr w14:paraId="744B74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31" w:type="pct"/>
            <w:vMerge w:val="continue"/>
            <w:noWrap w:val="0"/>
            <w:tcMar>
              <w:left w:w="57" w:type="dxa"/>
              <w:right w:w="57" w:type="dxa"/>
            </w:tcMar>
            <w:vAlign w:val="center"/>
          </w:tcPr>
          <w:p w14:paraId="32EFBDB8">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617" w:type="pct"/>
            <w:gridSpan w:val="3"/>
            <w:noWrap w:val="0"/>
            <w:tcMar>
              <w:left w:w="57" w:type="dxa"/>
              <w:right w:w="57" w:type="dxa"/>
            </w:tcMar>
            <w:vAlign w:val="center"/>
          </w:tcPr>
          <w:p w14:paraId="067BC590">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验收单位</w:t>
            </w:r>
          </w:p>
        </w:tc>
        <w:tc>
          <w:tcPr>
            <w:tcW w:w="1701" w:type="pct"/>
            <w:gridSpan w:val="6"/>
            <w:noWrap w:val="0"/>
            <w:tcMar>
              <w:left w:w="57" w:type="dxa"/>
              <w:right w:w="57" w:type="dxa"/>
            </w:tcMar>
            <w:vAlign w:val="center"/>
          </w:tcPr>
          <w:p w14:paraId="26BF712A">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本溪市华宇木业有限公司</w:t>
            </w:r>
          </w:p>
        </w:tc>
        <w:tc>
          <w:tcPr>
            <w:tcW w:w="735" w:type="pct"/>
            <w:gridSpan w:val="2"/>
            <w:noWrap w:val="0"/>
            <w:tcMar>
              <w:left w:w="57" w:type="dxa"/>
              <w:right w:w="57" w:type="dxa"/>
            </w:tcMar>
            <w:vAlign w:val="center"/>
          </w:tcPr>
          <w:p w14:paraId="32B1C26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hint="eastAsia" w:ascii="Tahoma" w:hAnsi="Tahoma" w:eastAsia="微软雅黑" w:cs="Times New Roman"/>
                <w:color w:val="auto"/>
                <w:kern w:val="2"/>
                <w:sz w:val="13"/>
                <w:szCs w:val="13"/>
                <w:highlight w:val="none"/>
                <w:lang w:val="en-US" w:eastAsia="zh-CN"/>
              </w:rPr>
            </w:pPr>
            <w:r>
              <w:rPr>
                <w:rFonts w:hint="eastAsia" w:ascii="Tahoma" w:hAnsi="Tahoma" w:eastAsia="微软雅黑" w:cs="Times New Roman"/>
                <w:b/>
                <w:color w:val="auto"/>
                <w:kern w:val="0"/>
                <w:sz w:val="13"/>
                <w:szCs w:val="13"/>
                <w:highlight w:val="none"/>
                <w:lang w:val="en-US" w:eastAsia="zh-CN"/>
              </w:rPr>
              <w:t>环保设施监测单位</w:t>
            </w:r>
          </w:p>
        </w:tc>
        <w:tc>
          <w:tcPr>
            <w:tcW w:w="501" w:type="pct"/>
            <w:noWrap w:val="0"/>
            <w:tcMar>
              <w:left w:w="57" w:type="dxa"/>
              <w:right w:w="57" w:type="dxa"/>
            </w:tcMar>
            <w:vAlign w:val="top"/>
          </w:tcPr>
          <w:p w14:paraId="5E96E1C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辽宁天圆监测有限公司</w:t>
            </w:r>
          </w:p>
        </w:tc>
        <w:tc>
          <w:tcPr>
            <w:tcW w:w="506" w:type="pct"/>
            <w:gridSpan w:val="2"/>
            <w:noWrap w:val="0"/>
            <w:tcMar>
              <w:left w:w="57" w:type="dxa"/>
              <w:right w:w="57" w:type="dxa"/>
            </w:tcMar>
            <w:vAlign w:val="center"/>
          </w:tcPr>
          <w:p w14:paraId="628E944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验收监测</w:t>
            </w:r>
            <w:r>
              <w:rPr>
                <w:rFonts w:hint="eastAsia" w:ascii="Tahoma" w:hAnsi="Tahoma" w:eastAsia="微软雅黑" w:cs="Times New Roman"/>
                <w:b/>
                <w:color w:val="auto"/>
                <w:kern w:val="2"/>
                <w:sz w:val="13"/>
                <w:szCs w:val="13"/>
                <w:highlight w:val="none"/>
              </w:rPr>
              <w:t>时工况</w:t>
            </w:r>
          </w:p>
        </w:tc>
        <w:tc>
          <w:tcPr>
            <w:tcW w:w="806" w:type="pct"/>
            <w:gridSpan w:val="4"/>
            <w:noWrap w:val="0"/>
            <w:tcMar>
              <w:left w:w="57" w:type="dxa"/>
              <w:right w:w="57" w:type="dxa"/>
            </w:tcMar>
            <w:vAlign w:val="center"/>
          </w:tcPr>
          <w:p w14:paraId="74ADB5C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r>
      <w:tr w14:paraId="19AF13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31" w:type="pct"/>
            <w:vMerge w:val="continue"/>
            <w:noWrap w:val="0"/>
            <w:tcMar>
              <w:left w:w="57" w:type="dxa"/>
              <w:right w:w="57" w:type="dxa"/>
            </w:tcMar>
            <w:vAlign w:val="center"/>
          </w:tcPr>
          <w:p w14:paraId="648D2B3C">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617" w:type="pct"/>
            <w:gridSpan w:val="3"/>
            <w:noWrap w:val="0"/>
            <w:tcMar>
              <w:left w:w="57" w:type="dxa"/>
              <w:right w:w="57" w:type="dxa"/>
            </w:tcMar>
            <w:vAlign w:val="center"/>
          </w:tcPr>
          <w:p w14:paraId="33D442E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投资总概算（万元）</w:t>
            </w:r>
          </w:p>
        </w:tc>
        <w:tc>
          <w:tcPr>
            <w:tcW w:w="1701" w:type="pct"/>
            <w:gridSpan w:val="6"/>
            <w:noWrap w:val="0"/>
            <w:tcMar>
              <w:left w:w="57" w:type="dxa"/>
              <w:right w:w="57" w:type="dxa"/>
            </w:tcMar>
            <w:vAlign w:val="center"/>
          </w:tcPr>
          <w:p w14:paraId="17AEE88C">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515</w:t>
            </w:r>
          </w:p>
        </w:tc>
        <w:tc>
          <w:tcPr>
            <w:tcW w:w="735" w:type="pct"/>
            <w:gridSpan w:val="2"/>
            <w:noWrap w:val="0"/>
            <w:tcMar>
              <w:left w:w="57" w:type="dxa"/>
              <w:right w:w="57" w:type="dxa"/>
            </w:tcMar>
            <w:vAlign w:val="center"/>
          </w:tcPr>
          <w:p w14:paraId="7D8D697F">
            <w:pPr>
              <w:keepNext w:val="0"/>
              <w:keepLines w:val="0"/>
              <w:pageBreakBefore w:val="0"/>
              <w:widowControl/>
              <w:tabs>
                <w:tab w:val="left" w:pos="690"/>
              </w:tabs>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环保投资总概算（万元）</w:t>
            </w:r>
          </w:p>
        </w:tc>
        <w:tc>
          <w:tcPr>
            <w:tcW w:w="501" w:type="pct"/>
            <w:noWrap w:val="0"/>
            <w:tcMar>
              <w:left w:w="57" w:type="dxa"/>
              <w:right w:w="57" w:type="dxa"/>
            </w:tcMar>
            <w:vAlign w:val="center"/>
          </w:tcPr>
          <w:p w14:paraId="7CC4307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61</w:t>
            </w:r>
          </w:p>
        </w:tc>
        <w:tc>
          <w:tcPr>
            <w:tcW w:w="506" w:type="pct"/>
            <w:gridSpan w:val="2"/>
            <w:noWrap w:val="0"/>
            <w:tcMar>
              <w:left w:w="57" w:type="dxa"/>
              <w:right w:w="57" w:type="dxa"/>
            </w:tcMar>
            <w:vAlign w:val="center"/>
          </w:tcPr>
          <w:p w14:paraId="0E1DA9E3">
            <w:pPr>
              <w:keepNext w:val="0"/>
              <w:keepLines w:val="0"/>
              <w:pageBreakBefore w:val="0"/>
              <w:widowControl/>
              <w:tabs>
                <w:tab w:val="left" w:pos="690"/>
              </w:tabs>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所占比例（%）</w:t>
            </w:r>
          </w:p>
        </w:tc>
        <w:tc>
          <w:tcPr>
            <w:tcW w:w="806" w:type="pct"/>
            <w:gridSpan w:val="4"/>
            <w:noWrap w:val="0"/>
            <w:tcMar>
              <w:left w:w="57" w:type="dxa"/>
              <w:right w:w="57" w:type="dxa"/>
            </w:tcMar>
            <w:vAlign w:val="center"/>
          </w:tcPr>
          <w:p w14:paraId="5D39B47A">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11.84</w:t>
            </w:r>
          </w:p>
        </w:tc>
      </w:tr>
      <w:tr w14:paraId="33E6D1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31" w:type="pct"/>
            <w:vMerge w:val="continue"/>
            <w:noWrap w:val="0"/>
            <w:tcMar>
              <w:left w:w="57" w:type="dxa"/>
              <w:right w:w="57" w:type="dxa"/>
            </w:tcMar>
            <w:vAlign w:val="center"/>
          </w:tcPr>
          <w:p w14:paraId="489FC1A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617" w:type="pct"/>
            <w:gridSpan w:val="3"/>
            <w:noWrap w:val="0"/>
            <w:tcMar>
              <w:left w:w="57" w:type="dxa"/>
              <w:right w:w="57" w:type="dxa"/>
            </w:tcMar>
            <w:vAlign w:val="top"/>
          </w:tcPr>
          <w:p w14:paraId="08C1A50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实际总投资</w:t>
            </w:r>
          </w:p>
        </w:tc>
        <w:tc>
          <w:tcPr>
            <w:tcW w:w="1701" w:type="pct"/>
            <w:gridSpan w:val="6"/>
            <w:noWrap w:val="0"/>
            <w:tcMar>
              <w:left w:w="57" w:type="dxa"/>
              <w:right w:w="57" w:type="dxa"/>
            </w:tcMar>
            <w:vAlign w:val="center"/>
          </w:tcPr>
          <w:p w14:paraId="2FF1A9A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450</w:t>
            </w:r>
          </w:p>
        </w:tc>
        <w:tc>
          <w:tcPr>
            <w:tcW w:w="735" w:type="pct"/>
            <w:gridSpan w:val="2"/>
            <w:noWrap w:val="0"/>
            <w:tcMar>
              <w:left w:w="57" w:type="dxa"/>
              <w:right w:w="57" w:type="dxa"/>
            </w:tcMar>
            <w:vAlign w:val="center"/>
          </w:tcPr>
          <w:p w14:paraId="367E19D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实际环保投资（万元）</w:t>
            </w:r>
          </w:p>
        </w:tc>
        <w:tc>
          <w:tcPr>
            <w:tcW w:w="501" w:type="pct"/>
            <w:noWrap w:val="0"/>
            <w:tcMar>
              <w:left w:w="57" w:type="dxa"/>
              <w:right w:w="57" w:type="dxa"/>
            </w:tcMar>
            <w:vAlign w:val="center"/>
          </w:tcPr>
          <w:p w14:paraId="58EAB6E0">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35</w:t>
            </w:r>
          </w:p>
        </w:tc>
        <w:tc>
          <w:tcPr>
            <w:tcW w:w="506" w:type="pct"/>
            <w:gridSpan w:val="2"/>
            <w:noWrap w:val="0"/>
            <w:tcMar>
              <w:left w:w="57" w:type="dxa"/>
              <w:right w:w="57" w:type="dxa"/>
            </w:tcMar>
            <w:vAlign w:val="center"/>
          </w:tcPr>
          <w:p w14:paraId="3ECCC4C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所占比例（%）</w:t>
            </w:r>
          </w:p>
        </w:tc>
        <w:tc>
          <w:tcPr>
            <w:tcW w:w="806" w:type="pct"/>
            <w:gridSpan w:val="4"/>
            <w:noWrap w:val="0"/>
            <w:tcMar>
              <w:left w:w="57" w:type="dxa"/>
              <w:right w:w="57" w:type="dxa"/>
            </w:tcMar>
            <w:vAlign w:val="center"/>
          </w:tcPr>
          <w:p w14:paraId="2AFFFEA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7.78</w:t>
            </w:r>
          </w:p>
        </w:tc>
      </w:tr>
      <w:tr w14:paraId="6BF66B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11" w:hRule="atLeast"/>
          <w:jc w:val="center"/>
        </w:trPr>
        <w:tc>
          <w:tcPr>
            <w:tcW w:w="131" w:type="pct"/>
            <w:vMerge w:val="continue"/>
            <w:noWrap w:val="0"/>
            <w:tcMar>
              <w:left w:w="57" w:type="dxa"/>
              <w:right w:w="57" w:type="dxa"/>
            </w:tcMar>
            <w:vAlign w:val="center"/>
          </w:tcPr>
          <w:p w14:paraId="64CE85B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617" w:type="pct"/>
            <w:gridSpan w:val="3"/>
            <w:noWrap w:val="0"/>
            <w:tcMar>
              <w:left w:w="57" w:type="dxa"/>
              <w:right w:w="57" w:type="dxa"/>
            </w:tcMar>
            <w:vAlign w:val="center"/>
          </w:tcPr>
          <w:p w14:paraId="522D7CC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废水治理（万元）</w:t>
            </w:r>
          </w:p>
        </w:tc>
        <w:tc>
          <w:tcPr>
            <w:tcW w:w="260" w:type="pct"/>
            <w:noWrap w:val="0"/>
            <w:tcMar>
              <w:left w:w="57" w:type="dxa"/>
              <w:right w:w="57" w:type="dxa"/>
            </w:tcMar>
            <w:vAlign w:val="center"/>
          </w:tcPr>
          <w:p w14:paraId="6AA838B0">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17</w:t>
            </w:r>
          </w:p>
        </w:tc>
        <w:tc>
          <w:tcPr>
            <w:tcW w:w="434" w:type="pct"/>
            <w:noWrap w:val="0"/>
            <w:tcMar>
              <w:left w:w="57" w:type="dxa"/>
              <w:right w:w="57" w:type="dxa"/>
            </w:tcMar>
            <w:vAlign w:val="center"/>
          </w:tcPr>
          <w:p w14:paraId="121C2F23">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废气治理（万元）</w:t>
            </w:r>
          </w:p>
        </w:tc>
        <w:tc>
          <w:tcPr>
            <w:tcW w:w="344" w:type="pct"/>
            <w:noWrap w:val="0"/>
            <w:tcMar>
              <w:left w:w="57" w:type="dxa"/>
              <w:right w:w="57" w:type="dxa"/>
            </w:tcMar>
            <w:vAlign w:val="center"/>
          </w:tcPr>
          <w:p w14:paraId="377BDDE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11</w:t>
            </w:r>
          </w:p>
        </w:tc>
        <w:tc>
          <w:tcPr>
            <w:tcW w:w="473" w:type="pct"/>
            <w:gridSpan w:val="2"/>
            <w:noWrap w:val="0"/>
            <w:tcMar>
              <w:left w:w="57" w:type="dxa"/>
              <w:right w:w="57" w:type="dxa"/>
            </w:tcMar>
            <w:vAlign w:val="center"/>
          </w:tcPr>
          <w:p w14:paraId="224E3D59">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噪声治理（万元）</w:t>
            </w:r>
          </w:p>
        </w:tc>
        <w:tc>
          <w:tcPr>
            <w:tcW w:w="189" w:type="pct"/>
            <w:noWrap w:val="0"/>
            <w:tcMar>
              <w:left w:w="57" w:type="dxa"/>
              <w:right w:w="57" w:type="dxa"/>
            </w:tcMar>
            <w:vAlign w:val="center"/>
          </w:tcPr>
          <w:p w14:paraId="714561B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1</w:t>
            </w:r>
          </w:p>
        </w:tc>
        <w:tc>
          <w:tcPr>
            <w:tcW w:w="735" w:type="pct"/>
            <w:gridSpan w:val="2"/>
            <w:noWrap w:val="0"/>
            <w:tcMar>
              <w:left w:w="57" w:type="dxa"/>
              <w:right w:w="57" w:type="dxa"/>
            </w:tcMar>
            <w:vAlign w:val="center"/>
          </w:tcPr>
          <w:p w14:paraId="2C990BA8">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固</w:t>
            </w:r>
            <w:r>
              <w:rPr>
                <w:rFonts w:hint="eastAsia" w:ascii="Tahoma" w:hAnsi="Tahoma" w:eastAsia="微软雅黑" w:cs="Times New Roman"/>
                <w:b/>
                <w:color w:val="auto"/>
                <w:kern w:val="2"/>
                <w:sz w:val="13"/>
                <w:szCs w:val="13"/>
                <w:highlight w:val="none"/>
              </w:rPr>
              <w:t>体</w:t>
            </w:r>
            <w:r>
              <w:rPr>
                <w:rFonts w:ascii="Tahoma" w:hAnsi="Tahoma" w:eastAsia="微软雅黑" w:cs="Times New Roman"/>
                <w:b/>
                <w:color w:val="auto"/>
                <w:kern w:val="2"/>
                <w:sz w:val="13"/>
                <w:szCs w:val="13"/>
                <w:highlight w:val="none"/>
              </w:rPr>
              <w:t>废</w:t>
            </w:r>
            <w:r>
              <w:rPr>
                <w:rFonts w:hint="eastAsia" w:ascii="Tahoma" w:hAnsi="Tahoma" w:eastAsia="微软雅黑" w:cs="Times New Roman"/>
                <w:b/>
                <w:color w:val="auto"/>
                <w:kern w:val="2"/>
                <w:sz w:val="13"/>
                <w:szCs w:val="13"/>
                <w:highlight w:val="none"/>
              </w:rPr>
              <w:t>物</w:t>
            </w:r>
            <w:r>
              <w:rPr>
                <w:rFonts w:ascii="Tahoma" w:hAnsi="Tahoma" w:eastAsia="微软雅黑" w:cs="Times New Roman"/>
                <w:b/>
                <w:color w:val="auto"/>
                <w:kern w:val="2"/>
                <w:sz w:val="13"/>
                <w:szCs w:val="13"/>
                <w:highlight w:val="none"/>
              </w:rPr>
              <w:t>治理（万元）</w:t>
            </w:r>
          </w:p>
        </w:tc>
        <w:tc>
          <w:tcPr>
            <w:tcW w:w="501" w:type="pct"/>
            <w:noWrap w:val="0"/>
            <w:tcMar>
              <w:left w:w="57" w:type="dxa"/>
              <w:right w:w="57" w:type="dxa"/>
            </w:tcMar>
            <w:vAlign w:val="center"/>
          </w:tcPr>
          <w:p w14:paraId="356C40C8">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6</w:t>
            </w:r>
          </w:p>
        </w:tc>
        <w:tc>
          <w:tcPr>
            <w:tcW w:w="506" w:type="pct"/>
            <w:gridSpan w:val="2"/>
            <w:noWrap w:val="0"/>
            <w:tcMar>
              <w:left w:w="57" w:type="dxa"/>
              <w:right w:w="57" w:type="dxa"/>
            </w:tcMar>
            <w:vAlign w:val="center"/>
          </w:tcPr>
          <w:p w14:paraId="75ABFF9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绿化及生态（万元）</w:t>
            </w:r>
          </w:p>
        </w:tc>
        <w:tc>
          <w:tcPr>
            <w:tcW w:w="208" w:type="pct"/>
            <w:noWrap w:val="0"/>
            <w:tcMar>
              <w:left w:w="57" w:type="dxa"/>
              <w:right w:w="57" w:type="dxa"/>
            </w:tcMar>
            <w:vAlign w:val="center"/>
          </w:tcPr>
          <w:p w14:paraId="5149B70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hint="eastAsia"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0</w:t>
            </w:r>
          </w:p>
        </w:tc>
        <w:tc>
          <w:tcPr>
            <w:tcW w:w="346" w:type="pct"/>
            <w:gridSpan w:val="2"/>
            <w:noWrap w:val="0"/>
            <w:tcMar>
              <w:left w:w="57" w:type="dxa"/>
              <w:right w:w="57" w:type="dxa"/>
            </w:tcMar>
            <w:vAlign w:val="center"/>
          </w:tcPr>
          <w:p w14:paraId="1AE484F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其</w:t>
            </w:r>
            <w:r>
              <w:rPr>
                <w:rFonts w:hint="eastAsia" w:ascii="Tahoma" w:hAnsi="Tahoma" w:eastAsia="微软雅黑" w:cs="Times New Roman"/>
                <w:b/>
                <w:color w:val="auto"/>
                <w:kern w:val="2"/>
                <w:sz w:val="13"/>
                <w:szCs w:val="13"/>
                <w:highlight w:val="none"/>
              </w:rPr>
              <w:t>他</w:t>
            </w:r>
            <w:r>
              <w:rPr>
                <w:rFonts w:ascii="Tahoma" w:hAnsi="Tahoma" w:eastAsia="微软雅黑" w:cs="Times New Roman"/>
                <w:b/>
                <w:color w:val="auto"/>
                <w:kern w:val="2"/>
                <w:sz w:val="13"/>
                <w:szCs w:val="13"/>
                <w:highlight w:val="none"/>
              </w:rPr>
              <w:t>（万元）</w:t>
            </w:r>
          </w:p>
        </w:tc>
        <w:tc>
          <w:tcPr>
            <w:tcW w:w="252" w:type="pct"/>
            <w:noWrap w:val="0"/>
            <w:tcMar>
              <w:left w:w="57" w:type="dxa"/>
              <w:right w:w="57" w:type="dxa"/>
            </w:tcMar>
            <w:vAlign w:val="top"/>
          </w:tcPr>
          <w:p w14:paraId="3305AEC9">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hint="eastAsia"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0</w:t>
            </w:r>
          </w:p>
        </w:tc>
      </w:tr>
      <w:tr w14:paraId="3E29F4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31" w:type="pct"/>
            <w:vMerge w:val="continue"/>
            <w:noWrap w:val="0"/>
            <w:tcMar>
              <w:left w:w="57" w:type="dxa"/>
              <w:right w:w="57" w:type="dxa"/>
            </w:tcMar>
            <w:vAlign w:val="center"/>
          </w:tcPr>
          <w:p w14:paraId="4DE3836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617" w:type="pct"/>
            <w:gridSpan w:val="3"/>
            <w:noWrap w:val="0"/>
            <w:tcMar>
              <w:left w:w="57" w:type="dxa"/>
              <w:right w:w="57" w:type="dxa"/>
            </w:tcMar>
            <w:vAlign w:val="center"/>
          </w:tcPr>
          <w:p w14:paraId="18431E6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新增废水处理设施能力</w:t>
            </w:r>
          </w:p>
        </w:tc>
        <w:tc>
          <w:tcPr>
            <w:tcW w:w="1701" w:type="pct"/>
            <w:gridSpan w:val="6"/>
            <w:noWrap w:val="0"/>
            <w:tcMar>
              <w:left w:w="57" w:type="dxa"/>
              <w:right w:w="57" w:type="dxa"/>
            </w:tcMar>
            <w:vAlign w:val="top"/>
          </w:tcPr>
          <w:p w14:paraId="2937D91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735" w:type="pct"/>
            <w:gridSpan w:val="2"/>
            <w:noWrap w:val="0"/>
            <w:tcMar>
              <w:left w:w="57" w:type="dxa"/>
              <w:right w:w="57" w:type="dxa"/>
            </w:tcMar>
            <w:vAlign w:val="top"/>
          </w:tcPr>
          <w:p w14:paraId="1CFEC258">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新增废气处理设施能力</w:t>
            </w:r>
          </w:p>
        </w:tc>
        <w:tc>
          <w:tcPr>
            <w:tcW w:w="501" w:type="pct"/>
            <w:noWrap w:val="0"/>
            <w:tcMar>
              <w:left w:w="57" w:type="dxa"/>
              <w:right w:w="57" w:type="dxa"/>
            </w:tcMar>
            <w:vAlign w:val="top"/>
          </w:tcPr>
          <w:p w14:paraId="5B26629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506" w:type="pct"/>
            <w:gridSpan w:val="2"/>
            <w:noWrap w:val="0"/>
            <w:tcMar>
              <w:left w:w="57" w:type="dxa"/>
              <w:right w:w="57" w:type="dxa"/>
            </w:tcMar>
            <w:vAlign w:val="top"/>
          </w:tcPr>
          <w:p w14:paraId="032B65D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年平均工作时</w:t>
            </w:r>
          </w:p>
        </w:tc>
        <w:tc>
          <w:tcPr>
            <w:tcW w:w="806" w:type="pct"/>
            <w:gridSpan w:val="4"/>
            <w:noWrap w:val="0"/>
            <w:tcMar>
              <w:left w:w="57" w:type="dxa"/>
              <w:right w:w="57" w:type="dxa"/>
            </w:tcMar>
            <w:vAlign w:val="center"/>
          </w:tcPr>
          <w:p w14:paraId="6CD1E8C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2920</w:t>
            </w:r>
          </w:p>
        </w:tc>
      </w:tr>
      <w:tr w14:paraId="40535A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749" w:type="pct"/>
            <w:gridSpan w:val="4"/>
            <w:noWrap w:val="0"/>
            <w:tcMar>
              <w:left w:w="57" w:type="dxa"/>
              <w:right w:w="57" w:type="dxa"/>
            </w:tcMar>
            <w:vAlign w:val="center"/>
          </w:tcPr>
          <w:p w14:paraId="46F672FC">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运营单位</w:t>
            </w:r>
          </w:p>
        </w:tc>
        <w:tc>
          <w:tcPr>
            <w:tcW w:w="1351" w:type="pct"/>
            <w:gridSpan w:val="4"/>
            <w:noWrap w:val="0"/>
            <w:tcMar>
              <w:left w:w="57" w:type="dxa"/>
              <w:right w:w="57" w:type="dxa"/>
            </w:tcMar>
            <w:vAlign w:val="center"/>
          </w:tcPr>
          <w:p w14:paraId="031842F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r>
              <w:rPr>
                <w:rFonts w:hint="eastAsia" w:ascii="Tahoma" w:hAnsi="Tahoma" w:eastAsia="微软雅黑" w:cs="Times New Roman"/>
                <w:color w:val="auto"/>
                <w:kern w:val="2"/>
                <w:sz w:val="13"/>
                <w:szCs w:val="13"/>
                <w:highlight w:val="none"/>
                <w:lang w:val="en-US" w:eastAsia="zh-CN"/>
              </w:rPr>
              <w:t>本溪市华宇木业有限公司</w:t>
            </w:r>
          </w:p>
        </w:tc>
        <w:tc>
          <w:tcPr>
            <w:tcW w:w="1084" w:type="pct"/>
            <w:gridSpan w:val="4"/>
            <w:noWrap w:val="0"/>
            <w:tcMar>
              <w:left w:w="57" w:type="dxa"/>
              <w:right w:w="57" w:type="dxa"/>
            </w:tcMar>
            <w:vAlign w:val="center"/>
          </w:tcPr>
          <w:p w14:paraId="41A8324E">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运营单位</w:t>
            </w:r>
            <w:r>
              <w:rPr>
                <w:rFonts w:hint="eastAsia" w:ascii="Tahoma" w:hAnsi="Tahoma" w:eastAsia="微软雅黑" w:cs="Times New Roman"/>
                <w:b/>
                <w:color w:val="auto"/>
                <w:kern w:val="2"/>
                <w:sz w:val="13"/>
                <w:szCs w:val="13"/>
                <w:highlight w:val="none"/>
              </w:rPr>
              <w:t>统一社会信用代码（或组织机构代码）</w:t>
            </w:r>
          </w:p>
        </w:tc>
        <w:tc>
          <w:tcPr>
            <w:tcW w:w="501" w:type="pct"/>
            <w:noWrap w:val="0"/>
            <w:tcMar>
              <w:left w:w="57" w:type="dxa"/>
              <w:right w:w="57" w:type="dxa"/>
            </w:tcMar>
            <w:vAlign w:val="center"/>
          </w:tcPr>
          <w:p w14:paraId="739664C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91210502MA0U0L6774</w:t>
            </w:r>
          </w:p>
        </w:tc>
        <w:tc>
          <w:tcPr>
            <w:tcW w:w="506" w:type="pct"/>
            <w:gridSpan w:val="2"/>
            <w:noWrap w:val="0"/>
            <w:tcMar>
              <w:left w:w="57" w:type="dxa"/>
              <w:right w:w="57" w:type="dxa"/>
            </w:tcMar>
            <w:vAlign w:val="top"/>
          </w:tcPr>
          <w:p w14:paraId="4DF7387C">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验收时间</w:t>
            </w:r>
          </w:p>
        </w:tc>
        <w:tc>
          <w:tcPr>
            <w:tcW w:w="806" w:type="pct"/>
            <w:gridSpan w:val="4"/>
            <w:noWrap w:val="0"/>
            <w:tcMar>
              <w:left w:w="57" w:type="dxa"/>
              <w:right w:w="57" w:type="dxa"/>
            </w:tcMar>
            <w:vAlign w:val="top"/>
          </w:tcPr>
          <w:p w14:paraId="2ECC1E33">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2024年12月</w:t>
            </w:r>
          </w:p>
        </w:tc>
      </w:tr>
      <w:tr w14:paraId="53719A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84" w:type="pct"/>
            <w:gridSpan w:val="2"/>
            <w:vMerge w:val="restart"/>
            <w:noWrap w:val="0"/>
            <w:tcMar>
              <w:left w:w="57" w:type="dxa"/>
              <w:right w:w="57" w:type="dxa"/>
            </w:tcMar>
            <w:vAlign w:val="center"/>
          </w:tcPr>
          <w:p w14:paraId="7C226EA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黑体" w:cs="Times New Roman"/>
                <w:b/>
                <w:color w:val="auto"/>
                <w:spacing w:val="20"/>
                <w:kern w:val="2"/>
                <w:sz w:val="13"/>
                <w:szCs w:val="13"/>
                <w:highlight w:val="none"/>
              </w:rPr>
            </w:pPr>
            <w:r>
              <w:rPr>
                <w:rFonts w:ascii="Tahoma" w:hAnsi="Tahoma" w:eastAsia="黑体" w:cs="Times New Roman"/>
                <w:b/>
                <w:color w:val="auto"/>
                <w:spacing w:val="20"/>
                <w:kern w:val="2"/>
                <w:sz w:val="13"/>
                <w:szCs w:val="13"/>
                <w:highlight w:val="none"/>
              </w:rPr>
              <w:t>污染</w:t>
            </w:r>
          </w:p>
          <w:p w14:paraId="41DD778E">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黑体" w:cs="Times New Roman"/>
                <w:b/>
                <w:color w:val="auto"/>
                <w:spacing w:val="20"/>
                <w:kern w:val="2"/>
                <w:sz w:val="13"/>
                <w:szCs w:val="13"/>
                <w:highlight w:val="none"/>
              </w:rPr>
            </w:pPr>
            <w:r>
              <w:rPr>
                <w:rFonts w:ascii="Tahoma" w:hAnsi="Tahoma" w:eastAsia="黑体" w:cs="Times New Roman"/>
                <w:b/>
                <w:color w:val="auto"/>
                <w:spacing w:val="20"/>
                <w:kern w:val="2"/>
                <w:sz w:val="13"/>
                <w:szCs w:val="13"/>
                <w:highlight w:val="none"/>
              </w:rPr>
              <w:t>物排</w:t>
            </w:r>
          </w:p>
          <w:p w14:paraId="7125F87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黑体" w:cs="Times New Roman"/>
                <w:b/>
                <w:color w:val="auto"/>
                <w:spacing w:val="20"/>
                <w:kern w:val="2"/>
                <w:sz w:val="13"/>
                <w:szCs w:val="13"/>
                <w:highlight w:val="none"/>
              </w:rPr>
            </w:pPr>
            <w:r>
              <w:rPr>
                <w:rFonts w:ascii="Tahoma" w:hAnsi="Tahoma" w:eastAsia="黑体" w:cs="Times New Roman"/>
                <w:b/>
                <w:color w:val="auto"/>
                <w:spacing w:val="20"/>
                <w:kern w:val="2"/>
                <w:sz w:val="13"/>
                <w:szCs w:val="13"/>
                <w:highlight w:val="none"/>
              </w:rPr>
              <w:t>放达</w:t>
            </w:r>
          </w:p>
          <w:p w14:paraId="1C1FDAB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黑体" w:cs="Times New Roman"/>
                <w:b/>
                <w:color w:val="auto"/>
                <w:spacing w:val="20"/>
                <w:kern w:val="2"/>
                <w:sz w:val="13"/>
                <w:szCs w:val="13"/>
                <w:highlight w:val="none"/>
              </w:rPr>
            </w:pPr>
            <w:r>
              <w:rPr>
                <w:rFonts w:ascii="Tahoma" w:hAnsi="Tahoma" w:eastAsia="黑体" w:cs="Times New Roman"/>
                <w:b/>
                <w:color w:val="auto"/>
                <w:spacing w:val="20"/>
                <w:kern w:val="2"/>
                <w:sz w:val="13"/>
                <w:szCs w:val="13"/>
                <w:highlight w:val="none"/>
              </w:rPr>
              <w:t>标与</w:t>
            </w:r>
          </w:p>
          <w:p w14:paraId="1C667C7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黑体" w:cs="Times New Roman"/>
                <w:b/>
                <w:color w:val="auto"/>
                <w:spacing w:val="20"/>
                <w:kern w:val="2"/>
                <w:sz w:val="13"/>
                <w:szCs w:val="13"/>
                <w:highlight w:val="none"/>
              </w:rPr>
            </w:pPr>
            <w:r>
              <w:rPr>
                <w:rFonts w:ascii="Tahoma" w:hAnsi="Tahoma" w:eastAsia="黑体" w:cs="Times New Roman"/>
                <w:b/>
                <w:color w:val="auto"/>
                <w:spacing w:val="20"/>
                <w:kern w:val="2"/>
                <w:sz w:val="13"/>
                <w:szCs w:val="13"/>
                <w:highlight w:val="none"/>
              </w:rPr>
              <w:t>总量</w:t>
            </w:r>
          </w:p>
          <w:p w14:paraId="567E1B4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黑体" w:cs="Times New Roman"/>
                <w:b/>
                <w:color w:val="auto"/>
                <w:spacing w:val="20"/>
                <w:kern w:val="2"/>
                <w:sz w:val="13"/>
                <w:szCs w:val="13"/>
                <w:highlight w:val="none"/>
              </w:rPr>
            </w:pPr>
            <w:r>
              <w:rPr>
                <w:rFonts w:ascii="Tahoma" w:hAnsi="Tahoma" w:eastAsia="黑体" w:cs="Times New Roman"/>
                <w:b/>
                <w:color w:val="auto"/>
                <w:spacing w:val="20"/>
                <w:kern w:val="2"/>
                <w:sz w:val="13"/>
                <w:szCs w:val="13"/>
                <w:highlight w:val="none"/>
              </w:rPr>
              <w:t>控制（工</w:t>
            </w:r>
          </w:p>
          <w:p w14:paraId="04F3AF8E">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黑体" w:cs="Times New Roman"/>
                <w:b/>
                <w:color w:val="auto"/>
                <w:spacing w:val="20"/>
                <w:kern w:val="2"/>
                <w:sz w:val="13"/>
                <w:szCs w:val="13"/>
                <w:highlight w:val="none"/>
              </w:rPr>
            </w:pPr>
            <w:r>
              <w:rPr>
                <w:rFonts w:ascii="Tahoma" w:hAnsi="Tahoma" w:eastAsia="黑体" w:cs="Times New Roman"/>
                <w:b/>
                <w:color w:val="auto"/>
                <w:spacing w:val="20"/>
                <w:kern w:val="2"/>
                <w:sz w:val="13"/>
                <w:szCs w:val="13"/>
                <w:highlight w:val="none"/>
              </w:rPr>
              <w:t>业建</w:t>
            </w:r>
          </w:p>
          <w:p w14:paraId="6071C8B3">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黑体" w:cs="Times New Roman"/>
                <w:b/>
                <w:color w:val="auto"/>
                <w:spacing w:val="20"/>
                <w:kern w:val="2"/>
                <w:sz w:val="13"/>
                <w:szCs w:val="13"/>
                <w:highlight w:val="none"/>
              </w:rPr>
            </w:pPr>
            <w:r>
              <w:rPr>
                <w:rFonts w:ascii="Tahoma" w:hAnsi="Tahoma" w:eastAsia="黑体" w:cs="Times New Roman"/>
                <w:b/>
                <w:color w:val="auto"/>
                <w:spacing w:val="20"/>
                <w:kern w:val="2"/>
                <w:sz w:val="13"/>
                <w:szCs w:val="13"/>
                <w:highlight w:val="none"/>
              </w:rPr>
              <w:t>设项</w:t>
            </w:r>
          </w:p>
          <w:p w14:paraId="34316B6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黑体" w:cs="Times New Roman"/>
                <w:b/>
                <w:color w:val="auto"/>
                <w:spacing w:val="20"/>
                <w:kern w:val="2"/>
                <w:sz w:val="13"/>
                <w:szCs w:val="13"/>
                <w:highlight w:val="none"/>
              </w:rPr>
            </w:pPr>
            <w:r>
              <w:rPr>
                <w:rFonts w:ascii="Tahoma" w:hAnsi="Tahoma" w:eastAsia="黑体" w:cs="Times New Roman"/>
                <w:b/>
                <w:color w:val="auto"/>
                <w:spacing w:val="20"/>
                <w:kern w:val="2"/>
                <w:sz w:val="13"/>
                <w:szCs w:val="13"/>
                <w:highlight w:val="none"/>
              </w:rPr>
              <w:t>目详填）</w:t>
            </w:r>
          </w:p>
        </w:tc>
        <w:tc>
          <w:tcPr>
            <w:tcW w:w="565" w:type="pct"/>
            <w:gridSpan w:val="2"/>
            <w:noWrap w:val="0"/>
            <w:tcMar>
              <w:left w:w="57" w:type="dxa"/>
              <w:right w:w="57" w:type="dxa"/>
            </w:tcMar>
            <w:vAlign w:val="center"/>
          </w:tcPr>
          <w:p w14:paraId="626FE57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污染物</w:t>
            </w:r>
          </w:p>
        </w:tc>
        <w:tc>
          <w:tcPr>
            <w:tcW w:w="260" w:type="pct"/>
            <w:noWrap w:val="0"/>
            <w:tcMar>
              <w:left w:w="57" w:type="dxa"/>
              <w:right w:w="57" w:type="dxa"/>
            </w:tcMar>
            <w:vAlign w:val="center"/>
          </w:tcPr>
          <w:p w14:paraId="2F7BD518">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原有排</w:t>
            </w:r>
          </w:p>
          <w:p w14:paraId="2B00AA2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放量(1)</w:t>
            </w:r>
          </w:p>
        </w:tc>
        <w:tc>
          <w:tcPr>
            <w:tcW w:w="434" w:type="pct"/>
            <w:noWrap w:val="0"/>
            <w:tcMar>
              <w:left w:w="57" w:type="dxa"/>
              <w:right w:w="57" w:type="dxa"/>
            </w:tcMar>
            <w:vAlign w:val="center"/>
          </w:tcPr>
          <w:p w14:paraId="6B90C0D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本期工程实际排放浓度(2)</w:t>
            </w:r>
          </w:p>
        </w:tc>
        <w:tc>
          <w:tcPr>
            <w:tcW w:w="344" w:type="pct"/>
            <w:noWrap w:val="0"/>
            <w:tcMar>
              <w:left w:w="57" w:type="dxa"/>
              <w:right w:w="57" w:type="dxa"/>
            </w:tcMar>
            <w:vAlign w:val="center"/>
          </w:tcPr>
          <w:p w14:paraId="2812BD0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本期工程允许排放浓度(3)</w:t>
            </w:r>
          </w:p>
        </w:tc>
        <w:tc>
          <w:tcPr>
            <w:tcW w:w="313" w:type="pct"/>
            <w:noWrap w:val="0"/>
            <w:tcMar>
              <w:left w:w="57" w:type="dxa"/>
              <w:right w:w="57" w:type="dxa"/>
            </w:tcMar>
            <w:vAlign w:val="center"/>
          </w:tcPr>
          <w:p w14:paraId="2E526773">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本期工程产生量(4)</w:t>
            </w:r>
          </w:p>
        </w:tc>
        <w:tc>
          <w:tcPr>
            <w:tcW w:w="349" w:type="pct"/>
            <w:gridSpan w:val="2"/>
            <w:noWrap w:val="0"/>
            <w:tcMar>
              <w:left w:w="57" w:type="dxa"/>
              <w:right w:w="57" w:type="dxa"/>
            </w:tcMar>
            <w:vAlign w:val="center"/>
          </w:tcPr>
          <w:p w14:paraId="63EEEA7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本期工程自身削减量(5)</w:t>
            </w:r>
          </w:p>
        </w:tc>
        <w:tc>
          <w:tcPr>
            <w:tcW w:w="358" w:type="pct"/>
            <w:noWrap w:val="0"/>
            <w:tcMar>
              <w:left w:w="57" w:type="dxa"/>
              <w:right w:w="57" w:type="dxa"/>
            </w:tcMar>
            <w:vAlign w:val="center"/>
          </w:tcPr>
          <w:p w14:paraId="320F9B9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本期工程实际排放量(6)</w:t>
            </w:r>
          </w:p>
        </w:tc>
        <w:tc>
          <w:tcPr>
            <w:tcW w:w="377" w:type="pct"/>
            <w:noWrap w:val="0"/>
            <w:tcMar>
              <w:left w:w="57" w:type="dxa"/>
              <w:right w:w="57" w:type="dxa"/>
            </w:tcMar>
            <w:vAlign w:val="center"/>
          </w:tcPr>
          <w:p w14:paraId="11097C3C">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本期工程核定排放总量(7)</w:t>
            </w:r>
          </w:p>
        </w:tc>
        <w:tc>
          <w:tcPr>
            <w:tcW w:w="501" w:type="pct"/>
            <w:noWrap w:val="0"/>
            <w:tcMar>
              <w:left w:w="57" w:type="dxa"/>
              <w:right w:w="57" w:type="dxa"/>
            </w:tcMar>
            <w:vAlign w:val="center"/>
          </w:tcPr>
          <w:p w14:paraId="4408593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本期工程“以新带老”削减量(8)</w:t>
            </w:r>
          </w:p>
        </w:tc>
        <w:tc>
          <w:tcPr>
            <w:tcW w:w="322" w:type="pct"/>
            <w:noWrap w:val="0"/>
            <w:tcMar>
              <w:left w:w="57" w:type="dxa"/>
              <w:right w:w="57" w:type="dxa"/>
            </w:tcMar>
            <w:vAlign w:val="center"/>
          </w:tcPr>
          <w:p w14:paraId="2898185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全厂实际排放总量(9)</w:t>
            </w:r>
          </w:p>
        </w:tc>
        <w:tc>
          <w:tcPr>
            <w:tcW w:w="392" w:type="pct"/>
            <w:gridSpan w:val="2"/>
            <w:noWrap w:val="0"/>
            <w:tcMar>
              <w:left w:w="57" w:type="dxa"/>
              <w:right w:w="57" w:type="dxa"/>
            </w:tcMar>
            <w:vAlign w:val="center"/>
          </w:tcPr>
          <w:p w14:paraId="081835A0">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全厂核定排放总量(10)</w:t>
            </w:r>
          </w:p>
        </w:tc>
        <w:tc>
          <w:tcPr>
            <w:tcW w:w="346" w:type="pct"/>
            <w:gridSpan w:val="2"/>
            <w:noWrap w:val="0"/>
            <w:tcMar>
              <w:left w:w="57" w:type="dxa"/>
              <w:right w:w="57" w:type="dxa"/>
            </w:tcMar>
            <w:vAlign w:val="center"/>
          </w:tcPr>
          <w:p w14:paraId="13285F2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区域平衡替代削减量(11)</w:t>
            </w:r>
          </w:p>
        </w:tc>
        <w:tc>
          <w:tcPr>
            <w:tcW w:w="252" w:type="pct"/>
            <w:noWrap w:val="0"/>
            <w:tcMar>
              <w:left w:w="57" w:type="dxa"/>
              <w:right w:w="57" w:type="dxa"/>
            </w:tcMar>
            <w:vAlign w:val="center"/>
          </w:tcPr>
          <w:p w14:paraId="7738AB03">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排放增减量(12)</w:t>
            </w:r>
          </w:p>
        </w:tc>
      </w:tr>
      <w:tr w14:paraId="6AEB7C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84" w:type="pct"/>
            <w:gridSpan w:val="2"/>
            <w:vMerge w:val="continue"/>
            <w:noWrap w:val="0"/>
            <w:tcMar>
              <w:left w:w="57" w:type="dxa"/>
              <w:right w:w="57" w:type="dxa"/>
            </w:tcMar>
            <w:vAlign w:val="center"/>
          </w:tcPr>
          <w:p w14:paraId="274AA2B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565" w:type="pct"/>
            <w:gridSpan w:val="2"/>
            <w:noWrap w:val="0"/>
            <w:tcMar>
              <w:left w:w="57" w:type="dxa"/>
              <w:right w:w="57" w:type="dxa"/>
            </w:tcMar>
            <w:vAlign w:val="center"/>
          </w:tcPr>
          <w:p w14:paraId="78E09FF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废水</w:t>
            </w:r>
          </w:p>
        </w:tc>
        <w:tc>
          <w:tcPr>
            <w:tcW w:w="260" w:type="pct"/>
            <w:noWrap w:val="0"/>
            <w:tcMar>
              <w:left w:w="57" w:type="dxa"/>
              <w:right w:w="57" w:type="dxa"/>
            </w:tcMar>
            <w:vAlign w:val="center"/>
          </w:tcPr>
          <w:p w14:paraId="3F251B1E">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434" w:type="pct"/>
            <w:noWrap w:val="0"/>
            <w:tcMar>
              <w:left w:w="57" w:type="dxa"/>
              <w:right w:w="57" w:type="dxa"/>
            </w:tcMar>
            <w:vAlign w:val="center"/>
          </w:tcPr>
          <w:p w14:paraId="06C0761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4" w:type="pct"/>
            <w:noWrap w:val="0"/>
            <w:tcMar>
              <w:left w:w="57" w:type="dxa"/>
              <w:right w:w="57" w:type="dxa"/>
            </w:tcMar>
            <w:vAlign w:val="center"/>
          </w:tcPr>
          <w:p w14:paraId="40BD53C9">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13" w:type="pct"/>
            <w:noWrap w:val="0"/>
            <w:tcMar>
              <w:left w:w="57" w:type="dxa"/>
              <w:right w:w="57" w:type="dxa"/>
            </w:tcMar>
            <w:vAlign w:val="center"/>
          </w:tcPr>
          <w:p w14:paraId="0906225C">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9" w:type="pct"/>
            <w:gridSpan w:val="2"/>
            <w:noWrap w:val="0"/>
            <w:tcMar>
              <w:left w:w="57" w:type="dxa"/>
              <w:right w:w="57" w:type="dxa"/>
            </w:tcMar>
            <w:vAlign w:val="center"/>
          </w:tcPr>
          <w:p w14:paraId="58A560E8">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58" w:type="pct"/>
            <w:noWrap w:val="0"/>
            <w:tcMar>
              <w:left w:w="57" w:type="dxa"/>
              <w:right w:w="57" w:type="dxa"/>
            </w:tcMar>
            <w:vAlign w:val="center"/>
          </w:tcPr>
          <w:p w14:paraId="31AFFAC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77" w:type="pct"/>
            <w:noWrap w:val="0"/>
            <w:tcMar>
              <w:left w:w="57" w:type="dxa"/>
              <w:right w:w="57" w:type="dxa"/>
            </w:tcMar>
            <w:vAlign w:val="center"/>
          </w:tcPr>
          <w:p w14:paraId="5ADD994C">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501" w:type="pct"/>
            <w:noWrap w:val="0"/>
            <w:tcMar>
              <w:left w:w="57" w:type="dxa"/>
              <w:right w:w="57" w:type="dxa"/>
            </w:tcMar>
            <w:vAlign w:val="center"/>
          </w:tcPr>
          <w:p w14:paraId="1D26194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22" w:type="pct"/>
            <w:noWrap w:val="0"/>
            <w:tcMar>
              <w:left w:w="57" w:type="dxa"/>
              <w:right w:w="57" w:type="dxa"/>
            </w:tcMar>
            <w:vAlign w:val="center"/>
          </w:tcPr>
          <w:p w14:paraId="332E9609">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92" w:type="pct"/>
            <w:gridSpan w:val="2"/>
            <w:noWrap w:val="0"/>
            <w:tcMar>
              <w:left w:w="57" w:type="dxa"/>
              <w:right w:w="57" w:type="dxa"/>
            </w:tcMar>
            <w:vAlign w:val="center"/>
          </w:tcPr>
          <w:p w14:paraId="525586B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6" w:type="pct"/>
            <w:gridSpan w:val="2"/>
            <w:noWrap w:val="0"/>
            <w:tcMar>
              <w:left w:w="57" w:type="dxa"/>
              <w:right w:w="57" w:type="dxa"/>
            </w:tcMar>
            <w:vAlign w:val="center"/>
          </w:tcPr>
          <w:p w14:paraId="69C54F90">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252" w:type="pct"/>
            <w:noWrap w:val="0"/>
            <w:tcMar>
              <w:left w:w="57" w:type="dxa"/>
              <w:right w:w="57" w:type="dxa"/>
            </w:tcMar>
            <w:vAlign w:val="center"/>
          </w:tcPr>
          <w:p w14:paraId="4FD1DA1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r>
      <w:tr w14:paraId="4DBA26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84" w:type="pct"/>
            <w:gridSpan w:val="2"/>
            <w:vMerge w:val="continue"/>
            <w:noWrap w:val="0"/>
            <w:tcMar>
              <w:left w:w="57" w:type="dxa"/>
              <w:right w:w="57" w:type="dxa"/>
            </w:tcMar>
            <w:vAlign w:val="top"/>
          </w:tcPr>
          <w:p w14:paraId="1C2CF1FE">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565" w:type="pct"/>
            <w:gridSpan w:val="2"/>
            <w:noWrap w:val="0"/>
            <w:tcMar>
              <w:left w:w="57" w:type="dxa"/>
              <w:right w:w="57" w:type="dxa"/>
            </w:tcMar>
            <w:vAlign w:val="center"/>
          </w:tcPr>
          <w:p w14:paraId="3253B6E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化学需氧量</w:t>
            </w:r>
          </w:p>
        </w:tc>
        <w:tc>
          <w:tcPr>
            <w:tcW w:w="260" w:type="pct"/>
            <w:noWrap w:val="0"/>
            <w:tcMar>
              <w:left w:w="57" w:type="dxa"/>
              <w:right w:w="57" w:type="dxa"/>
            </w:tcMar>
            <w:vAlign w:val="center"/>
          </w:tcPr>
          <w:p w14:paraId="3FFFEFA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434" w:type="pct"/>
            <w:noWrap w:val="0"/>
            <w:tcMar>
              <w:left w:w="57" w:type="dxa"/>
              <w:right w:w="57" w:type="dxa"/>
            </w:tcMar>
            <w:vAlign w:val="center"/>
          </w:tcPr>
          <w:p w14:paraId="2826823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p>
        </w:tc>
        <w:tc>
          <w:tcPr>
            <w:tcW w:w="344" w:type="pct"/>
            <w:noWrap w:val="0"/>
            <w:tcMar>
              <w:left w:w="57" w:type="dxa"/>
              <w:right w:w="57" w:type="dxa"/>
            </w:tcMar>
            <w:vAlign w:val="center"/>
          </w:tcPr>
          <w:p w14:paraId="148C07F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p>
        </w:tc>
        <w:tc>
          <w:tcPr>
            <w:tcW w:w="313" w:type="pct"/>
            <w:noWrap w:val="0"/>
            <w:tcMar>
              <w:left w:w="57" w:type="dxa"/>
              <w:right w:w="57" w:type="dxa"/>
            </w:tcMar>
            <w:vAlign w:val="center"/>
          </w:tcPr>
          <w:p w14:paraId="0B64575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9" w:type="pct"/>
            <w:gridSpan w:val="2"/>
            <w:noWrap w:val="0"/>
            <w:tcMar>
              <w:left w:w="57" w:type="dxa"/>
              <w:right w:w="57" w:type="dxa"/>
            </w:tcMar>
            <w:vAlign w:val="center"/>
          </w:tcPr>
          <w:p w14:paraId="4B71541E">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58" w:type="pct"/>
            <w:noWrap w:val="0"/>
            <w:tcMar>
              <w:left w:w="57" w:type="dxa"/>
              <w:right w:w="57" w:type="dxa"/>
            </w:tcMar>
            <w:vAlign w:val="center"/>
          </w:tcPr>
          <w:p w14:paraId="3B5F37B9">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0</w:t>
            </w:r>
          </w:p>
        </w:tc>
        <w:tc>
          <w:tcPr>
            <w:tcW w:w="377" w:type="pct"/>
            <w:noWrap w:val="0"/>
            <w:tcMar>
              <w:left w:w="57" w:type="dxa"/>
              <w:right w:w="57" w:type="dxa"/>
            </w:tcMar>
            <w:vAlign w:val="center"/>
          </w:tcPr>
          <w:p w14:paraId="6C2F899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r>
              <w:rPr>
                <w:rFonts w:hint="default" w:ascii="Tahoma" w:hAnsi="Tahoma" w:eastAsia="微软雅黑" w:cs="Times New Roman"/>
                <w:color w:val="auto"/>
                <w:kern w:val="2"/>
                <w:sz w:val="13"/>
                <w:szCs w:val="13"/>
                <w:highlight w:val="none"/>
                <w:lang w:val="en-US" w:eastAsia="zh-CN"/>
              </w:rPr>
              <w:t>0.013</w:t>
            </w:r>
          </w:p>
        </w:tc>
        <w:tc>
          <w:tcPr>
            <w:tcW w:w="501" w:type="pct"/>
            <w:noWrap w:val="0"/>
            <w:tcMar>
              <w:left w:w="57" w:type="dxa"/>
              <w:right w:w="57" w:type="dxa"/>
            </w:tcMar>
            <w:vAlign w:val="center"/>
          </w:tcPr>
          <w:p w14:paraId="4E9911B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22" w:type="pct"/>
            <w:noWrap w:val="0"/>
            <w:tcMar>
              <w:left w:w="57" w:type="dxa"/>
              <w:right w:w="57" w:type="dxa"/>
            </w:tcMar>
            <w:vAlign w:val="center"/>
          </w:tcPr>
          <w:p w14:paraId="03A2CCE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0</w:t>
            </w:r>
          </w:p>
        </w:tc>
        <w:tc>
          <w:tcPr>
            <w:tcW w:w="392" w:type="pct"/>
            <w:gridSpan w:val="2"/>
            <w:noWrap w:val="0"/>
            <w:tcMar>
              <w:left w:w="57" w:type="dxa"/>
              <w:right w:w="57" w:type="dxa"/>
            </w:tcMar>
            <w:vAlign w:val="center"/>
          </w:tcPr>
          <w:p w14:paraId="75A9535A">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6" w:type="pct"/>
            <w:gridSpan w:val="2"/>
            <w:noWrap w:val="0"/>
            <w:tcMar>
              <w:left w:w="57" w:type="dxa"/>
              <w:right w:w="57" w:type="dxa"/>
            </w:tcMar>
            <w:vAlign w:val="center"/>
          </w:tcPr>
          <w:p w14:paraId="74E792A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252" w:type="pct"/>
            <w:noWrap w:val="0"/>
            <w:tcMar>
              <w:left w:w="57" w:type="dxa"/>
              <w:right w:w="57" w:type="dxa"/>
            </w:tcMar>
            <w:vAlign w:val="center"/>
          </w:tcPr>
          <w:p w14:paraId="059CBFA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r>
      <w:tr w14:paraId="59E377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84" w:type="pct"/>
            <w:gridSpan w:val="2"/>
            <w:vMerge w:val="continue"/>
            <w:noWrap w:val="0"/>
            <w:tcMar>
              <w:left w:w="57" w:type="dxa"/>
              <w:right w:w="57" w:type="dxa"/>
            </w:tcMar>
            <w:vAlign w:val="top"/>
          </w:tcPr>
          <w:p w14:paraId="0FA1AA2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565" w:type="pct"/>
            <w:gridSpan w:val="2"/>
            <w:noWrap w:val="0"/>
            <w:tcMar>
              <w:left w:w="57" w:type="dxa"/>
              <w:right w:w="57" w:type="dxa"/>
            </w:tcMar>
            <w:vAlign w:val="center"/>
          </w:tcPr>
          <w:p w14:paraId="0A20057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氨氮</w:t>
            </w:r>
          </w:p>
        </w:tc>
        <w:tc>
          <w:tcPr>
            <w:tcW w:w="260" w:type="pct"/>
            <w:noWrap w:val="0"/>
            <w:tcMar>
              <w:left w:w="57" w:type="dxa"/>
              <w:right w:w="57" w:type="dxa"/>
            </w:tcMar>
            <w:vAlign w:val="center"/>
          </w:tcPr>
          <w:p w14:paraId="2FE4715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434" w:type="pct"/>
            <w:noWrap w:val="0"/>
            <w:tcMar>
              <w:left w:w="57" w:type="dxa"/>
              <w:right w:w="57" w:type="dxa"/>
            </w:tcMar>
            <w:vAlign w:val="center"/>
          </w:tcPr>
          <w:p w14:paraId="65535A4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p>
        </w:tc>
        <w:tc>
          <w:tcPr>
            <w:tcW w:w="344" w:type="pct"/>
            <w:noWrap w:val="0"/>
            <w:tcMar>
              <w:left w:w="57" w:type="dxa"/>
              <w:right w:w="57" w:type="dxa"/>
            </w:tcMar>
            <w:vAlign w:val="center"/>
          </w:tcPr>
          <w:p w14:paraId="51F2AB0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p>
        </w:tc>
        <w:tc>
          <w:tcPr>
            <w:tcW w:w="313" w:type="pct"/>
            <w:noWrap w:val="0"/>
            <w:tcMar>
              <w:left w:w="57" w:type="dxa"/>
              <w:right w:w="57" w:type="dxa"/>
            </w:tcMar>
            <w:vAlign w:val="center"/>
          </w:tcPr>
          <w:p w14:paraId="2E2FB5BA">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9" w:type="pct"/>
            <w:gridSpan w:val="2"/>
            <w:noWrap w:val="0"/>
            <w:tcMar>
              <w:left w:w="57" w:type="dxa"/>
              <w:right w:w="57" w:type="dxa"/>
            </w:tcMar>
            <w:vAlign w:val="center"/>
          </w:tcPr>
          <w:p w14:paraId="102BCCF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58" w:type="pct"/>
            <w:noWrap w:val="0"/>
            <w:tcMar>
              <w:left w:w="57" w:type="dxa"/>
              <w:right w:w="57" w:type="dxa"/>
            </w:tcMar>
            <w:vAlign w:val="center"/>
          </w:tcPr>
          <w:p w14:paraId="4E86019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0</w:t>
            </w:r>
          </w:p>
        </w:tc>
        <w:tc>
          <w:tcPr>
            <w:tcW w:w="377" w:type="pct"/>
            <w:noWrap w:val="0"/>
            <w:tcMar>
              <w:left w:w="57" w:type="dxa"/>
              <w:right w:w="57" w:type="dxa"/>
            </w:tcMar>
            <w:vAlign w:val="center"/>
          </w:tcPr>
          <w:p w14:paraId="4CC51DD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r>
              <w:rPr>
                <w:rFonts w:hint="default" w:ascii="Tahoma" w:hAnsi="Tahoma" w:eastAsia="微软雅黑" w:cs="Times New Roman"/>
                <w:color w:val="auto"/>
                <w:kern w:val="2"/>
                <w:sz w:val="13"/>
                <w:szCs w:val="13"/>
                <w:highlight w:val="none"/>
                <w:lang w:val="en-US" w:eastAsia="zh-CN"/>
              </w:rPr>
              <w:t>0.0013</w:t>
            </w:r>
          </w:p>
        </w:tc>
        <w:tc>
          <w:tcPr>
            <w:tcW w:w="501" w:type="pct"/>
            <w:noWrap w:val="0"/>
            <w:tcMar>
              <w:left w:w="57" w:type="dxa"/>
              <w:right w:w="57" w:type="dxa"/>
            </w:tcMar>
            <w:vAlign w:val="center"/>
          </w:tcPr>
          <w:p w14:paraId="0C015109">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22" w:type="pct"/>
            <w:noWrap w:val="0"/>
            <w:tcMar>
              <w:left w:w="57" w:type="dxa"/>
              <w:right w:w="57" w:type="dxa"/>
            </w:tcMar>
            <w:vAlign w:val="center"/>
          </w:tcPr>
          <w:p w14:paraId="5D798F8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0</w:t>
            </w:r>
          </w:p>
        </w:tc>
        <w:tc>
          <w:tcPr>
            <w:tcW w:w="392" w:type="pct"/>
            <w:gridSpan w:val="2"/>
            <w:noWrap w:val="0"/>
            <w:tcMar>
              <w:left w:w="57" w:type="dxa"/>
              <w:right w:w="57" w:type="dxa"/>
            </w:tcMar>
            <w:vAlign w:val="center"/>
          </w:tcPr>
          <w:p w14:paraId="0F5D210E">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6" w:type="pct"/>
            <w:gridSpan w:val="2"/>
            <w:noWrap w:val="0"/>
            <w:tcMar>
              <w:left w:w="57" w:type="dxa"/>
              <w:right w:w="57" w:type="dxa"/>
            </w:tcMar>
            <w:vAlign w:val="center"/>
          </w:tcPr>
          <w:p w14:paraId="51465E8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252" w:type="pct"/>
            <w:noWrap w:val="0"/>
            <w:tcMar>
              <w:left w:w="57" w:type="dxa"/>
              <w:right w:w="57" w:type="dxa"/>
            </w:tcMar>
            <w:vAlign w:val="center"/>
          </w:tcPr>
          <w:p w14:paraId="5EBD60D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r>
      <w:tr w14:paraId="2C95DF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84" w:type="pct"/>
            <w:gridSpan w:val="2"/>
            <w:vMerge w:val="continue"/>
            <w:noWrap w:val="0"/>
            <w:tcMar>
              <w:left w:w="57" w:type="dxa"/>
              <w:right w:w="57" w:type="dxa"/>
            </w:tcMar>
            <w:vAlign w:val="top"/>
          </w:tcPr>
          <w:p w14:paraId="4DE6E12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565" w:type="pct"/>
            <w:gridSpan w:val="2"/>
            <w:noWrap w:val="0"/>
            <w:tcMar>
              <w:left w:w="57" w:type="dxa"/>
              <w:right w:w="57" w:type="dxa"/>
            </w:tcMar>
            <w:vAlign w:val="center"/>
          </w:tcPr>
          <w:p w14:paraId="14DEDB5C">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石油类</w:t>
            </w:r>
          </w:p>
        </w:tc>
        <w:tc>
          <w:tcPr>
            <w:tcW w:w="260" w:type="pct"/>
            <w:noWrap w:val="0"/>
            <w:tcMar>
              <w:left w:w="57" w:type="dxa"/>
              <w:right w:w="57" w:type="dxa"/>
            </w:tcMar>
            <w:vAlign w:val="center"/>
          </w:tcPr>
          <w:p w14:paraId="2D5B65A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434" w:type="pct"/>
            <w:noWrap w:val="0"/>
            <w:tcMar>
              <w:left w:w="57" w:type="dxa"/>
              <w:right w:w="57" w:type="dxa"/>
            </w:tcMar>
            <w:vAlign w:val="center"/>
          </w:tcPr>
          <w:p w14:paraId="4802F81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4" w:type="pct"/>
            <w:noWrap w:val="0"/>
            <w:tcMar>
              <w:left w:w="57" w:type="dxa"/>
              <w:right w:w="57" w:type="dxa"/>
            </w:tcMar>
            <w:vAlign w:val="center"/>
          </w:tcPr>
          <w:p w14:paraId="5A1E4DDA">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13" w:type="pct"/>
            <w:noWrap w:val="0"/>
            <w:tcMar>
              <w:left w:w="57" w:type="dxa"/>
              <w:right w:w="57" w:type="dxa"/>
            </w:tcMar>
            <w:vAlign w:val="center"/>
          </w:tcPr>
          <w:p w14:paraId="231506D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9" w:type="pct"/>
            <w:gridSpan w:val="2"/>
            <w:noWrap w:val="0"/>
            <w:tcMar>
              <w:left w:w="57" w:type="dxa"/>
              <w:right w:w="57" w:type="dxa"/>
            </w:tcMar>
            <w:vAlign w:val="center"/>
          </w:tcPr>
          <w:p w14:paraId="49C12000">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58" w:type="pct"/>
            <w:noWrap w:val="0"/>
            <w:tcMar>
              <w:left w:w="57" w:type="dxa"/>
              <w:right w:w="57" w:type="dxa"/>
            </w:tcMar>
            <w:vAlign w:val="center"/>
          </w:tcPr>
          <w:p w14:paraId="35ABE273">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77" w:type="pct"/>
            <w:noWrap w:val="0"/>
            <w:tcMar>
              <w:left w:w="57" w:type="dxa"/>
              <w:right w:w="57" w:type="dxa"/>
            </w:tcMar>
            <w:vAlign w:val="center"/>
          </w:tcPr>
          <w:p w14:paraId="141C36D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501" w:type="pct"/>
            <w:noWrap w:val="0"/>
            <w:tcMar>
              <w:left w:w="57" w:type="dxa"/>
              <w:right w:w="57" w:type="dxa"/>
            </w:tcMar>
            <w:vAlign w:val="center"/>
          </w:tcPr>
          <w:p w14:paraId="715C8F0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22" w:type="pct"/>
            <w:noWrap w:val="0"/>
            <w:tcMar>
              <w:left w:w="57" w:type="dxa"/>
              <w:right w:w="57" w:type="dxa"/>
            </w:tcMar>
            <w:vAlign w:val="center"/>
          </w:tcPr>
          <w:p w14:paraId="453A700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92" w:type="pct"/>
            <w:gridSpan w:val="2"/>
            <w:noWrap w:val="0"/>
            <w:tcMar>
              <w:left w:w="57" w:type="dxa"/>
              <w:right w:w="57" w:type="dxa"/>
            </w:tcMar>
            <w:vAlign w:val="center"/>
          </w:tcPr>
          <w:p w14:paraId="436427F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6" w:type="pct"/>
            <w:gridSpan w:val="2"/>
            <w:noWrap w:val="0"/>
            <w:tcMar>
              <w:left w:w="57" w:type="dxa"/>
              <w:right w:w="57" w:type="dxa"/>
            </w:tcMar>
            <w:vAlign w:val="center"/>
          </w:tcPr>
          <w:p w14:paraId="0B884CE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252" w:type="pct"/>
            <w:noWrap w:val="0"/>
            <w:tcMar>
              <w:left w:w="57" w:type="dxa"/>
              <w:right w:w="57" w:type="dxa"/>
            </w:tcMar>
            <w:vAlign w:val="center"/>
          </w:tcPr>
          <w:p w14:paraId="01AC892A">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r>
      <w:tr w14:paraId="2A0F00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84" w:type="pct"/>
            <w:gridSpan w:val="2"/>
            <w:vMerge w:val="continue"/>
            <w:noWrap w:val="0"/>
            <w:tcMar>
              <w:left w:w="57" w:type="dxa"/>
              <w:right w:w="57" w:type="dxa"/>
            </w:tcMar>
            <w:vAlign w:val="top"/>
          </w:tcPr>
          <w:p w14:paraId="1D86BCD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565" w:type="pct"/>
            <w:gridSpan w:val="2"/>
            <w:noWrap w:val="0"/>
            <w:tcMar>
              <w:left w:w="57" w:type="dxa"/>
              <w:right w:w="57" w:type="dxa"/>
            </w:tcMar>
            <w:vAlign w:val="center"/>
          </w:tcPr>
          <w:p w14:paraId="79D05843">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ascii="Tahoma" w:hAnsi="Tahoma" w:eastAsia="黑体" w:cs="Times New Roman"/>
                <w:b/>
                <w:color w:val="auto"/>
                <w:kern w:val="2"/>
                <w:sz w:val="13"/>
                <w:szCs w:val="13"/>
                <w:highlight w:val="none"/>
              </w:rPr>
            </w:pPr>
            <w:r>
              <w:rPr>
                <w:rFonts w:ascii="Tahoma" w:hAnsi="Tahoma" w:eastAsia="微软雅黑" w:cs="Times New Roman"/>
                <w:b/>
                <w:color w:val="auto"/>
                <w:kern w:val="2"/>
                <w:sz w:val="13"/>
                <w:szCs w:val="13"/>
                <w:highlight w:val="none"/>
              </w:rPr>
              <w:t>废气</w:t>
            </w:r>
          </w:p>
        </w:tc>
        <w:tc>
          <w:tcPr>
            <w:tcW w:w="260" w:type="pct"/>
            <w:noWrap w:val="0"/>
            <w:tcMar>
              <w:left w:w="57" w:type="dxa"/>
              <w:right w:w="57" w:type="dxa"/>
            </w:tcMar>
            <w:vAlign w:val="center"/>
          </w:tcPr>
          <w:p w14:paraId="67178EA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eastAsia="zh-CN"/>
              </w:rPr>
            </w:pPr>
          </w:p>
        </w:tc>
        <w:tc>
          <w:tcPr>
            <w:tcW w:w="434" w:type="pct"/>
            <w:noWrap w:val="0"/>
            <w:tcMar>
              <w:left w:w="57" w:type="dxa"/>
              <w:right w:w="57" w:type="dxa"/>
            </w:tcMar>
            <w:vAlign w:val="center"/>
          </w:tcPr>
          <w:p w14:paraId="71CA0D9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4" w:type="pct"/>
            <w:noWrap w:val="0"/>
            <w:tcMar>
              <w:left w:w="57" w:type="dxa"/>
              <w:right w:w="57" w:type="dxa"/>
            </w:tcMar>
            <w:vAlign w:val="center"/>
          </w:tcPr>
          <w:p w14:paraId="7578112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13" w:type="pct"/>
            <w:noWrap w:val="0"/>
            <w:tcMar>
              <w:left w:w="57" w:type="dxa"/>
              <w:right w:w="57" w:type="dxa"/>
            </w:tcMar>
            <w:vAlign w:val="center"/>
          </w:tcPr>
          <w:p w14:paraId="29E9736A">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9" w:type="pct"/>
            <w:gridSpan w:val="2"/>
            <w:noWrap w:val="0"/>
            <w:tcMar>
              <w:left w:w="57" w:type="dxa"/>
              <w:right w:w="57" w:type="dxa"/>
            </w:tcMar>
            <w:vAlign w:val="center"/>
          </w:tcPr>
          <w:p w14:paraId="26E2F8D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58" w:type="pct"/>
            <w:noWrap w:val="0"/>
            <w:tcMar>
              <w:left w:w="57" w:type="dxa"/>
              <w:right w:w="57" w:type="dxa"/>
            </w:tcMar>
            <w:vAlign w:val="center"/>
          </w:tcPr>
          <w:p w14:paraId="053D6B4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77" w:type="pct"/>
            <w:noWrap w:val="0"/>
            <w:tcMar>
              <w:left w:w="57" w:type="dxa"/>
              <w:right w:w="57" w:type="dxa"/>
            </w:tcMar>
            <w:vAlign w:val="center"/>
          </w:tcPr>
          <w:p w14:paraId="661E626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501" w:type="pct"/>
            <w:noWrap w:val="0"/>
            <w:tcMar>
              <w:left w:w="57" w:type="dxa"/>
              <w:right w:w="57" w:type="dxa"/>
            </w:tcMar>
            <w:vAlign w:val="center"/>
          </w:tcPr>
          <w:p w14:paraId="1EBC6638">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22" w:type="pct"/>
            <w:noWrap w:val="0"/>
            <w:tcMar>
              <w:left w:w="57" w:type="dxa"/>
              <w:right w:w="57" w:type="dxa"/>
            </w:tcMar>
            <w:vAlign w:val="center"/>
          </w:tcPr>
          <w:p w14:paraId="50FA5678">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92" w:type="pct"/>
            <w:gridSpan w:val="2"/>
            <w:noWrap w:val="0"/>
            <w:tcMar>
              <w:left w:w="57" w:type="dxa"/>
              <w:right w:w="57" w:type="dxa"/>
            </w:tcMar>
            <w:vAlign w:val="center"/>
          </w:tcPr>
          <w:p w14:paraId="0A8C13EC">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6" w:type="pct"/>
            <w:gridSpan w:val="2"/>
            <w:noWrap w:val="0"/>
            <w:tcMar>
              <w:left w:w="57" w:type="dxa"/>
              <w:right w:w="57" w:type="dxa"/>
            </w:tcMar>
            <w:vAlign w:val="center"/>
          </w:tcPr>
          <w:p w14:paraId="303924B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252" w:type="pct"/>
            <w:noWrap w:val="0"/>
            <w:tcMar>
              <w:left w:w="57" w:type="dxa"/>
              <w:right w:w="57" w:type="dxa"/>
            </w:tcMar>
            <w:vAlign w:val="center"/>
          </w:tcPr>
          <w:p w14:paraId="39081A5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r>
      <w:tr w14:paraId="52F1F6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84" w:type="pct"/>
            <w:gridSpan w:val="2"/>
            <w:vMerge w:val="continue"/>
            <w:noWrap w:val="0"/>
            <w:tcMar>
              <w:left w:w="57" w:type="dxa"/>
              <w:right w:w="57" w:type="dxa"/>
            </w:tcMar>
            <w:vAlign w:val="top"/>
          </w:tcPr>
          <w:p w14:paraId="7740160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565" w:type="pct"/>
            <w:gridSpan w:val="2"/>
            <w:noWrap w:val="0"/>
            <w:tcMar>
              <w:left w:w="57" w:type="dxa"/>
              <w:right w:w="57" w:type="dxa"/>
            </w:tcMar>
            <w:vAlign w:val="center"/>
          </w:tcPr>
          <w:p w14:paraId="5B1BC02E">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二氧化硫</w:t>
            </w:r>
          </w:p>
        </w:tc>
        <w:tc>
          <w:tcPr>
            <w:tcW w:w="260" w:type="pct"/>
            <w:noWrap w:val="0"/>
            <w:tcMar>
              <w:left w:w="57" w:type="dxa"/>
              <w:right w:w="57" w:type="dxa"/>
            </w:tcMar>
            <w:vAlign w:val="center"/>
          </w:tcPr>
          <w:p w14:paraId="08C9E168">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434" w:type="pct"/>
            <w:noWrap w:val="0"/>
            <w:tcMar>
              <w:left w:w="57" w:type="dxa"/>
              <w:right w:w="57" w:type="dxa"/>
            </w:tcMar>
            <w:vAlign w:val="center"/>
          </w:tcPr>
          <w:p w14:paraId="13C43F9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44" w:type="pct"/>
            <w:noWrap w:val="0"/>
            <w:tcMar>
              <w:left w:w="57" w:type="dxa"/>
              <w:right w:w="57" w:type="dxa"/>
            </w:tcMar>
            <w:vAlign w:val="center"/>
          </w:tcPr>
          <w:p w14:paraId="0F51488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13" w:type="pct"/>
            <w:noWrap w:val="0"/>
            <w:tcMar>
              <w:left w:w="57" w:type="dxa"/>
              <w:right w:w="57" w:type="dxa"/>
            </w:tcMar>
            <w:vAlign w:val="center"/>
          </w:tcPr>
          <w:p w14:paraId="43E7B34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49" w:type="pct"/>
            <w:gridSpan w:val="2"/>
            <w:noWrap w:val="0"/>
            <w:tcMar>
              <w:left w:w="57" w:type="dxa"/>
              <w:right w:w="57" w:type="dxa"/>
            </w:tcMar>
            <w:vAlign w:val="center"/>
          </w:tcPr>
          <w:p w14:paraId="4612D6F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58" w:type="pct"/>
            <w:noWrap w:val="0"/>
            <w:tcMar>
              <w:left w:w="57" w:type="dxa"/>
              <w:right w:w="57" w:type="dxa"/>
            </w:tcMar>
            <w:vAlign w:val="center"/>
          </w:tcPr>
          <w:p w14:paraId="0A768B0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77" w:type="pct"/>
            <w:noWrap w:val="0"/>
            <w:tcMar>
              <w:left w:w="57" w:type="dxa"/>
              <w:right w:w="57" w:type="dxa"/>
            </w:tcMar>
            <w:vAlign w:val="center"/>
          </w:tcPr>
          <w:p w14:paraId="464FE73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501" w:type="pct"/>
            <w:noWrap w:val="0"/>
            <w:tcMar>
              <w:left w:w="57" w:type="dxa"/>
              <w:right w:w="57" w:type="dxa"/>
            </w:tcMar>
            <w:vAlign w:val="center"/>
          </w:tcPr>
          <w:p w14:paraId="39213C8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22" w:type="pct"/>
            <w:noWrap w:val="0"/>
            <w:tcMar>
              <w:left w:w="57" w:type="dxa"/>
              <w:right w:w="57" w:type="dxa"/>
            </w:tcMar>
            <w:vAlign w:val="center"/>
          </w:tcPr>
          <w:p w14:paraId="1758DEE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92" w:type="pct"/>
            <w:gridSpan w:val="2"/>
            <w:noWrap w:val="0"/>
            <w:tcMar>
              <w:left w:w="57" w:type="dxa"/>
              <w:right w:w="57" w:type="dxa"/>
            </w:tcMar>
            <w:vAlign w:val="center"/>
          </w:tcPr>
          <w:p w14:paraId="02D6917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6" w:type="pct"/>
            <w:gridSpan w:val="2"/>
            <w:noWrap w:val="0"/>
            <w:tcMar>
              <w:left w:w="57" w:type="dxa"/>
              <w:right w:w="57" w:type="dxa"/>
            </w:tcMar>
            <w:vAlign w:val="center"/>
          </w:tcPr>
          <w:p w14:paraId="38E5EC9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textAlignment w:val="center"/>
              <w:rPr>
                <w:rFonts w:ascii="Tahoma" w:hAnsi="Tahoma" w:eastAsia="微软雅黑" w:cs="Times New Roman"/>
                <w:color w:val="auto"/>
                <w:kern w:val="2"/>
                <w:sz w:val="13"/>
                <w:szCs w:val="13"/>
                <w:highlight w:val="none"/>
              </w:rPr>
            </w:pPr>
          </w:p>
        </w:tc>
        <w:tc>
          <w:tcPr>
            <w:tcW w:w="252" w:type="pct"/>
            <w:noWrap w:val="0"/>
            <w:tcMar>
              <w:left w:w="57" w:type="dxa"/>
              <w:right w:w="57" w:type="dxa"/>
            </w:tcMar>
            <w:vAlign w:val="center"/>
          </w:tcPr>
          <w:p w14:paraId="74CC2D8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r>
      <w:tr w14:paraId="7756CB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84" w:type="pct"/>
            <w:gridSpan w:val="2"/>
            <w:vMerge w:val="continue"/>
            <w:noWrap w:val="0"/>
            <w:tcMar>
              <w:left w:w="57" w:type="dxa"/>
              <w:right w:w="57" w:type="dxa"/>
            </w:tcMar>
            <w:vAlign w:val="top"/>
          </w:tcPr>
          <w:p w14:paraId="4A757CB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565" w:type="pct"/>
            <w:gridSpan w:val="2"/>
            <w:noWrap w:val="0"/>
            <w:tcMar>
              <w:left w:w="57" w:type="dxa"/>
              <w:right w:w="57" w:type="dxa"/>
            </w:tcMar>
            <w:vAlign w:val="center"/>
          </w:tcPr>
          <w:p w14:paraId="12C8FC69">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烟尘</w:t>
            </w:r>
          </w:p>
        </w:tc>
        <w:tc>
          <w:tcPr>
            <w:tcW w:w="260" w:type="pct"/>
            <w:noWrap w:val="0"/>
            <w:tcMar>
              <w:left w:w="57" w:type="dxa"/>
              <w:right w:w="57" w:type="dxa"/>
            </w:tcMar>
            <w:vAlign w:val="center"/>
          </w:tcPr>
          <w:p w14:paraId="32D73983">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p>
        </w:tc>
        <w:tc>
          <w:tcPr>
            <w:tcW w:w="434" w:type="pct"/>
            <w:noWrap w:val="0"/>
            <w:tcMar>
              <w:left w:w="57" w:type="dxa"/>
              <w:right w:w="57" w:type="dxa"/>
            </w:tcMar>
            <w:vAlign w:val="center"/>
          </w:tcPr>
          <w:p w14:paraId="4E5B095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44" w:type="pct"/>
            <w:noWrap w:val="0"/>
            <w:tcMar>
              <w:left w:w="57" w:type="dxa"/>
              <w:right w:w="57" w:type="dxa"/>
            </w:tcMar>
            <w:vAlign w:val="center"/>
          </w:tcPr>
          <w:p w14:paraId="7DDB524E">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13" w:type="pct"/>
            <w:noWrap w:val="0"/>
            <w:tcMar>
              <w:left w:w="57" w:type="dxa"/>
              <w:right w:w="57" w:type="dxa"/>
            </w:tcMar>
            <w:vAlign w:val="center"/>
          </w:tcPr>
          <w:p w14:paraId="7B83640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49" w:type="pct"/>
            <w:gridSpan w:val="2"/>
            <w:noWrap w:val="0"/>
            <w:tcMar>
              <w:left w:w="57" w:type="dxa"/>
              <w:right w:w="57" w:type="dxa"/>
            </w:tcMar>
            <w:vAlign w:val="center"/>
          </w:tcPr>
          <w:p w14:paraId="7B1C82C9">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58" w:type="pct"/>
            <w:noWrap w:val="0"/>
            <w:tcMar>
              <w:left w:w="57" w:type="dxa"/>
              <w:right w:w="57" w:type="dxa"/>
            </w:tcMar>
            <w:vAlign w:val="center"/>
          </w:tcPr>
          <w:p w14:paraId="242D24D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p>
        </w:tc>
        <w:tc>
          <w:tcPr>
            <w:tcW w:w="377" w:type="pct"/>
            <w:noWrap w:val="0"/>
            <w:tcMar>
              <w:left w:w="57" w:type="dxa"/>
              <w:right w:w="57" w:type="dxa"/>
            </w:tcMar>
            <w:vAlign w:val="center"/>
          </w:tcPr>
          <w:p w14:paraId="23ADE80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501" w:type="pct"/>
            <w:noWrap w:val="0"/>
            <w:tcMar>
              <w:left w:w="57" w:type="dxa"/>
              <w:right w:w="57" w:type="dxa"/>
            </w:tcMar>
            <w:vAlign w:val="center"/>
          </w:tcPr>
          <w:p w14:paraId="31046743">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p>
        </w:tc>
        <w:tc>
          <w:tcPr>
            <w:tcW w:w="322" w:type="pct"/>
            <w:noWrap w:val="0"/>
            <w:tcMar>
              <w:left w:w="57" w:type="dxa"/>
              <w:right w:w="57" w:type="dxa"/>
            </w:tcMar>
            <w:vAlign w:val="center"/>
          </w:tcPr>
          <w:p w14:paraId="6CA9719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92" w:type="pct"/>
            <w:gridSpan w:val="2"/>
            <w:noWrap w:val="0"/>
            <w:tcMar>
              <w:left w:w="57" w:type="dxa"/>
              <w:right w:w="57" w:type="dxa"/>
            </w:tcMar>
            <w:vAlign w:val="center"/>
          </w:tcPr>
          <w:p w14:paraId="650078A8">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lang w:val="en-US"/>
              </w:rPr>
            </w:pPr>
          </w:p>
        </w:tc>
        <w:tc>
          <w:tcPr>
            <w:tcW w:w="346" w:type="pct"/>
            <w:gridSpan w:val="2"/>
            <w:noWrap w:val="0"/>
            <w:tcMar>
              <w:left w:w="57" w:type="dxa"/>
              <w:right w:w="57" w:type="dxa"/>
            </w:tcMar>
            <w:vAlign w:val="center"/>
          </w:tcPr>
          <w:p w14:paraId="4F5C3A8C">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textAlignment w:val="center"/>
              <w:rPr>
                <w:rFonts w:ascii="Tahoma" w:hAnsi="Tahoma" w:eastAsia="微软雅黑" w:cs="Times New Roman"/>
                <w:color w:val="auto"/>
                <w:kern w:val="2"/>
                <w:sz w:val="13"/>
                <w:szCs w:val="13"/>
                <w:highlight w:val="none"/>
              </w:rPr>
            </w:pPr>
          </w:p>
        </w:tc>
        <w:tc>
          <w:tcPr>
            <w:tcW w:w="252" w:type="pct"/>
            <w:noWrap w:val="0"/>
            <w:tcMar>
              <w:left w:w="57" w:type="dxa"/>
              <w:right w:w="57" w:type="dxa"/>
            </w:tcMar>
            <w:vAlign w:val="center"/>
          </w:tcPr>
          <w:p w14:paraId="63EEACAC">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rPr>
            </w:pPr>
          </w:p>
        </w:tc>
      </w:tr>
      <w:tr w14:paraId="1EFEBF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84" w:type="pct"/>
            <w:gridSpan w:val="2"/>
            <w:vMerge w:val="continue"/>
            <w:noWrap w:val="0"/>
            <w:tcMar>
              <w:left w:w="57" w:type="dxa"/>
              <w:right w:w="57" w:type="dxa"/>
            </w:tcMar>
            <w:vAlign w:val="top"/>
          </w:tcPr>
          <w:p w14:paraId="3CD82B1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565" w:type="pct"/>
            <w:gridSpan w:val="2"/>
            <w:noWrap w:val="0"/>
            <w:tcMar>
              <w:left w:w="57" w:type="dxa"/>
              <w:right w:w="57" w:type="dxa"/>
            </w:tcMar>
            <w:vAlign w:val="center"/>
          </w:tcPr>
          <w:p w14:paraId="0F40CE2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工业粉尘</w:t>
            </w:r>
          </w:p>
        </w:tc>
        <w:tc>
          <w:tcPr>
            <w:tcW w:w="260" w:type="pct"/>
            <w:noWrap w:val="0"/>
            <w:tcMar>
              <w:left w:w="57" w:type="dxa"/>
              <w:right w:w="57" w:type="dxa"/>
            </w:tcMar>
            <w:vAlign w:val="center"/>
          </w:tcPr>
          <w:p w14:paraId="53E9BEA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434" w:type="pct"/>
            <w:noWrap w:val="0"/>
            <w:tcMar>
              <w:left w:w="57" w:type="dxa"/>
              <w:right w:w="57" w:type="dxa"/>
            </w:tcMar>
            <w:vAlign w:val="center"/>
          </w:tcPr>
          <w:p w14:paraId="157725A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44" w:type="pct"/>
            <w:noWrap w:val="0"/>
            <w:tcMar>
              <w:left w:w="57" w:type="dxa"/>
              <w:right w:w="57" w:type="dxa"/>
            </w:tcMar>
            <w:vAlign w:val="center"/>
          </w:tcPr>
          <w:p w14:paraId="711734B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13" w:type="pct"/>
            <w:noWrap w:val="0"/>
            <w:tcMar>
              <w:left w:w="57" w:type="dxa"/>
              <w:right w:w="57" w:type="dxa"/>
            </w:tcMar>
            <w:vAlign w:val="center"/>
          </w:tcPr>
          <w:p w14:paraId="0A77CCF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49" w:type="pct"/>
            <w:gridSpan w:val="2"/>
            <w:noWrap w:val="0"/>
            <w:tcMar>
              <w:left w:w="57" w:type="dxa"/>
              <w:right w:w="57" w:type="dxa"/>
            </w:tcMar>
            <w:vAlign w:val="center"/>
          </w:tcPr>
          <w:p w14:paraId="11A9961C">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58" w:type="pct"/>
            <w:noWrap w:val="0"/>
            <w:tcMar>
              <w:left w:w="57" w:type="dxa"/>
              <w:right w:w="57" w:type="dxa"/>
            </w:tcMar>
            <w:vAlign w:val="center"/>
          </w:tcPr>
          <w:p w14:paraId="41BF5E1C">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77" w:type="pct"/>
            <w:noWrap w:val="0"/>
            <w:tcMar>
              <w:left w:w="57" w:type="dxa"/>
              <w:right w:w="57" w:type="dxa"/>
            </w:tcMar>
            <w:vAlign w:val="center"/>
          </w:tcPr>
          <w:p w14:paraId="72265EF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501" w:type="pct"/>
            <w:noWrap w:val="0"/>
            <w:tcMar>
              <w:left w:w="57" w:type="dxa"/>
              <w:right w:w="57" w:type="dxa"/>
            </w:tcMar>
            <w:vAlign w:val="center"/>
          </w:tcPr>
          <w:p w14:paraId="1F4DB7F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22" w:type="pct"/>
            <w:noWrap w:val="0"/>
            <w:tcMar>
              <w:left w:w="57" w:type="dxa"/>
              <w:right w:w="57" w:type="dxa"/>
            </w:tcMar>
            <w:vAlign w:val="center"/>
          </w:tcPr>
          <w:p w14:paraId="51534F1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92" w:type="pct"/>
            <w:gridSpan w:val="2"/>
            <w:noWrap w:val="0"/>
            <w:tcMar>
              <w:left w:w="57" w:type="dxa"/>
              <w:right w:w="57" w:type="dxa"/>
            </w:tcMar>
            <w:vAlign w:val="center"/>
          </w:tcPr>
          <w:p w14:paraId="6CB0B3E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lang w:val="en-US"/>
              </w:rPr>
            </w:pPr>
          </w:p>
        </w:tc>
        <w:tc>
          <w:tcPr>
            <w:tcW w:w="346" w:type="pct"/>
            <w:gridSpan w:val="2"/>
            <w:noWrap w:val="0"/>
            <w:tcMar>
              <w:left w:w="57" w:type="dxa"/>
              <w:right w:w="57" w:type="dxa"/>
            </w:tcMar>
            <w:vAlign w:val="center"/>
          </w:tcPr>
          <w:p w14:paraId="6A48139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252" w:type="pct"/>
            <w:noWrap w:val="0"/>
            <w:tcMar>
              <w:left w:w="57" w:type="dxa"/>
              <w:right w:w="57" w:type="dxa"/>
            </w:tcMar>
            <w:vAlign w:val="center"/>
          </w:tcPr>
          <w:p w14:paraId="632BDE9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lang w:val="en-US"/>
              </w:rPr>
            </w:pPr>
          </w:p>
        </w:tc>
      </w:tr>
      <w:tr w14:paraId="722C52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84" w:type="pct"/>
            <w:gridSpan w:val="2"/>
            <w:vMerge w:val="continue"/>
            <w:noWrap w:val="0"/>
            <w:tcMar>
              <w:left w:w="57" w:type="dxa"/>
              <w:right w:w="57" w:type="dxa"/>
            </w:tcMar>
            <w:vAlign w:val="top"/>
          </w:tcPr>
          <w:p w14:paraId="31CCBC5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565" w:type="pct"/>
            <w:gridSpan w:val="2"/>
            <w:noWrap w:val="0"/>
            <w:tcMar>
              <w:left w:w="57" w:type="dxa"/>
              <w:right w:w="57" w:type="dxa"/>
            </w:tcMar>
            <w:vAlign w:val="center"/>
          </w:tcPr>
          <w:p w14:paraId="4FF56A9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ascii="Tahoma" w:hAnsi="Tahoma" w:eastAsia="微软雅黑" w:cs="Times New Roman"/>
                <w:b/>
                <w:color w:val="auto"/>
                <w:kern w:val="2"/>
                <w:sz w:val="13"/>
                <w:szCs w:val="13"/>
                <w:highlight w:val="none"/>
              </w:rPr>
            </w:pPr>
            <w:r>
              <w:rPr>
                <w:rFonts w:ascii="Tahoma" w:hAnsi="Tahoma" w:eastAsia="微软雅黑" w:cs="Times New Roman"/>
                <w:b/>
                <w:color w:val="auto"/>
                <w:kern w:val="2"/>
                <w:sz w:val="13"/>
                <w:szCs w:val="13"/>
                <w:highlight w:val="none"/>
              </w:rPr>
              <w:t>氮氧化物</w:t>
            </w:r>
          </w:p>
        </w:tc>
        <w:tc>
          <w:tcPr>
            <w:tcW w:w="260" w:type="pct"/>
            <w:noWrap w:val="0"/>
            <w:tcMar>
              <w:left w:w="57" w:type="dxa"/>
              <w:right w:w="57" w:type="dxa"/>
            </w:tcMar>
            <w:vAlign w:val="center"/>
          </w:tcPr>
          <w:p w14:paraId="2E830B8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434" w:type="pct"/>
            <w:noWrap w:val="0"/>
            <w:tcMar>
              <w:left w:w="57" w:type="dxa"/>
              <w:right w:w="57" w:type="dxa"/>
            </w:tcMar>
            <w:vAlign w:val="center"/>
          </w:tcPr>
          <w:p w14:paraId="229F353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44" w:type="pct"/>
            <w:noWrap w:val="0"/>
            <w:tcMar>
              <w:left w:w="57" w:type="dxa"/>
              <w:right w:w="57" w:type="dxa"/>
            </w:tcMar>
            <w:vAlign w:val="center"/>
          </w:tcPr>
          <w:p w14:paraId="132D06A0">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13" w:type="pct"/>
            <w:noWrap w:val="0"/>
            <w:tcMar>
              <w:left w:w="57" w:type="dxa"/>
              <w:right w:w="57" w:type="dxa"/>
            </w:tcMar>
            <w:vAlign w:val="center"/>
          </w:tcPr>
          <w:p w14:paraId="3870C01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49" w:type="pct"/>
            <w:gridSpan w:val="2"/>
            <w:noWrap w:val="0"/>
            <w:tcMar>
              <w:left w:w="57" w:type="dxa"/>
              <w:right w:w="57" w:type="dxa"/>
            </w:tcMar>
            <w:vAlign w:val="center"/>
          </w:tcPr>
          <w:p w14:paraId="00787549">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58" w:type="pct"/>
            <w:noWrap w:val="0"/>
            <w:tcMar>
              <w:left w:w="57" w:type="dxa"/>
              <w:right w:w="57" w:type="dxa"/>
            </w:tcMar>
            <w:vAlign w:val="center"/>
          </w:tcPr>
          <w:p w14:paraId="60C6BADA">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77" w:type="pct"/>
            <w:noWrap w:val="0"/>
            <w:tcMar>
              <w:left w:w="57" w:type="dxa"/>
              <w:right w:w="57" w:type="dxa"/>
            </w:tcMar>
            <w:vAlign w:val="center"/>
          </w:tcPr>
          <w:p w14:paraId="0DC6285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501" w:type="pct"/>
            <w:noWrap w:val="0"/>
            <w:tcMar>
              <w:left w:w="57" w:type="dxa"/>
              <w:right w:w="57" w:type="dxa"/>
            </w:tcMar>
            <w:vAlign w:val="center"/>
          </w:tcPr>
          <w:p w14:paraId="5C357FEA">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eastAsia" w:ascii="Tahoma" w:hAnsi="Tahoma" w:eastAsia="微软雅黑" w:cs="Times New Roman"/>
                <w:color w:val="auto"/>
                <w:kern w:val="2"/>
                <w:sz w:val="13"/>
                <w:szCs w:val="13"/>
                <w:highlight w:val="none"/>
                <w:lang w:val="en-US" w:eastAsia="zh-CN"/>
              </w:rPr>
            </w:pPr>
          </w:p>
        </w:tc>
        <w:tc>
          <w:tcPr>
            <w:tcW w:w="322" w:type="pct"/>
            <w:noWrap w:val="0"/>
            <w:tcMar>
              <w:left w:w="57" w:type="dxa"/>
              <w:right w:w="57" w:type="dxa"/>
            </w:tcMar>
            <w:vAlign w:val="center"/>
          </w:tcPr>
          <w:p w14:paraId="47B7FE1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92" w:type="pct"/>
            <w:gridSpan w:val="2"/>
            <w:noWrap w:val="0"/>
            <w:tcMar>
              <w:left w:w="57" w:type="dxa"/>
              <w:right w:w="57" w:type="dxa"/>
            </w:tcMar>
            <w:vAlign w:val="center"/>
          </w:tcPr>
          <w:p w14:paraId="505C33BC">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6" w:type="pct"/>
            <w:gridSpan w:val="2"/>
            <w:noWrap w:val="0"/>
            <w:tcMar>
              <w:left w:w="57" w:type="dxa"/>
              <w:right w:w="57" w:type="dxa"/>
            </w:tcMar>
            <w:vAlign w:val="center"/>
          </w:tcPr>
          <w:p w14:paraId="3BFF493E">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textAlignment w:val="center"/>
              <w:rPr>
                <w:rFonts w:ascii="Tahoma" w:hAnsi="Tahoma" w:eastAsia="微软雅黑" w:cs="Times New Roman"/>
                <w:color w:val="auto"/>
                <w:kern w:val="2"/>
                <w:sz w:val="13"/>
                <w:szCs w:val="13"/>
                <w:highlight w:val="none"/>
              </w:rPr>
            </w:pPr>
          </w:p>
        </w:tc>
        <w:tc>
          <w:tcPr>
            <w:tcW w:w="252" w:type="pct"/>
            <w:noWrap w:val="0"/>
            <w:tcMar>
              <w:left w:w="57" w:type="dxa"/>
              <w:right w:w="57" w:type="dxa"/>
            </w:tcMar>
            <w:vAlign w:val="center"/>
          </w:tcPr>
          <w:p w14:paraId="24B7C62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r>
      <w:tr w14:paraId="32FD30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84" w:type="pct"/>
            <w:gridSpan w:val="2"/>
            <w:vMerge w:val="continue"/>
            <w:noWrap w:val="0"/>
            <w:tcMar>
              <w:left w:w="57" w:type="dxa"/>
              <w:right w:w="57" w:type="dxa"/>
            </w:tcMar>
            <w:vAlign w:val="top"/>
          </w:tcPr>
          <w:p w14:paraId="43A2574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565" w:type="pct"/>
            <w:gridSpan w:val="2"/>
            <w:noWrap w:val="0"/>
            <w:tcMar>
              <w:left w:w="57" w:type="dxa"/>
              <w:right w:w="57" w:type="dxa"/>
            </w:tcMar>
            <w:vAlign w:val="center"/>
          </w:tcPr>
          <w:p w14:paraId="4FD06D5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ascii="Tahoma" w:hAnsi="Tahoma" w:eastAsia="黑体" w:cs="Times New Roman"/>
                <w:b/>
                <w:color w:val="auto"/>
                <w:kern w:val="2"/>
                <w:sz w:val="13"/>
                <w:szCs w:val="13"/>
                <w:highlight w:val="none"/>
              </w:rPr>
            </w:pPr>
            <w:r>
              <w:rPr>
                <w:rFonts w:ascii="Tahoma" w:hAnsi="Tahoma" w:eastAsia="微软雅黑" w:cs="Times New Roman"/>
                <w:b/>
                <w:color w:val="auto"/>
                <w:kern w:val="2"/>
                <w:sz w:val="13"/>
                <w:szCs w:val="13"/>
                <w:highlight w:val="none"/>
              </w:rPr>
              <w:t>工业固体废物</w:t>
            </w:r>
          </w:p>
        </w:tc>
        <w:tc>
          <w:tcPr>
            <w:tcW w:w="260" w:type="pct"/>
            <w:noWrap w:val="0"/>
            <w:tcMar>
              <w:left w:w="57" w:type="dxa"/>
              <w:right w:w="57" w:type="dxa"/>
            </w:tcMar>
            <w:vAlign w:val="center"/>
          </w:tcPr>
          <w:p w14:paraId="3B4E772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434" w:type="pct"/>
            <w:noWrap w:val="0"/>
            <w:tcMar>
              <w:left w:w="57" w:type="dxa"/>
              <w:right w:w="57" w:type="dxa"/>
            </w:tcMar>
            <w:vAlign w:val="center"/>
          </w:tcPr>
          <w:p w14:paraId="2969DB8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4" w:type="pct"/>
            <w:noWrap w:val="0"/>
            <w:tcMar>
              <w:left w:w="57" w:type="dxa"/>
              <w:right w:w="57" w:type="dxa"/>
            </w:tcMar>
            <w:vAlign w:val="center"/>
          </w:tcPr>
          <w:p w14:paraId="7133E1E9">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13" w:type="pct"/>
            <w:noWrap w:val="0"/>
            <w:tcMar>
              <w:left w:w="57" w:type="dxa"/>
              <w:right w:w="57" w:type="dxa"/>
            </w:tcMar>
            <w:vAlign w:val="center"/>
          </w:tcPr>
          <w:p w14:paraId="52D45420">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9" w:type="pct"/>
            <w:gridSpan w:val="2"/>
            <w:noWrap w:val="0"/>
            <w:tcMar>
              <w:left w:w="57" w:type="dxa"/>
              <w:right w:w="57" w:type="dxa"/>
            </w:tcMar>
            <w:vAlign w:val="center"/>
          </w:tcPr>
          <w:p w14:paraId="544DC71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58" w:type="pct"/>
            <w:noWrap w:val="0"/>
            <w:tcMar>
              <w:left w:w="57" w:type="dxa"/>
              <w:right w:w="57" w:type="dxa"/>
            </w:tcMar>
            <w:vAlign w:val="center"/>
          </w:tcPr>
          <w:p w14:paraId="3F2BB22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77" w:type="pct"/>
            <w:noWrap w:val="0"/>
            <w:tcMar>
              <w:left w:w="57" w:type="dxa"/>
              <w:right w:w="57" w:type="dxa"/>
            </w:tcMar>
            <w:vAlign w:val="center"/>
          </w:tcPr>
          <w:p w14:paraId="281F07B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501" w:type="pct"/>
            <w:noWrap w:val="0"/>
            <w:tcMar>
              <w:left w:w="57" w:type="dxa"/>
              <w:right w:w="57" w:type="dxa"/>
            </w:tcMar>
            <w:vAlign w:val="center"/>
          </w:tcPr>
          <w:p w14:paraId="0A760C42">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22" w:type="pct"/>
            <w:noWrap w:val="0"/>
            <w:tcMar>
              <w:left w:w="57" w:type="dxa"/>
              <w:right w:w="57" w:type="dxa"/>
            </w:tcMar>
            <w:vAlign w:val="center"/>
          </w:tcPr>
          <w:p w14:paraId="7D17EC99">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92" w:type="pct"/>
            <w:gridSpan w:val="2"/>
            <w:noWrap w:val="0"/>
            <w:tcMar>
              <w:left w:w="57" w:type="dxa"/>
              <w:right w:w="57" w:type="dxa"/>
            </w:tcMar>
            <w:vAlign w:val="center"/>
          </w:tcPr>
          <w:p w14:paraId="1AA132AA">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6" w:type="pct"/>
            <w:gridSpan w:val="2"/>
            <w:noWrap w:val="0"/>
            <w:tcMar>
              <w:left w:w="57" w:type="dxa"/>
              <w:right w:w="57" w:type="dxa"/>
            </w:tcMar>
            <w:vAlign w:val="center"/>
          </w:tcPr>
          <w:p w14:paraId="1F3B5A0E">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252" w:type="pct"/>
            <w:noWrap w:val="0"/>
            <w:tcMar>
              <w:left w:w="57" w:type="dxa"/>
              <w:right w:w="57" w:type="dxa"/>
            </w:tcMar>
            <w:vAlign w:val="center"/>
          </w:tcPr>
          <w:p w14:paraId="3B88BFB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r>
      <w:tr w14:paraId="67F398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84" w:type="pct"/>
            <w:gridSpan w:val="2"/>
            <w:vMerge w:val="continue"/>
            <w:noWrap w:val="0"/>
            <w:tcMar>
              <w:left w:w="57" w:type="dxa"/>
              <w:right w:w="57" w:type="dxa"/>
            </w:tcMar>
            <w:vAlign w:val="top"/>
          </w:tcPr>
          <w:p w14:paraId="2C986D97">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344" w:type="pct"/>
            <w:vMerge w:val="restart"/>
            <w:noWrap w:val="0"/>
            <w:tcMar>
              <w:left w:w="57" w:type="dxa"/>
              <w:right w:w="57" w:type="dxa"/>
            </w:tcMar>
            <w:vAlign w:val="top"/>
          </w:tcPr>
          <w:p w14:paraId="62A27F0A">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both"/>
              <w:rPr>
                <w:rFonts w:ascii="Tahoma" w:hAnsi="Tahoma" w:eastAsia="微软雅黑" w:cs="Times New Roman"/>
                <w:color w:val="auto"/>
                <w:kern w:val="2"/>
                <w:sz w:val="13"/>
                <w:szCs w:val="13"/>
                <w:highlight w:val="none"/>
              </w:rPr>
            </w:pPr>
            <w:r>
              <w:rPr>
                <w:rFonts w:ascii="Tahoma" w:hAnsi="Tahoma" w:eastAsia="微软雅黑" w:cs="Times New Roman"/>
                <w:b/>
                <w:color w:val="auto"/>
                <w:kern w:val="2"/>
                <w:sz w:val="13"/>
                <w:szCs w:val="13"/>
                <w:highlight w:val="none"/>
              </w:rPr>
              <w:t>与项目有关的其</w:t>
            </w:r>
            <w:r>
              <w:rPr>
                <w:rFonts w:hint="eastAsia" w:ascii="Tahoma" w:hAnsi="Tahoma" w:eastAsia="微软雅黑" w:cs="Times New Roman"/>
                <w:b/>
                <w:color w:val="auto"/>
                <w:kern w:val="2"/>
                <w:sz w:val="13"/>
                <w:szCs w:val="13"/>
                <w:highlight w:val="none"/>
              </w:rPr>
              <w:t>他</w:t>
            </w:r>
            <w:r>
              <w:rPr>
                <w:rFonts w:ascii="Tahoma" w:hAnsi="Tahoma" w:eastAsia="微软雅黑" w:cs="Times New Roman"/>
                <w:b/>
                <w:color w:val="auto"/>
                <w:kern w:val="2"/>
                <w:sz w:val="13"/>
                <w:szCs w:val="13"/>
                <w:highlight w:val="none"/>
              </w:rPr>
              <w:t>特征污染物</w:t>
            </w:r>
          </w:p>
        </w:tc>
        <w:tc>
          <w:tcPr>
            <w:tcW w:w="220" w:type="pct"/>
            <w:noWrap w:val="0"/>
            <w:tcMar>
              <w:left w:w="57" w:type="dxa"/>
              <w:right w:w="57" w:type="dxa"/>
            </w:tcMar>
            <w:vAlign w:val="center"/>
          </w:tcPr>
          <w:p w14:paraId="3E7A1928">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VOCs</w:t>
            </w:r>
          </w:p>
        </w:tc>
        <w:tc>
          <w:tcPr>
            <w:tcW w:w="260" w:type="pct"/>
            <w:noWrap w:val="0"/>
            <w:tcMar>
              <w:left w:w="57" w:type="dxa"/>
              <w:right w:w="57" w:type="dxa"/>
            </w:tcMar>
            <w:vAlign w:val="center"/>
          </w:tcPr>
          <w:p w14:paraId="549C179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434" w:type="pct"/>
            <w:noWrap w:val="0"/>
            <w:tcMar>
              <w:left w:w="57" w:type="dxa"/>
              <w:right w:w="57" w:type="dxa"/>
            </w:tcMar>
            <w:vAlign w:val="center"/>
          </w:tcPr>
          <w:p w14:paraId="5E3F81CC">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4" w:type="pct"/>
            <w:noWrap w:val="0"/>
            <w:tcMar>
              <w:left w:w="57" w:type="dxa"/>
              <w:right w:w="57" w:type="dxa"/>
            </w:tcMar>
            <w:vAlign w:val="center"/>
          </w:tcPr>
          <w:p w14:paraId="5092A6F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13" w:type="pct"/>
            <w:noWrap w:val="0"/>
            <w:tcMar>
              <w:left w:w="57" w:type="dxa"/>
              <w:right w:w="57" w:type="dxa"/>
            </w:tcMar>
            <w:vAlign w:val="center"/>
          </w:tcPr>
          <w:p w14:paraId="6554385C">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9" w:type="pct"/>
            <w:gridSpan w:val="2"/>
            <w:noWrap w:val="0"/>
            <w:tcMar>
              <w:left w:w="57" w:type="dxa"/>
              <w:right w:w="57" w:type="dxa"/>
            </w:tcMar>
            <w:vAlign w:val="center"/>
          </w:tcPr>
          <w:p w14:paraId="44954CA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58" w:type="pct"/>
            <w:noWrap w:val="0"/>
            <w:tcMar>
              <w:left w:w="57" w:type="dxa"/>
              <w:right w:w="57" w:type="dxa"/>
            </w:tcMar>
            <w:vAlign w:val="center"/>
          </w:tcPr>
          <w:p w14:paraId="6CB0FE5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0.0713</w:t>
            </w:r>
          </w:p>
        </w:tc>
        <w:tc>
          <w:tcPr>
            <w:tcW w:w="377" w:type="pct"/>
            <w:noWrap w:val="0"/>
            <w:tcMar>
              <w:left w:w="57" w:type="dxa"/>
              <w:right w:w="57" w:type="dxa"/>
            </w:tcMar>
            <w:vAlign w:val="center"/>
          </w:tcPr>
          <w:p w14:paraId="2095565A">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0.98</w:t>
            </w:r>
          </w:p>
        </w:tc>
        <w:tc>
          <w:tcPr>
            <w:tcW w:w="501" w:type="pct"/>
            <w:noWrap w:val="0"/>
            <w:tcMar>
              <w:left w:w="57" w:type="dxa"/>
              <w:right w:w="57" w:type="dxa"/>
            </w:tcMar>
            <w:vAlign w:val="center"/>
          </w:tcPr>
          <w:p w14:paraId="27486AF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22" w:type="pct"/>
            <w:noWrap w:val="0"/>
            <w:tcMar>
              <w:left w:w="57" w:type="dxa"/>
              <w:right w:w="57" w:type="dxa"/>
            </w:tcMar>
            <w:vAlign w:val="center"/>
          </w:tcPr>
          <w:p w14:paraId="5A56B3A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hint="default" w:ascii="Tahoma" w:hAnsi="Tahoma" w:eastAsia="微软雅黑" w:cs="Times New Roman"/>
                <w:color w:val="auto"/>
                <w:kern w:val="2"/>
                <w:sz w:val="13"/>
                <w:szCs w:val="13"/>
                <w:highlight w:val="none"/>
                <w:lang w:val="en-US" w:eastAsia="zh-CN"/>
              </w:rPr>
            </w:pPr>
            <w:r>
              <w:rPr>
                <w:rFonts w:hint="eastAsia" w:ascii="Tahoma" w:hAnsi="Tahoma" w:eastAsia="微软雅黑" w:cs="Times New Roman"/>
                <w:color w:val="auto"/>
                <w:kern w:val="2"/>
                <w:sz w:val="13"/>
                <w:szCs w:val="13"/>
                <w:highlight w:val="none"/>
                <w:lang w:val="en-US" w:eastAsia="zh-CN"/>
              </w:rPr>
              <w:t>0.0713</w:t>
            </w:r>
          </w:p>
        </w:tc>
        <w:tc>
          <w:tcPr>
            <w:tcW w:w="392" w:type="pct"/>
            <w:gridSpan w:val="2"/>
            <w:noWrap w:val="0"/>
            <w:tcMar>
              <w:left w:w="57" w:type="dxa"/>
              <w:right w:w="57" w:type="dxa"/>
            </w:tcMar>
            <w:vAlign w:val="center"/>
          </w:tcPr>
          <w:p w14:paraId="6191C450">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6" w:type="pct"/>
            <w:gridSpan w:val="2"/>
            <w:noWrap w:val="0"/>
            <w:tcMar>
              <w:left w:w="57" w:type="dxa"/>
              <w:right w:w="57" w:type="dxa"/>
            </w:tcMar>
            <w:vAlign w:val="center"/>
          </w:tcPr>
          <w:p w14:paraId="7629272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252" w:type="pct"/>
            <w:noWrap w:val="0"/>
            <w:tcMar>
              <w:left w:w="57" w:type="dxa"/>
              <w:right w:w="57" w:type="dxa"/>
            </w:tcMar>
            <w:vAlign w:val="center"/>
          </w:tcPr>
          <w:p w14:paraId="4DEA5C0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r>
      <w:tr w14:paraId="33D9DD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184" w:type="pct"/>
            <w:gridSpan w:val="2"/>
            <w:vMerge w:val="continue"/>
            <w:noWrap w:val="0"/>
            <w:tcMar>
              <w:left w:w="57" w:type="dxa"/>
              <w:right w:w="57" w:type="dxa"/>
            </w:tcMar>
            <w:vAlign w:val="top"/>
          </w:tcPr>
          <w:p w14:paraId="122DB553">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344" w:type="pct"/>
            <w:vMerge w:val="continue"/>
            <w:noWrap w:val="0"/>
            <w:tcMar>
              <w:left w:w="57" w:type="dxa"/>
              <w:right w:w="57" w:type="dxa"/>
            </w:tcMar>
            <w:vAlign w:val="top"/>
          </w:tcPr>
          <w:p w14:paraId="4E847F0C">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p>
        </w:tc>
        <w:tc>
          <w:tcPr>
            <w:tcW w:w="220" w:type="pct"/>
            <w:noWrap w:val="0"/>
            <w:tcMar>
              <w:left w:w="57" w:type="dxa"/>
              <w:right w:w="57" w:type="dxa"/>
            </w:tcMar>
            <w:vAlign w:val="center"/>
          </w:tcPr>
          <w:p w14:paraId="06F9D75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260" w:type="pct"/>
            <w:noWrap w:val="0"/>
            <w:tcMar>
              <w:left w:w="57" w:type="dxa"/>
              <w:right w:w="57" w:type="dxa"/>
            </w:tcMar>
            <w:vAlign w:val="center"/>
          </w:tcPr>
          <w:p w14:paraId="127DA56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434" w:type="pct"/>
            <w:noWrap w:val="0"/>
            <w:tcMar>
              <w:left w:w="57" w:type="dxa"/>
              <w:right w:w="57" w:type="dxa"/>
            </w:tcMar>
            <w:vAlign w:val="center"/>
          </w:tcPr>
          <w:p w14:paraId="4E3139C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4" w:type="pct"/>
            <w:noWrap w:val="0"/>
            <w:tcMar>
              <w:left w:w="57" w:type="dxa"/>
              <w:right w:w="57" w:type="dxa"/>
            </w:tcMar>
            <w:vAlign w:val="center"/>
          </w:tcPr>
          <w:p w14:paraId="7B398E7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13" w:type="pct"/>
            <w:noWrap w:val="0"/>
            <w:tcMar>
              <w:left w:w="57" w:type="dxa"/>
              <w:right w:w="57" w:type="dxa"/>
            </w:tcMar>
            <w:vAlign w:val="center"/>
          </w:tcPr>
          <w:p w14:paraId="7E8C426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9" w:type="pct"/>
            <w:gridSpan w:val="2"/>
            <w:noWrap w:val="0"/>
            <w:tcMar>
              <w:left w:w="57" w:type="dxa"/>
              <w:right w:w="57" w:type="dxa"/>
            </w:tcMar>
            <w:vAlign w:val="center"/>
          </w:tcPr>
          <w:p w14:paraId="2450DC7E">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58" w:type="pct"/>
            <w:noWrap w:val="0"/>
            <w:tcMar>
              <w:left w:w="57" w:type="dxa"/>
              <w:right w:w="57" w:type="dxa"/>
            </w:tcMar>
            <w:vAlign w:val="center"/>
          </w:tcPr>
          <w:p w14:paraId="1D60B73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77" w:type="pct"/>
            <w:noWrap w:val="0"/>
            <w:tcMar>
              <w:left w:w="57" w:type="dxa"/>
              <w:right w:w="57" w:type="dxa"/>
            </w:tcMar>
            <w:vAlign w:val="center"/>
          </w:tcPr>
          <w:p w14:paraId="5B5B30C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501" w:type="pct"/>
            <w:noWrap w:val="0"/>
            <w:tcMar>
              <w:left w:w="57" w:type="dxa"/>
              <w:right w:w="57" w:type="dxa"/>
            </w:tcMar>
            <w:vAlign w:val="center"/>
          </w:tcPr>
          <w:p w14:paraId="1BF2678A">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22" w:type="pct"/>
            <w:noWrap w:val="0"/>
            <w:tcMar>
              <w:left w:w="57" w:type="dxa"/>
              <w:right w:w="57" w:type="dxa"/>
            </w:tcMar>
            <w:vAlign w:val="center"/>
          </w:tcPr>
          <w:p w14:paraId="3D6EF1F3">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92" w:type="pct"/>
            <w:gridSpan w:val="2"/>
            <w:noWrap w:val="0"/>
            <w:tcMar>
              <w:left w:w="57" w:type="dxa"/>
              <w:right w:w="57" w:type="dxa"/>
            </w:tcMar>
            <w:vAlign w:val="center"/>
          </w:tcPr>
          <w:p w14:paraId="329C623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6" w:type="pct"/>
            <w:gridSpan w:val="2"/>
            <w:noWrap w:val="0"/>
            <w:tcMar>
              <w:left w:w="57" w:type="dxa"/>
              <w:right w:w="57" w:type="dxa"/>
            </w:tcMar>
            <w:vAlign w:val="center"/>
          </w:tcPr>
          <w:p w14:paraId="185D821B">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252" w:type="pct"/>
            <w:noWrap w:val="0"/>
            <w:tcMar>
              <w:left w:w="57" w:type="dxa"/>
              <w:right w:w="57" w:type="dxa"/>
            </w:tcMar>
            <w:vAlign w:val="center"/>
          </w:tcPr>
          <w:p w14:paraId="0A658AED">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r>
      <w:tr w14:paraId="6837CF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6" w:hRule="atLeast"/>
          <w:jc w:val="center"/>
        </w:trPr>
        <w:tc>
          <w:tcPr>
            <w:tcW w:w="184" w:type="pct"/>
            <w:gridSpan w:val="2"/>
            <w:vMerge w:val="continue"/>
            <w:noWrap w:val="0"/>
            <w:tcMar>
              <w:left w:w="57" w:type="dxa"/>
              <w:right w:w="57" w:type="dxa"/>
            </w:tcMar>
            <w:vAlign w:val="top"/>
          </w:tcPr>
          <w:p w14:paraId="24A2E73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344" w:type="pct"/>
            <w:vMerge w:val="continue"/>
            <w:noWrap w:val="0"/>
            <w:tcMar>
              <w:left w:w="57" w:type="dxa"/>
              <w:right w:w="57" w:type="dxa"/>
            </w:tcMar>
            <w:vAlign w:val="top"/>
          </w:tcPr>
          <w:p w14:paraId="46DDF34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b/>
                <w:color w:val="auto"/>
                <w:kern w:val="2"/>
                <w:sz w:val="13"/>
                <w:szCs w:val="13"/>
                <w:highlight w:val="none"/>
              </w:rPr>
            </w:pPr>
          </w:p>
        </w:tc>
        <w:tc>
          <w:tcPr>
            <w:tcW w:w="220" w:type="pct"/>
            <w:noWrap w:val="0"/>
            <w:tcMar>
              <w:left w:w="57" w:type="dxa"/>
              <w:right w:w="57" w:type="dxa"/>
            </w:tcMar>
            <w:vAlign w:val="center"/>
          </w:tcPr>
          <w:p w14:paraId="0AFFC48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2"/>
                <w:sz w:val="13"/>
                <w:szCs w:val="13"/>
                <w:highlight w:val="none"/>
              </w:rPr>
            </w:pPr>
          </w:p>
        </w:tc>
        <w:tc>
          <w:tcPr>
            <w:tcW w:w="260" w:type="pct"/>
            <w:noWrap w:val="0"/>
            <w:tcMar>
              <w:left w:w="57" w:type="dxa"/>
              <w:right w:w="57" w:type="dxa"/>
            </w:tcMar>
            <w:vAlign w:val="top"/>
          </w:tcPr>
          <w:p w14:paraId="1CC96F8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434" w:type="pct"/>
            <w:noWrap w:val="0"/>
            <w:tcMar>
              <w:left w:w="57" w:type="dxa"/>
              <w:right w:w="57" w:type="dxa"/>
            </w:tcMar>
            <w:vAlign w:val="top"/>
          </w:tcPr>
          <w:p w14:paraId="1FAEAB2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4" w:type="pct"/>
            <w:noWrap w:val="0"/>
            <w:tcMar>
              <w:left w:w="57" w:type="dxa"/>
              <w:right w:w="57" w:type="dxa"/>
            </w:tcMar>
            <w:vAlign w:val="top"/>
          </w:tcPr>
          <w:p w14:paraId="29E39B54">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13" w:type="pct"/>
            <w:noWrap w:val="0"/>
            <w:tcMar>
              <w:left w:w="57" w:type="dxa"/>
              <w:right w:w="57" w:type="dxa"/>
            </w:tcMar>
            <w:vAlign w:val="top"/>
          </w:tcPr>
          <w:p w14:paraId="647FD613">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9" w:type="pct"/>
            <w:gridSpan w:val="2"/>
            <w:noWrap w:val="0"/>
            <w:tcMar>
              <w:left w:w="57" w:type="dxa"/>
              <w:right w:w="57" w:type="dxa"/>
            </w:tcMar>
            <w:vAlign w:val="top"/>
          </w:tcPr>
          <w:p w14:paraId="2763539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58" w:type="pct"/>
            <w:noWrap w:val="0"/>
            <w:tcMar>
              <w:left w:w="57" w:type="dxa"/>
              <w:right w:w="57" w:type="dxa"/>
            </w:tcMar>
            <w:vAlign w:val="top"/>
          </w:tcPr>
          <w:p w14:paraId="43CDA6B1">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77" w:type="pct"/>
            <w:noWrap w:val="0"/>
            <w:tcMar>
              <w:left w:w="57" w:type="dxa"/>
              <w:right w:w="57" w:type="dxa"/>
            </w:tcMar>
            <w:vAlign w:val="top"/>
          </w:tcPr>
          <w:p w14:paraId="0BD572A9">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501" w:type="pct"/>
            <w:noWrap w:val="0"/>
            <w:tcMar>
              <w:left w:w="57" w:type="dxa"/>
              <w:right w:w="57" w:type="dxa"/>
            </w:tcMar>
            <w:vAlign w:val="top"/>
          </w:tcPr>
          <w:p w14:paraId="5875FCB9">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22" w:type="pct"/>
            <w:noWrap w:val="0"/>
            <w:tcMar>
              <w:left w:w="57" w:type="dxa"/>
              <w:right w:w="57" w:type="dxa"/>
            </w:tcMar>
            <w:vAlign w:val="top"/>
          </w:tcPr>
          <w:p w14:paraId="6CA490CF">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92" w:type="pct"/>
            <w:gridSpan w:val="2"/>
            <w:noWrap w:val="0"/>
            <w:tcMar>
              <w:left w:w="57" w:type="dxa"/>
              <w:right w:w="57" w:type="dxa"/>
            </w:tcMar>
            <w:vAlign w:val="top"/>
          </w:tcPr>
          <w:p w14:paraId="6D44FBF5">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346" w:type="pct"/>
            <w:gridSpan w:val="2"/>
            <w:noWrap w:val="0"/>
            <w:tcMar>
              <w:left w:w="57" w:type="dxa"/>
              <w:right w:w="57" w:type="dxa"/>
            </w:tcMar>
            <w:vAlign w:val="top"/>
          </w:tcPr>
          <w:p w14:paraId="53EB7750">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c>
          <w:tcPr>
            <w:tcW w:w="252" w:type="pct"/>
            <w:noWrap w:val="0"/>
            <w:tcMar>
              <w:left w:w="57" w:type="dxa"/>
              <w:right w:w="57" w:type="dxa"/>
            </w:tcMar>
            <w:vAlign w:val="top"/>
          </w:tcPr>
          <w:p w14:paraId="1E32E806">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center"/>
              <w:rPr>
                <w:rFonts w:ascii="Tahoma" w:hAnsi="Tahoma" w:eastAsia="微软雅黑" w:cs="Times New Roman"/>
                <w:color w:val="auto"/>
                <w:kern w:val="2"/>
                <w:sz w:val="13"/>
                <w:szCs w:val="13"/>
                <w:highlight w:val="none"/>
              </w:rPr>
            </w:pPr>
          </w:p>
        </w:tc>
      </w:tr>
    </w:tbl>
    <w:p w14:paraId="43E7CCF8">
      <w:pPr>
        <w:keepNext w:val="0"/>
        <w:keepLines w:val="0"/>
        <w:pageBreakBefore w:val="0"/>
        <w:widowControl/>
        <w:kinsoku/>
        <w:wordWrap/>
        <w:overflowPunct/>
        <w:topLinePunct w:val="0"/>
        <w:autoSpaceDE/>
        <w:autoSpaceDN/>
        <w:bidi w:val="0"/>
        <w:adjustRightInd w:val="0"/>
        <w:snapToGrid w:val="0"/>
        <w:spacing w:after="0" w:line="240" w:lineRule="auto"/>
        <w:ind w:left="0" w:right="0" w:firstLine="0" w:firstLineChars="0"/>
        <w:jc w:val="left"/>
        <w:rPr>
          <w:rFonts w:ascii="Tahoma" w:hAnsi="Tahoma" w:eastAsia="微软雅黑" w:cs="Times New Roman"/>
          <w:color w:val="auto"/>
          <w:kern w:val="0"/>
          <w:sz w:val="15"/>
          <w:szCs w:val="15"/>
          <w:highlight w:val="none"/>
        </w:rPr>
      </w:pPr>
      <w:r>
        <w:rPr>
          <w:rFonts w:ascii="Tahoma" w:hAnsi="Tahoma" w:eastAsia="微软雅黑" w:cs="Times New Roman"/>
          <w:b/>
          <w:color w:val="auto"/>
          <w:kern w:val="0"/>
          <w:sz w:val="15"/>
          <w:szCs w:val="15"/>
          <w:highlight w:val="none"/>
        </w:rPr>
        <w:t>注</w:t>
      </w:r>
      <w:r>
        <w:rPr>
          <w:rFonts w:ascii="Tahoma" w:hAnsi="Tahoma" w:eastAsia="微软雅黑" w:cs="Times New Roman"/>
          <w:color w:val="auto"/>
          <w:kern w:val="0"/>
          <w:sz w:val="15"/>
          <w:szCs w:val="15"/>
          <w:highlight w:val="none"/>
        </w:rPr>
        <w:t>：1、</w:t>
      </w:r>
      <w:r>
        <w:rPr>
          <w:rFonts w:ascii="Tahoma" w:hAnsi="Tahoma" w:eastAsia="微软雅黑" w:cs="Times New Roman"/>
          <w:color w:val="auto"/>
          <w:spacing w:val="-4"/>
          <w:kern w:val="0"/>
          <w:sz w:val="15"/>
          <w:szCs w:val="15"/>
          <w:highlight w:val="none"/>
        </w:rPr>
        <w:t>排放增减量：（+）表示增加，（-）表示减少。2、(12)=(6)-(8)-(11)，（9）= (4)-(5)-(8)- (11) +（1）。3、计量单位：废水排放量——万吨/年；废气排放量——万标立方米/年；工业固体废物排放</w:t>
      </w:r>
      <w:r>
        <w:rPr>
          <w:rFonts w:ascii="Tahoma" w:hAnsi="Tahoma" w:eastAsia="微软雅黑" w:cs="Times New Roman"/>
          <w:color w:val="auto"/>
          <w:kern w:val="0"/>
          <w:sz w:val="15"/>
          <w:szCs w:val="15"/>
          <w:highlight w:val="none"/>
        </w:rPr>
        <w:t>量——万吨/年；水污染物排放浓度——毫克/升</w:t>
      </w:r>
    </w:p>
    <w:p w14:paraId="23452882">
      <w:pPr>
        <w:keepNext w:val="0"/>
        <w:keepLines w:val="0"/>
        <w:pageBreakBefore w:val="0"/>
        <w:kinsoku/>
        <w:wordWrap/>
        <w:overflowPunct/>
        <w:topLinePunct w:val="0"/>
        <w:autoSpaceDE/>
        <w:autoSpaceDN/>
        <w:bidi w:val="0"/>
        <w:adjustRightInd w:val="0"/>
        <w:snapToGrid w:val="0"/>
        <w:spacing w:line="240" w:lineRule="auto"/>
        <w:ind w:left="0" w:right="0" w:firstLine="0" w:firstLineChars="0"/>
        <w:rPr>
          <w:color w:val="auto"/>
          <w:sz w:val="15"/>
          <w:szCs w:val="15"/>
          <w:highlight w:val="none"/>
        </w:rPr>
        <w:sectPr>
          <w:footerReference r:id="rId8" w:type="default"/>
          <w:pgSz w:w="16840" w:h="11907" w:orient="landscape"/>
          <w:pgMar w:top="1531" w:right="1304" w:bottom="1531" w:left="1304" w:header="284" w:footer="851" w:gutter="0"/>
          <w:pgBorders>
            <w:top w:val="none" w:sz="0" w:space="0"/>
            <w:left w:val="none" w:sz="0" w:space="0"/>
            <w:bottom w:val="none" w:sz="0" w:space="0"/>
            <w:right w:val="none" w:sz="0" w:space="0"/>
          </w:pgBorders>
          <w:pgNumType w:fmt="decimal"/>
          <w:cols w:space="720" w:num="1"/>
          <w:docGrid w:linePitch="285" w:charSpace="0"/>
        </w:sectPr>
      </w:pPr>
    </w:p>
    <w:p w14:paraId="2E7ED7A1">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eastAsia="宋体" w:cs="Times New Roman"/>
          <w:b/>
          <w:bCs/>
          <w:color w:val="auto"/>
          <w:kern w:val="2"/>
          <w:sz w:val="21"/>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附件2环评批复</w:t>
      </w:r>
    </w:p>
    <w:p w14:paraId="2EFE26B0">
      <w:pPr>
        <w:pStyle w:val="15"/>
        <w:ind w:left="0" w:leftChars="0" w:firstLine="0" w:firstLineChars="0"/>
        <w:rPr>
          <w:rFonts w:hint="eastAsia" w:ascii="Times New Roman" w:hAnsi="Times New Roman" w:eastAsia="宋体" w:cs="Times New Roman"/>
          <w:b/>
          <w:bCs/>
          <w:color w:val="auto"/>
          <w:kern w:val="2"/>
          <w:sz w:val="21"/>
          <w:szCs w:val="24"/>
          <w:highlight w:val="none"/>
          <w:lang w:val="en-US" w:eastAsia="zh-CN" w:bidi="ar-SA"/>
        </w:rPr>
      </w:pPr>
      <w:r>
        <w:rPr>
          <w:rFonts w:hint="eastAsia" w:ascii="Times New Roman" w:hAnsi="Times New Roman" w:eastAsia="宋体" w:cs="Times New Roman"/>
          <w:b/>
          <w:bCs/>
          <w:color w:val="auto"/>
          <w:kern w:val="2"/>
          <w:sz w:val="21"/>
          <w:szCs w:val="24"/>
          <w:highlight w:val="none"/>
          <w:lang w:val="en-US" w:eastAsia="zh-CN" w:bidi="ar-SA"/>
        </w:rPr>
        <w:drawing>
          <wp:inline distT="0" distB="0" distL="114300" distR="114300">
            <wp:extent cx="5273675" cy="7477760"/>
            <wp:effectExtent l="0" t="0" r="3175" b="8890"/>
            <wp:docPr id="27" name="图片 27" descr="173459360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734593602726"/>
                    <pic:cNvPicPr>
                      <a:picLocks noChangeAspect="1"/>
                    </pic:cNvPicPr>
                  </pic:nvPicPr>
                  <pic:blipFill>
                    <a:blip r:embed="rId37"/>
                    <a:stretch>
                      <a:fillRect/>
                    </a:stretch>
                  </pic:blipFill>
                  <pic:spPr>
                    <a:xfrm>
                      <a:off x="0" y="0"/>
                      <a:ext cx="5273675" cy="7477760"/>
                    </a:xfrm>
                    <a:prstGeom prst="rect">
                      <a:avLst/>
                    </a:prstGeom>
                  </pic:spPr>
                </pic:pic>
              </a:graphicData>
            </a:graphic>
          </wp:inline>
        </w:drawing>
      </w:r>
    </w:p>
    <w:p w14:paraId="09C60E36">
      <w:pPr>
        <w:rPr>
          <w:rFonts w:hint="eastAsia" w:ascii="宋体" w:hAnsi="宋体" w:eastAsia="宋体" w:cs="宋体"/>
          <w:b w:val="0"/>
          <w:bCs w:val="0"/>
          <w:color w:val="auto"/>
          <w:kern w:val="2"/>
          <w:sz w:val="24"/>
          <w:szCs w:val="24"/>
          <w:highlight w:val="none"/>
          <w:lang w:val="en-US" w:eastAsia="zh-CN" w:bidi="ar-SA"/>
        </w:rPr>
      </w:pPr>
    </w:p>
    <w:p w14:paraId="36623A9A">
      <w:pPr>
        <w:pStyle w:val="16"/>
        <w:rPr>
          <w:rFonts w:hint="eastAsia" w:ascii="宋体" w:hAnsi="宋体" w:eastAsia="宋体" w:cs="宋体"/>
          <w:b w:val="0"/>
          <w:bCs w:val="0"/>
          <w:color w:val="auto"/>
          <w:kern w:val="2"/>
          <w:sz w:val="24"/>
          <w:szCs w:val="24"/>
          <w:highlight w:val="none"/>
          <w:lang w:val="en-US" w:eastAsia="zh-CN" w:bidi="ar-SA"/>
        </w:rPr>
      </w:pPr>
    </w:p>
    <w:p w14:paraId="188350E8">
      <w:pPr>
        <w:ind w:left="0" w:leftChars="0" w:firstLine="0" w:firstLineChars="0"/>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drawing>
          <wp:inline distT="0" distB="0" distL="114300" distR="114300">
            <wp:extent cx="5269230" cy="7543800"/>
            <wp:effectExtent l="0" t="0" r="7620" b="0"/>
            <wp:docPr id="28" name="图片 28" descr="1734593627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734593627676"/>
                    <pic:cNvPicPr>
                      <a:picLocks noChangeAspect="1"/>
                    </pic:cNvPicPr>
                  </pic:nvPicPr>
                  <pic:blipFill>
                    <a:blip r:embed="rId38"/>
                    <a:stretch>
                      <a:fillRect/>
                    </a:stretch>
                  </pic:blipFill>
                  <pic:spPr>
                    <a:xfrm>
                      <a:off x="0" y="0"/>
                      <a:ext cx="5269230" cy="7543800"/>
                    </a:xfrm>
                    <a:prstGeom prst="rect">
                      <a:avLst/>
                    </a:prstGeom>
                  </pic:spPr>
                </pic:pic>
              </a:graphicData>
            </a:graphic>
          </wp:inline>
        </w:drawing>
      </w:r>
    </w:p>
    <w:p w14:paraId="7D5C2BD1">
      <w:pPr>
        <w:pStyle w:val="16"/>
        <w:rPr>
          <w:rFonts w:hint="eastAsia" w:ascii="宋体" w:hAnsi="宋体" w:eastAsia="宋体" w:cs="宋体"/>
          <w:b w:val="0"/>
          <w:bCs w:val="0"/>
          <w:color w:val="auto"/>
          <w:kern w:val="2"/>
          <w:sz w:val="24"/>
          <w:szCs w:val="24"/>
          <w:highlight w:val="none"/>
          <w:lang w:val="en-US" w:eastAsia="zh-CN" w:bidi="ar-SA"/>
        </w:rPr>
      </w:pPr>
    </w:p>
    <w:p w14:paraId="1BF4A29E">
      <w:pPr>
        <w:rPr>
          <w:rFonts w:hint="eastAsia" w:ascii="宋体" w:hAnsi="宋体" w:eastAsia="宋体" w:cs="宋体"/>
          <w:b w:val="0"/>
          <w:bCs w:val="0"/>
          <w:color w:val="auto"/>
          <w:kern w:val="2"/>
          <w:sz w:val="24"/>
          <w:szCs w:val="24"/>
          <w:highlight w:val="none"/>
          <w:lang w:val="en-US" w:eastAsia="zh-CN" w:bidi="ar-SA"/>
        </w:rPr>
      </w:pPr>
    </w:p>
    <w:p w14:paraId="71052485">
      <w:pPr>
        <w:pStyle w:val="16"/>
        <w:rPr>
          <w:rFonts w:hint="eastAsia" w:ascii="宋体" w:hAnsi="宋体" w:eastAsia="宋体" w:cs="宋体"/>
          <w:b w:val="0"/>
          <w:bCs w:val="0"/>
          <w:color w:val="auto"/>
          <w:kern w:val="2"/>
          <w:sz w:val="24"/>
          <w:szCs w:val="24"/>
          <w:highlight w:val="none"/>
          <w:lang w:val="en-US" w:eastAsia="zh-CN" w:bidi="ar-SA"/>
        </w:rPr>
      </w:pPr>
    </w:p>
    <w:p w14:paraId="7D0EF710">
      <w:pPr>
        <w:ind w:left="0" w:leftChars="0" w:firstLine="0" w:firstLineChars="0"/>
        <w:rPr>
          <w:rFonts w:hint="eastAsia"/>
          <w:highlight w:val="none"/>
          <w:lang w:val="en-US" w:eastAsia="zh-CN"/>
        </w:rPr>
      </w:pPr>
      <w:r>
        <w:rPr>
          <w:rFonts w:hint="eastAsia"/>
          <w:highlight w:val="none"/>
          <w:lang w:val="en-US" w:eastAsia="zh-CN"/>
        </w:rPr>
        <w:drawing>
          <wp:inline distT="0" distB="0" distL="114300" distR="114300">
            <wp:extent cx="5271135" cy="7334885"/>
            <wp:effectExtent l="0" t="0" r="5715" b="18415"/>
            <wp:docPr id="29" name="图片 29" descr="173459365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734593652242"/>
                    <pic:cNvPicPr>
                      <a:picLocks noChangeAspect="1"/>
                    </pic:cNvPicPr>
                  </pic:nvPicPr>
                  <pic:blipFill>
                    <a:blip r:embed="rId39"/>
                    <a:stretch>
                      <a:fillRect/>
                    </a:stretch>
                  </pic:blipFill>
                  <pic:spPr>
                    <a:xfrm>
                      <a:off x="0" y="0"/>
                      <a:ext cx="5271135" cy="7334885"/>
                    </a:xfrm>
                    <a:prstGeom prst="rect">
                      <a:avLst/>
                    </a:prstGeom>
                  </pic:spPr>
                </pic:pic>
              </a:graphicData>
            </a:graphic>
          </wp:inline>
        </w:drawing>
      </w:r>
    </w:p>
    <w:p w14:paraId="3253DFF1">
      <w:pPr>
        <w:pStyle w:val="16"/>
        <w:rPr>
          <w:rFonts w:hint="eastAsia"/>
          <w:highlight w:val="none"/>
          <w:lang w:val="en-US" w:eastAsia="zh-CN"/>
        </w:rPr>
      </w:pPr>
    </w:p>
    <w:p w14:paraId="5903AEAF">
      <w:pPr>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br w:type="page"/>
      </w:r>
    </w:p>
    <w:p w14:paraId="0D7275D9">
      <w:pPr>
        <w:ind w:left="0" w:leftChars="0" w:firstLine="0" w:firstLineChars="0"/>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drawing>
          <wp:inline distT="0" distB="0" distL="114300" distR="114300">
            <wp:extent cx="5269865" cy="7402195"/>
            <wp:effectExtent l="0" t="0" r="6985" b="8255"/>
            <wp:docPr id="30" name="图片 30" descr="173459368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734593680053"/>
                    <pic:cNvPicPr>
                      <a:picLocks noChangeAspect="1"/>
                    </pic:cNvPicPr>
                  </pic:nvPicPr>
                  <pic:blipFill>
                    <a:blip r:embed="rId40"/>
                    <a:stretch>
                      <a:fillRect/>
                    </a:stretch>
                  </pic:blipFill>
                  <pic:spPr>
                    <a:xfrm>
                      <a:off x="0" y="0"/>
                      <a:ext cx="5269865" cy="7402195"/>
                    </a:xfrm>
                    <a:prstGeom prst="rect">
                      <a:avLst/>
                    </a:prstGeom>
                  </pic:spPr>
                </pic:pic>
              </a:graphicData>
            </a:graphic>
          </wp:inline>
        </w:drawing>
      </w:r>
    </w:p>
    <w:p w14:paraId="12F2F468">
      <w:pPr>
        <w:rPr>
          <w:rFonts w:hint="eastAsia" w:ascii="宋体" w:hAnsi="宋体" w:eastAsia="宋体" w:cs="宋体"/>
          <w:b w:val="0"/>
          <w:bCs w:val="0"/>
          <w:color w:val="auto"/>
          <w:kern w:val="2"/>
          <w:sz w:val="24"/>
          <w:szCs w:val="24"/>
          <w:highlight w:val="none"/>
          <w:lang w:val="en-US" w:eastAsia="zh-CN" w:bidi="ar-SA"/>
        </w:rPr>
      </w:pPr>
    </w:p>
    <w:p w14:paraId="4DDB6942">
      <w:pPr>
        <w:rPr>
          <w:rFonts w:hint="eastAsia" w:ascii="宋体" w:hAnsi="宋体" w:eastAsia="宋体" w:cs="宋体"/>
          <w:b w:val="0"/>
          <w:bCs w:val="0"/>
          <w:color w:val="auto"/>
          <w:kern w:val="2"/>
          <w:sz w:val="24"/>
          <w:szCs w:val="24"/>
          <w:highlight w:val="none"/>
          <w:lang w:val="en-US" w:eastAsia="zh-CN" w:bidi="ar-SA"/>
        </w:rPr>
      </w:pPr>
    </w:p>
    <w:p w14:paraId="2BF5A028">
      <w:pPr>
        <w:rPr>
          <w:rFonts w:hint="eastAsia" w:ascii="宋体" w:hAnsi="宋体" w:eastAsia="宋体" w:cs="宋体"/>
          <w:b w:val="0"/>
          <w:bCs w:val="0"/>
          <w:color w:val="auto"/>
          <w:kern w:val="2"/>
          <w:sz w:val="24"/>
          <w:szCs w:val="24"/>
          <w:highlight w:val="none"/>
          <w:lang w:val="en-US" w:eastAsia="zh-CN" w:bidi="ar-SA"/>
        </w:rPr>
      </w:pPr>
    </w:p>
    <w:p w14:paraId="42481503">
      <w:pPr>
        <w:rPr>
          <w:rFonts w:hint="eastAsia" w:ascii="宋体" w:hAnsi="宋体" w:eastAsia="宋体" w:cs="宋体"/>
          <w:b w:val="0"/>
          <w:bCs w:val="0"/>
          <w:color w:val="auto"/>
          <w:kern w:val="2"/>
          <w:sz w:val="24"/>
          <w:szCs w:val="24"/>
          <w:highlight w:val="none"/>
          <w:lang w:val="en-US" w:eastAsia="zh-CN" w:bidi="ar-SA"/>
        </w:rPr>
      </w:pPr>
    </w:p>
    <w:p w14:paraId="2BAE2CA4">
      <w:pPr>
        <w:ind w:left="0" w:leftChars="0" w:firstLine="0" w:firstLineChars="0"/>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drawing>
          <wp:inline distT="0" distB="0" distL="114300" distR="114300">
            <wp:extent cx="5273040" cy="7533640"/>
            <wp:effectExtent l="0" t="0" r="3810" b="10160"/>
            <wp:docPr id="31" name="图片 31" descr="173459372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734593724012"/>
                    <pic:cNvPicPr>
                      <a:picLocks noChangeAspect="1"/>
                    </pic:cNvPicPr>
                  </pic:nvPicPr>
                  <pic:blipFill>
                    <a:blip r:embed="rId41"/>
                    <a:stretch>
                      <a:fillRect/>
                    </a:stretch>
                  </pic:blipFill>
                  <pic:spPr>
                    <a:xfrm>
                      <a:off x="0" y="0"/>
                      <a:ext cx="5273040" cy="7533640"/>
                    </a:xfrm>
                    <a:prstGeom prst="rect">
                      <a:avLst/>
                    </a:prstGeom>
                  </pic:spPr>
                </pic:pic>
              </a:graphicData>
            </a:graphic>
          </wp:inline>
        </w:drawing>
      </w:r>
    </w:p>
    <w:p w14:paraId="2C9D2C6B">
      <w:pPr>
        <w:rPr>
          <w:rFonts w:hint="eastAsia" w:ascii="宋体" w:hAnsi="宋体" w:eastAsia="宋体" w:cs="宋体"/>
          <w:b w:val="0"/>
          <w:bCs w:val="0"/>
          <w:color w:val="auto"/>
          <w:kern w:val="2"/>
          <w:sz w:val="24"/>
          <w:szCs w:val="24"/>
          <w:highlight w:val="none"/>
          <w:lang w:val="en-US" w:eastAsia="zh-CN" w:bidi="ar-SA"/>
        </w:rPr>
      </w:pPr>
    </w:p>
    <w:p w14:paraId="6356B578">
      <w:pPr>
        <w:rPr>
          <w:rFonts w:hint="eastAsia" w:ascii="宋体" w:hAnsi="宋体" w:eastAsia="宋体" w:cs="宋体"/>
          <w:b w:val="0"/>
          <w:bCs w:val="0"/>
          <w:color w:val="auto"/>
          <w:kern w:val="2"/>
          <w:sz w:val="24"/>
          <w:szCs w:val="24"/>
          <w:highlight w:val="yellow"/>
          <w:lang w:val="en-US" w:eastAsia="zh-CN" w:bidi="ar-SA"/>
        </w:rPr>
      </w:pPr>
    </w:p>
    <w:p w14:paraId="0C960DC0">
      <w:pPr>
        <w:rPr>
          <w:rFonts w:hint="eastAsia" w:ascii="宋体" w:hAnsi="宋体" w:eastAsia="宋体" w:cs="宋体"/>
          <w:b w:val="0"/>
          <w:bCs w:val="0"/>
          <w:color w:val="auto"/>
          <w:kern w:val="2"/>
          <w:sz w:val="24"/>
          <w:szCs w:val="24"/>
          <w:highlight w:val="yellow"/>
          <w:lang w:val="en-US" w:eastAsia="zh-CN" w:bidi="ar-SA"/>
        </w:rPr>
      </w:pPr>
    </w:p>
    <w:p w14:paraId="1AE4776E">
      <w:pPr>
        <w:ind w:left="0" w:leftChars="0" w:firstLine="0" w:firstLineChars="0"/>
        <w:rPr>
          <w:rFonts w:hint="eastAsia" w:ascii="宋体" w:hAnsi="宋体" w:eastAsia="宋体" w:cs="宋体"/>
          <w:b w:val="0"/>
          <w:bCs w:val="0"/>
          <w:color w:val="auto"/>
          <w:kern w:val="2"/>
          <w:sz w:val="24"/>
          <w:szCs w:val="24"/>
          <w:highlight w:val="yellow"/>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B1FE295">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附件3项目地理位置图</w:t>
      </w:r>
    </w:p>
    <w:p w14:paraId="097C2DDE">
      <w:pPr>
        <w:pStyle w:val="16"/>
        <w:ind w:left="0" w:leftChars="0" w:firstLine="0" w:firstLineChars="0"/>
        <w:jc w:val="center"/>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drawing>
          <wp:inline distT="0" distB="0" distL="114300" distR="114300">
            <wp:extent cx="6880225" cy="4840605"/>
            <wp:effectExtent l="0" t="0" r="15875" b="17145"/>
            <wp:docPr id="32" name="图片 32" descr="1734594022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734594022673"/>
                    <pic:cNvPicPr>
                      <a:picLocks noChangeAspect="1"/>
                    </pic:cNvPicPr>
                  </pic:nvPicPr>
                  <pic:blipFill>
                    <a:blip r:embed="rId42"/>
                    <a:stretch>
                      <a:fillRect/>
                    </a:stretch>
                  </pic:blipFill>
                  <pic:spPr>
                    <a:xfrm>
                      <a:off x="0" y="0"/>
                      <a:ext cx="6880225" cy="4840605"/>
                    </a:xfrm>
                    <a:prstGeom prst="rect">
                      <a:avLst/>
                    </a:prstGeom>
                  </pic:spPr>
                </pic:pic>
              </a:graphicData>
            </a:graphic>
          </wp:inline>
        </w:drawing>
      </w:r>
    </w:p>
    <w:p w14:paraId="2F6F499B">
      <w:pPr>
        <w:pStyle w:val="16"/>
        <w:jc w:val="center"/>
        <w:rPr>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4FDF939">
      <w:pPr>
        <w:ind w:left="0" w:leftChars="0" w:firstLine="0" w:firstLineChars="0"/>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附件4项目四邻分布图</w:t>
      </w:r>
    </w:p>
    <w:p w14:paraId="61FD6161">
      <w:pPr>
        <w:pStyle w:val="15"/>
        <w:ind w:left="0" w:leftChars="0" w:firstLine="0" w:firstLineChars="0"/>
        <w:jc w:val="center"/>
        <w:rPr>
          <w:rFonts w:hint="eastAsia"/>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highlight w:val="none"/>
        </w:rPr>
        <w:drawing>
          <wp:inline distT="0" distB="0" distL="114300" distR="114300">
            <wp:extent cx="7386955" cy="4774565"/>
            <wp:effectExtent l="0" t="0" r="4445" b="6985"/>
            <wp:docPr id="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
                    <pic:cNvPicPr>
                      <a:picLocks noChangeAspect="1"/>
                    </pic:cNvPicPr>
                  </pic:nvPicPr>
                  <pic:blipFill>
                    <a:blip r:embed="rId43"/>
                    <a:stretch>
                      <a:fillRect/>
                    </a:stretch>
                  </pic:blipFill>
                  <pic:spPr>
                    <a:xfrm>
                      <a:off x="0" y="0"/>
                      <a:ext cx="7386955" cy="4774565"/>
                    </a:xfrm>
                    <a:prstGeom prst="rect">
                      <a:avLst/>
                    </a:prstGeom>
                    <a:noFill/>
                    <a:ln>
                      <a:noFill/>
                    </a:ln>
                  </pic:spPr>
                </pic:pic>
              </a:graphicData>
            </a:graphic>
          </wp:inline>
        </w:drawing>
      </w:r>
    </w:p>
    <w:p w14:paraId="2C117E65">
      <w:pPr>
        <w:ind w:left="0" w:leftChars="0" w:firstLine="0" w:firstLineChars="0"/>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附件5环境保护目标分布图</w:t>
      </w:r>
    </w:p>
    <w:p w14:paraId="77210B10">
      <w:pPr>
        <w:pStyle w:val="16"/>
        <w:ind w:left="0" w:leftChars="0" w:firstLine="0" w:firstLineChars="0"/>
        <w:jc w:val="center"/>
        <w:rPr>
          <w:rFonts w:hint="eastAsia" w:eastAsia="宋体"/>
          <w:highlight w:val="none"/>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宋体"/>
          <w:highlight w:val="none"/>
          <w:lang w:eastAsia="zh-CN"/>
        </w:rPr>
        <w:drawing>
          <wp:inline distT="0" distB="0" distL="114300" distR="114300">
            <wp:extent cx="7943215" cy="4857750"/>
            <wp:effectExtent l="0" t="0" r="635" b="0"/>
            <wp:docPr id="33" name="图片 33" descr="1734595097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734595097040"/>
                    <pic:cNvPicPr>
                      <a:picLocks noChangeAspect="1"/>
                    </pic:cNvPicPr>
                  </pic:nvPicPr>
                  <pic:blipFill>
                    <a:blip r:embed="rId44"/>
                    <a:stretch>
                      <a:fillRect/>
                    </a:stretch>
                  </pic:blipFill>
                  <pic:spPr>
                    <a:xfrm>
                      <a:off x="0" y="0"/>
                      <a:ext cx="7943215" cy="4857750"/>
                    </a:xfrm>
                    <a:prstGeom prst="rect">
                      <a:avLst/>
                    </a:prstGeom>
                  </pic:spPr>
                </pic:pic>
              </a:graphicData>
            </a:graphic>
          </wp:inline>
        </w:drawing>
      </w:r>
    </w:p>
    <w:p w14:paraId="2740DA73">
      <w:pPr>
        <w:ind w:left="0" w:leftChars="0" w:firstLine="0" w:firstLineChars="0"/>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附件6平面布置图</w:t>
      </w:r>
    </w:p>
    <w:p w14:paraId="6C954E10">
      <w:pPr>
        <w:ind w:left="0" w:leftChars="0" w:firstLine="0" w:firstLineChars="0"/>
        <w:rPr>
          <w:rFonts w:hint="eastAsia" w:ascii="宋体" w:hAnsi="宋体" w:eastAsia="宋体" w:cs="宋体"/>
          <w:b w:val="0"/>
          <w:bCs w:val="0"/>
          <w:color w:val="auto"/>
          <w:kern w:val="2"/>
          <w:sz w:val="24"/>
          <w:szCs w:val="24"/>
          <w:highlight w:val="none"/>
          <w:lang w:val="en-US" w:eastAsia="zh-CN" w:bidi="ar-SA"/>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highlight w:val="none"/>
          <w:lang w:val="en-US" w:eastAsia="zh-CN"/>
        </w:rPr>
        <w:drawing>
          <wp:inline distT="0" distB="0" distL="114300" distR="114300">
            <wp:extent cx="8862695" cy="4255770"/>
            <wp:effectExtent l="0" t="0" r="14605" b="11430"/>
            <wp:docPr id="44" name="图片 44" descr="173459530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734595302881"/>
                    <pic:cNvPicPr>
                      <a:picLocks noChangeAspect="1"/>
                    </pic:cNvPicPr>
                  </pic:nvPicPr>
                  <pic:blipFill>
                    <a:blip r:embed="rId45"/>
                    <a:stretch>
                      <a:fillRect/>
                    </a:stretch>
                  </pic:blipFill>
                  <pic:spPr>
                    <a:xfrm>
                      <a:off x="0" y="0"/>
                      <a:ext cx="8862695" cy="4255770"/>
                    </a:xfrm>
                    <a:prstGeom prst="rect">
                      <a:avLst/>
                    </a:prstGeom>
                  </pic:spPr>
                </pic:pic>
              </a:graphicData>
            </a:graphic>
          </wp:inline>
        </w:drawing>
      </w:r>
    </w:p>
    <w:p w14:paraId="49B84DFE">
      <w:pPr>
        <w:ind w:left="0" w:leftChars="0" w:firstLine="0" w:firstLineChars="0"/>
        <w:rPr>
          <w:rFonts w:hint="eastAsia" w:ascii="宋体" w:hAnsi="宋体" w:eastAsia="宋体" w:cs="宋体"/>
          <w:b w:val="0"/>
          <w:bCs w:val="0"/>
          <w:color w:val="auto"/>
          <w:kern w:val="2"/>
          <w:sz w:val="24"/>
          <w:szCs w:val="24"/>
          <w:highlight w:val="none"/>
          <w:lang w:val="en-US" w:eastAsia="zh-CN" w:bidi="ar-SA"/>
        </w:rPr>
      </w:pPr>
      <w:r>
        <w:rPr>
          <w:rFonts w:hint="eastAsia" w:ascii="宋体" w:hAnsi="宋体" w:cs="宋体"/>
          <w:b w:val="0"/>
          <w:bCs w:val="0"/>
          <w:color w:val="auto"/>
          <w:kern w:val="2"/>
          <w:sz w:val="24"/>
          <w:szCs w:val="24"/>
          <w:highlight w:val="none"/>
          <w:lang w:val="en-US" w:eastAsia="zh-CN" w:bidi="ar-SA"/>
        </w:rPr>
        <w:t>附件7原环评</w:t>
      </w:r>
      <w:r>
        <w:rPr>
          <w:rFonts w:hint="eastAsia" w:ascii="宋体" w:hAnsi="宋体" w:eastAsia="宋体" w:cs="宋体"/>
          <w:b w:val="0"/>
          <w:bCs w:val="0"/>
          <w:color w:val="auto"/>
          <w:kern w:val="2"/>
          <w:sz w:val="24"/>
          <w:szCs w:val="24"/>
          <w:highlight w:val="none"/>
          <w:lang w:val="en-US" w:eastAsia="zh-CN" w:bidi="ar-SA"/>
        </w:rPr>
        <w:t>平面布置图</w:t>
      </w:r>
    </w:p>
    <w:p w14:paraId="7C820055">
      <w:pPr>
        <w:ind w:left="0" w:leftChars="0" w:firstLine="0" w:firstLineChars="0"/>
        <w:jc w:val="both"/>
        <w:rPr>
          <w:rFonts w:hint="eastAsia"/>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color w:val="auto"/>
          <w:highlight w:val="none"/>
          <w:lang w:val="en-US" w:eastAsia="zh-CN"/>
        </w:rPr>
        <w:drawing>
          <wp:inline distT="0" distB="0" distL="114300" distR="114300">
            <wp:extent cx="8859520" cy="4801870"/>
            <wp:effectExtent l="0" t="0" r="17780" b="17780"/>
            <wp:docPr id="45" name="图片 45" descr="微信截图_2024090210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微信截图_20240902102252"/>
                    <pic:cNvPicPr>
                      <a:picLocks noChangeAspect="1"/>
                    </pic:cNvPicPr>
                  </pic:nvPicPr>
                  <pic:blipFill>
                    <a:blip r:embed="rId46"/>
                    <a:stretch>
                      <a:fillRect/>
                    </a:stretch>
                  </pic:blipFill>
                  <pic:spPr>
                    <a:xfrm>
                      <a:off x="0" y="0"/>
                      <a:ext cx="8859520" cy="4801870"/>
                    </a:xfrm>
                    <a:prstGeom prst="rect">
                      <a:avLst/>
                    </a:prstGeom>
                  </pic:spPr>
                </pic:pic>
              </a:graphicData>
            </a:graphic>
          </wp:inline>
        </w:drawing>
      </w:r>
    </w:p>
    <w:p w14:paraId="61A97EB9">
      <w:pPr>
        <w:pStyle w:val="6"/>
        <w:ind w:left="0" w:leftChars="0" w:firstLine="0" w:firstLineChars="0"/>
        <w:jc w:val="left"/>
        <w:rPr>
          <w:rFonts w:hint="eastAsia" w:ascii="Times New Roman" w:hAnsi="Times New Roman"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附件</w:t>
      </w:r>
      <w:r>
        <w:rPr>
          <w:rFonts w:hint="eastAsia" w:cs="Times New Roman"/>
          <w:bCs/>
          <w:color w:val="auto"/>
          <w:kern w:val="2"/>
          <w:sz w:val="24"/>
          <w:szCs w:val="24"/>
          <w:highlight w:val="none"/>
          <w:lang w:val="en-US" w:eastAsia="zh-CN" w:bidi="ar-SA"/>
        </w:rPr>
        <w:t>8场地租用</w:t>
      </w:r>
      <w:r>
        <w:rPr>
          <w:rFonts w:hint="eastAsia" w:ascii="Times New Roman" w:hAnsi="Times New Roman" w:cs="Times New Roman"/>
          <w:bCs/>
          <w:color w:val="auto"/>
          <w:kern w:val="2"/>
          <w:sz w:val="24"/>
          <w:szCs w:val="24"/>
          <w:highlight w:val="none"/>
          <w:lang w:val="en-US" w:eastAsia="zh-CN" w:bidi="ar-SA"/>
        </w:rPr>
        <w:t>协议</w:t>
      </w:r>
    </w:p>
    <w:p w14:paraId="341EF301">
      <w:pPr>
        <w:ind w:left="0" w:leftChars="0" w:firstLine="0" w:firstLineChars="0"/>
        <w:rPr>
          <w:rFonts w:hint="default"/>
          <w:color w:val="auto"/>
          <w:highlight w:val="none"/>
          <w:lang w:val="en-US" w:eastAsia="zh-CN"/>
        </w:rPr>
        <w:sectPr>
          <w:footerReference r:id="rId9"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color w:val="auto"/>
          <w:highlight w:val="none"/>
          <w:lang w:val="en-US" w:eastAsia="zh-CN"/>
        </w:rPr>
        <w:drawing>
          <wp:inline distT="0" distB="0" distL="114300" distR="114300">
            <wp:extent cx="5272405" cy="7722235"/>
            <wp:effectExtent l="0" t="0" r="4445" b="12065"/>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47"/>
                    <a:stretch>
                      <a:fillRect/>
                    </a:stretch>
                  </pic:blipFill>
                  <pic:spPr>
                    <a:xfrm>
                      <a:off x="0" y="0"/>
                      <a:ext cx="5272405" cy="7722235"/>
                    </a:xfrm>
                    <a:prstGeom prst="rect">
                      <a:avLst/>
                    </a:prstGeom>
                    <a:noFill/>
                    <a:ln w="9525">
                      <a:noFill/>
                    </a:ln>
                  </pic:spPr>
                </pic:pic>
              </a:graphicData>
            </a:graphic>
          </wp:inline>
        </w:drawing>
      </w:r>
      <w:r>
        <w:rPr>
          <w:rFonts w:hint="default"/>
          <w:color w:val="auto"/>
          <w:highlight w:val="none"/>
          <w:lang w:val="en-US" w:eastAsia="zh-CN"/>
        </w:rPr>
        <w:drawing>
          <wp:inline distT="0" distB="0" distL="114300" distR="114300">
            <wp:extent cx="5269230" cy="7557770"/>
            <wp:effectExtent l="0" t="0" r="7620" b="5080"/>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48"/>
                    <a:stretch>
                      <a:fillRect/>
                    </a:stretch>
                  </pic:blipFill>
                  <pic:spPr>
                    <a:xfrm>
                      <a:off x="0" y="0"/>
                      <a:ext cx="5269230" cy="7557770"/>
                    </a:xfrm>
                    <a:prstGeom prst="rect">
                      <a:avLst/>
                    </a:prstGeom>
                    <a:noFill/>
                    <a:ln w="9525">
                      <a:noFill/>
                    </a:ln>
                  </pic:spPr>
                </pic:pic>
              </a:graphicData>
            </a:graphic>
          </wp:inline>
        </w:drawing>
      </w:r>
    </w:p>
    <w:p w14:paraId="604CDC10">
      <w:pPr>
        <w:pStyle w:val="15"/>
        <w:rPr>
          <w:rFonts w:hint="eastAsia"/>
          <w:highlight w:val="none"/>
          <w:lang w:val="en-US" w:eastAsia="zh-CN"/>
        </w:rPr>
      </w:pPr>
    </w:p>
    <w:p w14:paraId="1E03821E">
      <w:pPr>
        <w:pStyle w:val="6"/>
        <w:ind w:left="0" w:leftChars="0" w:firstLine="0" w:firstLineChars="0"/>
        <w:jc w:val="left"/>
        <w:rPr>
          <w:rFonts w:hint="eastAsia" w:ascii="Times New Roman" w:hAnsi="Times New Roman" w:cs="Times New Roman"/>
          <w:bCs/>
          <w:color w:val="auto"/>
          <w:kern w:val="2"/>
          <w:sz w:val="24"/>
          <w:szCs w:val="24"/>
          <w:highlight w:val="none"/>
          <w:lang w:val="en-US" w:eastAsia="zh-CN" w:bidi="ar-SA"/>
        </w:rPr>
      </w:pPr>
    </w:p>
    <w:p w14:paraId="6FB8EF9D">
      <w:pPr>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br w:type="page"/>
      </w:r>
    </w:p>
    <w:p w14:paraId="4C5A690D">
      <w:pPr>
        <w:pStyle w:val="6"/>
        <w:ind w:left="0" w:leftChars="0" w:firstLine="0" w:firstLineChars="0"/>
        <w:jc w:val="left"/>
        <w:rPr>
          <w:rFonts w:hint="eastAsia" w:ascii="Times New Roman" w:hAnsi="Times New Roman"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附件</w:t>
      </w:r>
      <w:r>
        <w:rPr>
          <w:rFonts w:hint="eastAsia" w:cs="Times New Roman"/>
          <w:bCs/>
          <w:color w:val="auto"/>
          <w:kern w:val="2"/>
          <w:sz w:val="24"/>
          <w:szCs w:val="24"/>
          <w:highlight w:val="none"/>
          <w:lang w:val="en-US" w:eastAsia="zh-CN" w:bidi="ar-SA"/>
        </w:rPr>
        <w:t>9</w:t>
      </w:r>
      <w:r>
        <w:rPr>
          <w:rFonts w:hint="eastAsia" w:ascii="Times New Roman" w:hAnsi="Times New Roman" w:cs="Times New Roman"/>
          <w:bCs/>
          <w:color w:val="auto"/>
          <w:kern w:val="2"/>
          <w:sz w:val="24"/>
          <w:szCs w:val="24"/>
          <w:highlight w:val="none"/>
          <w:lang w:val="en-US" w:eastAsia="zh-CN" w:bidi="ar-SA"/>
        </w:rPr>
        <w:t>检测报告</w:t>
      </w:r>
    </w:p>
    <w:p w14:paraId="4B8F82C9">
      <w:pPr>
        <w:pStyle w:val="6"/>
        <w:ind w:left="0" w:leftChars="0" w:firstLine="0" w:firstLineChars="0"/>
        <w:jc w:val="left"/>
        <w:rPr>
          <w:rFonts w:hint="default" w:ascii="Times New Roman" w:hAnsi="Times New Roman" w:eastAsia="宋体" w:cs="Times New Roman"/>
          <w:bCs/>
          <w:color w:val="auto"/>
          <w:kern w:val="2"/>
          <w:sz w:val="24"/>
          <w:szCs w:val="24"/>
          <w:highlight w:val="none"/>
          <w:lang w:val="en-US" w:eastAsia="zh-CN" w:bidi="ar-SA"/>
        </w:rPr>
        <w:sectPr>
          <w:type w:val="continuous"/>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bCs/>
          <w:color w:val="auto"/>
          <w:kern w:val="2"/>
          <w:sz w:val="24"/>
          <w:szCs w:val="24"/>
          <w:highlight w:val="none"/>
          <w:lang w:val="en-US" w:eastAsia="zh-CN" w:bidi="ar-SA"/>
        </w:rPr>
        <w:drawing>
          <wp:inline distT="0" distB="0" distL="114300" distR="114300">
            <wp:extent cx="5273040" cy="7449820"/>
            <wp:effectExtent l="0" t="0" r="3810" b="17780"/>
            <wp:docPr id="46" name="图片 46" descr="1741763448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741763448874"/>
                    <pic:cNvPicPr>
                      <a:picLocks noChangeAspect="1"/>
                    </pic:cNvPicPr>
                  </pic:nvPicPr>
                  <pic:blipFill>
                    <a:blip r:embed="rId49"/>
                    <a:stretch>
                      <a:fillRect/>
                    </a:stretch>
                  </pic:blipFill>
                  <pic:spPr>
                    <a:xfrm>
                      <a:off x="0" y="0"/>
                      <a:ext cx="5273040" cy="7449820"/>
                    </a:xfrm>
                    <a:prstGeom prst="rect">
                      <a:avLst/>
                    </a:prstGeom>
                  </pic:spPr>
                </pic:pic>
              </a:graphicData>
            </a:graphic>
          </wp:inline>
        </w:drawing>
      </w:r>
      <w:r>
        <w:rPr>
          <w:rFonts w:hint="default" w:ascii="Times New Roman" w:hAnsi="Times New Roman" w:eastAsia="宋体" w:cs="Times New Roman"/>
          <w:bCs/>
          <w:color w:val="auto"/>
          <w:kern w:val="2"/>
          <w:sz w:val="24"/>
          <w:szCs w:val="24"/>
          <w:highlight w:val="none"/>
          <w:lang w:val="en-US" w:eastAsia="zh-CN" w:bidi="ar-SA"/>
        </w:rPr>
        <w:drawing>
          <wp:inline distT="0" distB="0" distL="114300" distR="114300">
            <wp:extent cx="5274310" cy="7464425"/>
            <wp:effectExtent l="0" t="0" r="2540" b="3175"/>
            <wp:docPr id="47" name="图片 47" descr="174176347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741763473087"/>
                    <pic:cNvPicPr>
                      <a:picLocks noChangeAspect="1"/>
                    </pic:cNvPicPr>
                  </pic:nvPicPr>
                  <pic:blipFill>
                    <a:blip r:embed="rId50"/>
                    <a:stretch>
                      <a:fillRect/>
                    </a:stretch>
                  </pic:blipFill>
                  <pic:spPr>
                    <a:xfrm>
                      <a:off x="0" y="0"/>
                      <a:ext cx="5274310" cy="7464425"/>
                    </a:xfrm>
                    <a:prstGeom prst="rect">
                      <a:avLst/>
                    </a:prstGeom>
                  </pic:spPr>
                </pic:pic>
              </a:graphicData>
            </a:graphic>
          </wp:inline>
        </w:drawing>
      </w:r>
      <w:r>
        <w:rPr>
          <w:rFonts w:hint="default" w:ascii="Times New Roman" w:hAnsi="Times New Roman" w:eastAsia="宋体" w:cs="Times New Roman"/>
          <w:bCs/>
          <w:color w:val="auto"/>
          <w:kern w:val="2"/>
          <w:sz w:val="24"/>
          <w:szCs w:val="24"/>
          <w:highlight w:val="none"/>
          <w:lang w:val="en-US" w:eastAsia="zh-CN" w:bidi="ar-SA"/>
        </w:rPr>
        <w:drawing>
          <wp:inline distT="0" distB="0" distL="114300" distR="114300">
            <wp:extent cx="5271770" cy="7527290"/>
            <wp:effectExtent l="0" t="0" r="5080" b="16510"/>
            <wp:docPr id="48" name="图片 48" descr="174176349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741763494493"/>
                    <pic:cNvPicPr>
                      <a:picLocks noChangeAspect="1"/>
                    </pic:cNvPicPr>
                  </pic:nvPicPr>
                  <pic:blipFill>
                    <a:blip r:embed="rId51"/>
                    <a:stretch>
                      <a:fillRect/>
                    </a:stretch>
                  </pic:blipFill>
                  <pic:spPr>
                    <a:xfrm>
                      <a:off x="0" y="0"/>
                      <a:ext cx="5271770" cy="7527290"/>
                    </a:xfrm>
                    <a:prstGeom prst="rect">
                      <a:avLst/>
                    </a:prstGeom>
                  </pic:spPr>
                </pic:pic>
              </a:graphicData>
            </a:graphic>
          </wp:inline>
        </w:drawing>
      </w:r>
      <w:r>
        <w:rPr>
          <w:rFonts w:hint="default" w:ascii="Times New Roman" w:hAnsi="Times New Roman" w:eastAsia="宋体" w:cs="Times New Roman"/>
          <w:bCs/>
          <w:color w:val="auto"/>
          <w:kern w:val="2"/>
          <w:sz w:val="24"/>
          <w:szCs w:val="24"/>
          <w:highlight w:val="none"/>
          <w:lang w:val="en-US" w:eastAsia="zh-CN" w:bidi="ar-SA"/>
        </w:rPr>
        <w:drawing>
          <wp:inline distT="0" distB="0" distL="114300" distR="114300">
            <wp:extent cx="5273675" cy="7361555"/>
            <wp:effectExtent l="0" t="0" r="3175" b="10795"/>
            <wp:docPr id="49" name="图片 49" descr="174176351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741763513585"/>
                    <pic:cNvPicPr>
                      <a:picLocks noChangeAspect="1"/>
                    </pic:cNvPicPr>
                  </pic:nvPicPr>
                  <pic:blipFill>
                    <a:blip r:embed="rId52"/>
                    <a:stretch>
                      <a:fillRect/>
                    </a:stretch>
                  </pic:blipFill>
                  <pic:spPr>
                    <a:xfrm>
                      <a:off x="0" y="0"/>
                      <a:ext cx="5273675" cy="7361555"/>
                    </a:xfrm>
                    <a:prstGeom prst="rect">
                      <a:avLst/>
                    </a:prstGeom>
                  </pic:spPr>
                </pic:pic>
              </a:graphicData>
            </a:graphic>
          </wp:inline>
        </w:drawing>
      </w:r>
      <w:r>
        <w:rPr>
          <w:rFonts w:hint="default" w:ascii="Times New Roman" w:hAnsi="Times New Roman" w:eastAsia="宋体" w:cs="Times New Roman"/>
          <w:bCs/>
          <w:color w:val="auto"/>
          <w:kern w:val="2"/>
          <w:sz w:val="24"/>
          <w:szCs w:val="24"/>
          <w:highlight w:val="none"/>
          <w:lang w:val="en-US" w:eastAsia="zh-CN" w:bidi="ar-SA"/>
        </w:rPr>
        <w:drawing>
          <wp:inline distT="0" distB="0" distL="114300" distR="114300">
            <wp:extent cx="5271770" cy="7391400"/>
            <wp:effectExtent l="0" t="0" r="5080" b="0"/>
            <wp:docPr id="50" name="图片 50" descr="1741763536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741763536876"/>
                    <pic:cNvPicPr>
                      <a:picLocks noChangeAspect="1"/>
                    </pic:cNvPicPr>
                  </pic:nvPicPr>
                  <pic:blipFill>
                    <a:blip r:embed="rId53"/>
                    <a:stretch>
                      <a:fillRect/>
                    </a:stretch>
                  </pic:blipFill>
                  <pic:spPr>
                    <a:xfrm>
                      <a:off x="0" y="0"/>
                      <a:ext cx="5271770" cy="7391400"/>
                    </a:xfrm>
                    <a:prstGeom prst="rect">
                      <a:avLst/>
                    </a:prstGeom>
                  </pic:spPr>
                </pic:pic>
              </a:graphicData>
            </a:graphic>
          </wp:inline>
        </w:drawing>
      </w:r>
      <w:r>
        <w:rPr>
          <w:rFonts w:hint="default" w:ascii="Times New Roman" w:hAnsi="Times New Roman" w:eastAsia="宋体" w:cs="Times New Roman"/>
          <w:bCs/>
          <w:color w:val="auto"/>
          <w:kern w:val="2"/>
          <w:sz w:val="24"/>
          <w:szCs w:val="24"/>
          <w:highlight w:val="none"/>
          <w:lang w:val="en-US" w:eastAsia="zh-CN" w:bidi="ar-SA"/>
        </w:rPr>
        <w:drawing>
          <wp:inline distT="0" distB="0" distL="114300" distR="114300">
            <wp:extent cx="5271770" cy="7155815"/>
            <wp:effectExtent l="0" t="0" r="5080" b="6985"/>
            <wp:docPr id="51" name="图片 51" descr="174176355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1741763558217"/>
                    <pic:cNvPicPr>
                      <a:picLocks noChangeAspect="1"/>
                    </pic:cNvPicPr>
                  </pic:nvPicPr>
                  <pic:blipFill>
                    <a:blip r:embed="rId54"/>
                    <a:stretch>
                      <a:fillRect/>
                    </a:stretch>
                  </pic:blipFill>
                  <pic:spPr>
                    <a:xfrm>
                      <a:off x="0" y="0"/>
                      <a:ext cx="5271770" cy="7155815"/>
                    </a:xfrm>
                    <a:prstGeom prst="rect">
                      <a:avLst/>
                    </a:prstGeom>
                  </pic:spPr>
                </pic:pic>
              </a:graphicData>
            </a:graphic>
          </wp:inline>
        </w:drawing>
      </w:r>
      <w:r>
        <w:rPr>
          <w:rFonts w:hint="default" w:ascii="Times New Roman" w:hAnsi="Times New Roman" w:eastAsia="宋体" w:cs="Times New Roman"/>
          <w:bCs/>
          <w:color w:val="auto"/>
          <w:kern w:val="2"/>
          <w:sz w:val="24"/>
          <w:szCs w:val="24"/>
          <w:highlight w:val="none"/>
          <w:lang w:val="en-US" w:eastAsia="zh-CN" w:bidi="ar-SA"/>
        </w:rPr>
        <w:drawing>
          <wp:inline distT="0" distB="0" distL="114300" distR="114300">
            <wp:extent cx="5270500" cy="7483475"/>
            <wp:effectExtent l="0" t="0" r="6350" b="3175"/>
            <wp:docPr id="52" name="图片 52" descr="174176358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741763585839"/>
                    <pic:cNvPicPr>
                      <a:picLocks noChangeAspect="1"/>
                    </pic:cNvPicPr>
                  </pic:nvPicPr>
                  <pic:blipFill>
                    <a:blip r:embed="rId55"/>
                    <a:stretch>
                      <a:fillRect/>
                    </a:stretch>
                  </pic:blipFill>
                  <pic:spPr>
                    <a:xfrm>
                      <a:off x="0" y="0"/>
                      <a:ext cx="5270500" cy="7483475"/>
                    </a:xfrm>
                    <a:prstGeom prst="rect">
                      <a:avLst/>
                    </a:prstGeom>
                  </pic:spPr>
                </pic:pic>
              </a:graphicData>
            </a:graphic>
          </wp:inline>
        </w:drawing>
      </w:r>
      <w:r>
        <w:rPr>
          <w:rFonts w:hint="default" w:ascii="Times New Roman" w:hAnsi="Times New Roman" w:eastAsia="宋体" w:cs="Times New Roman"/>
          <w:bCs/>
          <w:color w:val="auto"/>
          <w:kern w:val="2"/>
          <w:sz w:val="24"/>
          <w:szCs w:val="24"/>
          <w:highlight w:val="none"/>
          <w:lang w:val="en-US" w:eastAsia="zh-CN" w:bidi="ar-SA"/>
        </w:rPr>
        <w:drawing>
          <wp:inline distT="0" distB="0" distL="114300" distR="114300">
            <wp:extent cx="5273675" cy="7416165"/>
            <wp:effectExtent l="0" t="0" r="3175" b="13335"/>
            <wp:docPr id="53" name="图片 53" descr="174176360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741763602224"/>
                    <pic:cNvPicPr>
                      <a:picLocks noChangeAspect="1"/>
                    </pic:cNvPicPr>
                  </pic:nvPicPr>
                  <pic:blipFill>
                    <a:blip r:embed="rId56"/>
                    <a:stretch>
                      <a:fillRect/>
                    </a:stretch>
                  </pic:blipFill>
                  <pic:spPr>
                    <a:xfrm>
                      <a:off x="0" y="0"/>
                      <a:ext cx="5273675" cy="7416165"/>
                    </a:xfrm>
                    <a:prstGeom prst="rect">
                      <a:avLst/>
                    </a:prstGeom>
                  </pic:spPr>
                </pic:pic>
              </a:graphicData>
            </a:graphic>
          </wp:inline>
        </w:drawing>
      </w:r>
      <w:r>
        <w:rPr>
          <w:rFonts w:hint="default" w:ascii="Times New Roman" w:hAnsi="Times New Roman" w:eastAsia="宋体" w:cs="Times New Roman"/>
          <w:bCs/>
          <w:color w:val="auto"/>
          <w:kern w:val="2"/>
          <w:sz w:val="24"/>
          <w:szCs w:val="24"/>
          <w:highlight w:val="none"/>
          <w:lang w:val="en-US" w:eastAsia="zh-CN" w:bidi="ar-SA"/>
        </w:rPr>
        <w:drawing>
          <wp:inline distT="0" distB="0" distL="114300" distR="114300">
            <wp:extent cx="5272405" cy="7230745"/>
            <wp:effectExtent l="0" t="0" r="4445" b="8255"/>
            <wp:docPr id="54" name="图片 54" descr="1741763618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741763618806"/>
                    <pic:cNvPicPr>
                      <a:picLocks noChangeAspect="1"/>
                    </pic:cNvPicPr>
                  </pic:nvPicPr>
                  <pic:blipFill>
                    <a:blip r:embed="rId57"/>
                    <a:stretch>
                      <a:fillRect/>
                    </a:stretch>
                  </pic:blipFill>
                  <pic:spPr>
                    <a:xfrm>
                      <a:off x="0" y="0"/>
                      <a:ext cx="5272405" cy="7230745"/>
                    </a:xfrm>
                    <a:prstGeom prst="rect">
                      <a:avLst/>
                    </a:prstGeom>
                  </pic:spPr>
                </pic:pic>
              </a:graphicData>
            </a:graphic>
          </wp:inline>
        </w:drawing>
      </w:r>
      <w:r>
        <w:rPr>
          <w:rFonts w:hint="default" w:ascii="Times New Roman" w:hAnsi="Times New Roman" w:eastAsia="宋体" w:cs="Times New Roman"/>
          <w:bCs/>
          <w:color w:val="auto"/>
          <w:kern w:val="2"/>
          <w:sz w:val="24"/>
          <w:szCs w:val="24"/>
          <w:highlight w:val="none"/>
          <w:lang w:val="en-US" w:eastAsia="zh-CN" w:bidi="ar-SA"/>
        </w:rPr>
        <w:drawing>
          <wp:inline distT="0" distB="0" distL="114300" distR="114300">
            <wp:extent cx="5269865" cy="7502525"/>
            <wp:effectExtent l="0" t="0" r="6985" b="3175"/>
            <wp:docPr id="55" name="图片 55" descr="17417636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741763641876"/>
                    <pic:cNvPicPr>
                      <a:picLocks noChangeAspect="1"/>
                    </pic:cNvPicPr>
                  </pic:nvPicPr>
                  <pic:blipFill>
                    <a:blip r:embed="rId58"/>
                    <a:stretch>
                      <a:fillRect/>
                    </a:stretch>
                  </pic:blipFill>
                  <pic:spPr>
                    <a:xfrm>
                      <a:off x="0" y="0"/>
                      <a:ext cx="5269865" cy="7502525"/>
                    </a:xfrm>
                    <a:prstGeom prst="rect">
                      <a:avLst/>
                    </a:prstGeom>
                  </pic:spPr>
                </pic:pic>
              </a:graphicData>
            </a:graphic>
          </wp:inline>
        </w:drawing>
      </w:r>
      <w:r>
        <w:rPr>
          <w:rFonts w:hint="default" w:ascii="Times New Roman" w:hAnsi="Times New Roman" w:eastAsia="宋体" w:cs="Times New Roman"/>
          <w:bCs/>
          <w:color w:val="auto"/>
          <w:kern w:val="2"/>
          <w:sz w:val="24"/>
          <w:szCs w:val="24"/>
          <w:highlight w:val="none"/>
          <w:lang w:val="en-US" w:eastAsia="zh-CN" w:bidi="ar-SA"/>
        </w:rPr>
        <w:drawing>
          <wp:inline distT="0" distB="0" distL="114300" distR="114300">
            <wp:extent cx="5272405" cy="7508240"/>
            <wp:effectExtent l="0" t="0" r="4445" b="16510"/>
            <wp:docPr id="56" name="图片 56" descr="174176366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741763662676"/>
                    <pic:cNvPicPr>
                      <a:picLocks noChangeAspect="1"/>
                    </pic:cNvPicPr>
                  </pic:nvPicPr>
                  <pic:blipFill>
                    <a:blip r:embed="rId59"/>
                    <a:stretch>
                      <a:fillRect/>
                    </a:stretch>
                  </pic:blipFill>
                  <pic:spPr>
                    <a:xfrm>
                      <a:off x="0" y="0"/>
                      <a:ext cx="5272405" cy="7508240"/>
                    </a:xfrm>
                    <a:prstGeom prst="rect">
                      <a:avLst/>
                    </a:prstGeom>
                  </pic:spPr>
                </pic:pic>
              </a:graphicData>
            </a:graphic>
          </wp:inline>
        </w:drawing>
      </w:r>
    </w:p>
    <w:p w14:paraId="0BD0E693">
      <w:pPr>
        <w:pStyle w:val="6"/>
        <w:ind w:left="0" w:leftChars="0" w:firstLine="0" w:firstLineChars="0"/>
        <w:jc w:val="left"/>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附件10危废处置协议</w:t>
      </w:r>
    </w:p>
    <w:p w14:paraId="53A0230F">
      <w:pPr>
        <w:pStyle w:val="6"/>
        <w:ind w:left="0" w:leftChars="0" w:firstLine="0" w:firstLineChars="0"/>
        <w:jc w:val="left"/>
        <w:rPr>
          <w:rFonts w:hint="default" w:ascii="Times New Roman" w:hAnsi="Times New Roman" w:eastAsia="宋体" w:cs="Times New Roman"/>
          <w:bCs/>
          <w:color w:val="auto"/>
          <w:kern w:val="2"/>
          <w:sz w:val="24"/>
          <w:szCs w:val="24"/>
          <w:highlight w:val="none"/>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bCs/>
          <w:color w:val="auto"/>
          <w:kern w:val="2"/>
          <w:sz w:val="24"/>
          <w:szCs w:val="24"/>
          <w:highlight w:val="none"/>
          <w:lang w:val="en-US" w:eastAsia="zh-CN" w:bidi="ar-SA"/>
        </w:rPr>
        <w:drawing>
          <wp:inline distT="0" distB="0" distL="114300" distR="114300">
            <wp:extent cx="5269865" cy="7337425"/>
            <wp:effectExtent l="0" t="0" r="6985" b="15875"/>
            <wp:docPr id="43" name="图片 43" descr="1741763287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741763287895"/>
                    <pic:cNvPicPr>
                      <a:picLocks noChangeAspect="1"/>
                    </pic:cNvPicPr>
                  </pic:nvPicPr>
                  <pic:blipFill>
                    <a:blip r:embed="rId60"/>
                    <a:stretch>
                      <a:fillRect/>
                    </a:stretch>
                  </pic:blipFill>
                  <pic:spPr>
                    <a:xfrm>
                      <a:off x="0" y="0"/>
                      <a:ext cx="5269865" cy="7337425"/>
                    </a:xfrm>
                    <a:prstGeom prst="rect">
                      <a:avLst/>
                    </a:prstGeom>
                  </pic:spPr>
                </pic:pic>
              </a:graphicData>
            </a:graphic>
          </wp:inline>
        </w:drawing>
      </w:r>
    </w:p>
    <w:p w14:paraId="4AD28EAB">
      <w:pPr>
        <w:pStyle w:val="6"/>
        <w:ind w:left="0" w:leftChars="0" w:firstLine="0" w:firstLineChars="0"/>
        <w:jc w:val="center"/>
        <w:rPr>
          <w:rFonts w:hint="eastAsia" w:ascii="Times New Roman" w:hAnsi="Times New Roman" w:eastAsia="宋体" w:cs="Times New Roman"/>
          <w:bCs/>
          <w:color w:val="auto"/>
          <w:kern w:val="2"/>
          <w:sz w:val="24"/>
          <w:szCs w:val="24"/>
          <w:highlight w:val="yellow"/>
          <w:lang w:val="en-US" w:eastAsia="zh-CN" w:bidi="ar-SA"/>
        </w:rPr>
      </w:pPr>
    </w:p>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微软雅黑">
    <w:panose1 w:val="020B0503020204020204"/>
    <w:charset w:val="86"/>
    <w:family w:val="auto"/>
    <w:pitch w:val="default"/>
    <w:sig w:usb0="80000287" w:usb1="280F3C52" w:usb2="00000016" w:usb3="00000000" w:csb0="0004001F" w:csb1="00000000"/>
  </w:font>
  <w:font w:name="ˎ̥">
    <w:altName w:val="Times New Roman"/>
    <w:panose1 w:val="00000000000000000000"/>
    <w:charset w:val="00"/>
    <w:family w:val="auto"/>
    <w:pitch w:val="default"/>
    <w:sig w:usb0="00000000" w:usb1="00000000" w:usb2="00000000"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等线">
    <w:altName w:val="微软雅黑"/>
    <w:panose1 w:val="02010600030101010101"/>
    <w:charset w:val="86"/>
    <w:family w:val="auto"/>
    <w:pitch w:val="default"/>
    <w:sig w:usb0="00000000" w:usb1="00000000" w:usb2="00000016" w:usb3="00000000" w:csb0="0004000F" w:csb1="00000000"/>
  </w:font>
  <w:font w:name="Arial Unicode MS">
    <w:altName w:val="宋体"/>
    <w:panose1 w:val="020B0604020202020204"/>
    <w:charset w:val="86"/>
    <w:family w:val="auto"/>
    <w:pitch w:val="default"/>
    <w:sig w:usb0="00000000" w:usb1="00000000" w:usb2="0000003F" w:usb3="00000000" w:csb0="603F01FF" w:csb1="FFFF0000"/>
  </w:font>
  <w:font w:name="华文新魏">
    <w:altName w:val="宋体"/>
    <w:panose1 w:val="02010800040101010101"/>
    <w:charset w:val="86"/>
    <w:family w:val="auto"/>
    <w:pitch w:val="default"/>
    <w:sig w:usb0="00000000" w:usb1="00000000" w:usb2="00000000" w:usb3="00000000" w:csb0="00040000" w:csb1="00000000"/>
  </w:font>
  <w:font w:name="Wingdings 2">
    <w:altName w:val="Wingdings"/>
    <w:panose1 w:val="05020102010507070707"/>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3AC4BF">
    <w:pPr>
      <w:pStyle w:val="1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90A878">
    <w:pPr>
      <w:pStyle w:val="1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6BD85B">
                          <w:pPr>
                            <w:pStyle w:val="16"/>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5A6BD85B">
                    <w:pPr>
                      <w:pStyle w:val="16"/>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688D1A">
    <w:pPr>
      <w:adjustRightInd w:val="0"/>
      <w:snapToGrid w:val="0"/>
      <w:spacing w:after="0" w:afterLines="0"/>
      <w:jc w:val="center"/>
      <w:rPr>
        <w:rFonts w:hint="eastAsia" w:ascii="宋体" w:hAnsi="宋体" w:eastAsia="宋体" w:cs="Times New Roman"/>
        <w:sz w:val="28"/>
        <w:szCs w:val="28"/>
        <w:lang w:val="en-US" w:eastAsia="zh-CN" w:bidi="ar-SA"/>
      </w:rPr>
    </w:pPr>
    <w:r>
      <w:rPr>
        <w:rFonts w:ascii="Tahoma" w:hAnsi="Tahoma" w:eastAsia="微软雅黑" w:cs="Times New Roman"/>
        <w:sz w:val="28"/>
        <w:szCs w:val="18"/>
        <w:lang w:val="en-US" w:eastAsia="zh-CN" w:bidi="ar-SA"/>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970250B">
                          <w:pPr>
                            <w:adjustRightInd w:val="0"/>
                            <w:snapToGrid w:val="0"/>
                            <w:spacing w:after="200" w:afterLines="0"/>
                            <w:rPr>
                              <w:rFonts w:hint="eastAsia" w:ascii="Tahoma" w:hAnsi="Tahoma" w:eastAsia="微软雅黑" w:cs="Times New Roman"/>
                              <w:sz w:val="18"/>
                              <w:szCs w:val="18"/>
                              <w:lang w:val="en-US" w:eastAsia="zh-CN" w:bidi="ar-SA"/>
                            </w:rPr>
                          </w:pPr>
                          <w:r>
                            <w:rPr>
                              <w:rFonts w:hint="eastAsia" w:ascii="Tahoma" w:hAnsi="Tahoma" w:eastAsia="微软雅黑" w:cs="Times New Roman"/>
                              <w:sz w:val="18"/>
                              <w:szCs w:val="18"/>
                              <w:lang w:val="en-US" w:eastAsia="zh-CN" w:bidi="ar-SA"/>
                            </w:rPr>
                            <w:fldChar w:fldCharType="begin"/>
                          </w:r>
                          <w:r>
                            <w:rPr>
                              <w:rFonts w:hint="eastAsia" w:ascii="Tahoma" w:hAnsi="Tahoma" w:eastAsia="微软雅黑" w:cs="Times New Roman"/>
                              <w:sz w:val="18"/>
                              <w:szCs w:val="18"/>
                              <w:lang w:val="en-US" w:eastAsia="zh-CN" w:bidi="ar-SA"/>
                            </w:rPr>
                            <w:instrText xml:space="preserve"> PAGE  \* MERGEFORMAT </w:instrText>
                          </w:r>
                          <w:r>
                            <w:rPr>
                              <w:rFonts w:hint="eastAsia" w:ascii="Tahoma" w:hAnsi="Tahoma" w:eastAsia="微软雅黑" w:cs="Times New Roman"/>
                              <w:sz w:val="18"/>
                              <w:szCs w:val="18"/>
                              <w:lang w:val="en-US" w:eastAsia="zh-CN" w:bidi="ar-SA"/>
                            </w:rPr>
                            <w:fldChar w:fldCharType="separate"/>
                          </w:r>
                          <w:r>
                            <w:rPr>
                              <w:rFonts w:ascii="Tahoma" w:hAnsi="Tahoma" w:eastAsia="微软雅黑" w:cs="Times New Roman"/>
                              <w:sz w:val="18"/>
                              <w:szCs w:val="18"/>
                              <w:lang w:val="en-US" w:eastAsia="zh-CN" w:bidi="ar-SA"/>
                            </w:rPr>
                            <w:t>50</w:t>
                          </w:r>
                          <w:r>
                            <w:rPr>
                              <w:rFonts w:hint="eastAsia" w:ascii="Tahoma" w:hAnsi="Tahoma" w:eastAsia="微软雅黑" w:cs="Times New Roman"/>
                              <w:sz w:val="18"/>
                              <w:szCs w:val="18"/>
                              <w:lang w:val="en-US" w:eastAsia="zh-CN" w:bidi="ar-S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uuuM7yQEAAJsDAAAOAAAAAAAAAAEAIAAAAB4BAABkcnMvZTJvRG9j&#10;LnhtbFBLBQYAAAAABgAGAFkBAABZBQAAAAA=&#10;">
              <v:fill on="f" focussize="0,0"/>
              <v:stroke on="f"/>
              <v:imagedata o:title=""/>
              <o:lock v:ext="edit" aspectratio="f"/>
              <v:textbox inset="0mm,0mm,0mm,0mm" style="mso-fit-shape-to-text:t;">
                <w:txbxContent>
                  <w:p w14:paraId="1970250B">
                    <w:pPr>
                      <w:adjustRightInd w:val="0"/>
                      <w:snapToGrid w:val="0"/>
                      <w:spacing w:after="200" w:afterLines="0"/>
                      <w:rPr>
                        <w:rFonts w:hint="eastAsia" w:ascii="Tahoma" w:hAnsi="Tahoma" w:eastAsia="微软雅黑" w:cs="Times New Roman"/>
                        <w:sz w:val="18"/>
                        <w:szCs w:val="18"/>
                        <w:lang w:val="en-US" w:eastAsia="zh-CN" w:bidi="ar-SA"/>
                      </w:rPr>
                    </w:pPr>
                    <w:r>
                      <w:rPr>
                        <w:rFonts w:hint="eastAsia" w:ascii="Tahoma" w:hAnsi="Tahoma" w:eastAsia="微软雅黑" w:cs="Times New Roman"/>
                        <w:sz w:val="18"/>
                        <w:szCs w:val="18"/>
                        <w:lang w:val="en-US" w:eastAsia="zh-CN" w:bidi="ar-SA"/>
                      </w:rPr>
                      <w:fldChar w:fldCharType="begin"/>
                    </w:r>
                    <w:r>
                      <w:rPr>
                        <w:rFonts w:hint="eastAsia" w:ascii="Tahoma" w:hAnsi="Tahoma" w:eastAsia="微软雅黑" w:cs="Times New Roman"/>
                        <w:sz w:val="18"/>
                        <w:szCs w:val="18"/>
                        <w:lang w:val="en-US" w:eastAsia="zh-CN" w:bidi="ar-SA"/>
                      </w:rPr>
                      <w:instrText xml:space="preserve"> PAGE  \* MERGEFORMAT </w:instrText>
                    </w:r>
                    <w:r>
                      <w:rPr>
                        <w:rFonts w:hint="eastAsia" w:ascii="Tahoma" w:hAnsi="Tahoma" w:eastAsia="微软雅黑" w:cs="Times New Roman"/>
                        <w:sz w:val="18"/>
                        <w:szCs w:val="18"/>
                        <w:lang w:val="en-US" w:eastAsia="zh-CN" w:bidi="ar-SA"/>
                      </w:rPr>
                      <w:fldChar w:fldCharType="separate"/>
                    </w:r>
                    <w:r>
                      <w:rPr>
                        <w:rFonts w:ascii="Tahoma" w:hAnsi="Tahoma" w:eastAsia="微软雅黑" w:cs="Times New Roman"/>
                        <w:sz w:val="18"/>
                        <w:szCs w:val="18"/>
                        <w:lang w:val="en-US" w:eastAsia="zh-CN" w:bidi="ar-SA"/>
                      </w:rPr>
                      <w:t>50</w:t>
                    </w:r>
                    <w:r>
                      <w:rPr>
                        <w:rFonts w:hint="eastAsia" w:ascii="Tahoma" w:hAnsi="Tahoma" w:eastAsia="微软雅黑" w:cs="Times New Roman"/>
                        <w:sz w:val="18"/>
                        <w:szCs w:val="18"/>
                        <w:lang w:val="en-US" w:eastAsia="zh-CN" w:bidi="ar-S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445B43">
    <w:pPr>
      <w:pStyle w:val="16"/>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EA086B5">
                          <w:pPr>
                            <w:pStyle w:val="16"/>
                            <w:rPr>
                              <w:rFonts w:hint="eastAsia"/>
                            </w:rPr>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iIn2MoBAACbAwAADgAAAGRycy9lMm9Eb2MueG1srVPNjtMwEL4j8Q6W&#10;79TZg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Tb0NdvKHHc4sTPP3+cf/05//5O&#10;0IcC9QFqzLsNmJmG937AtZn9gM7Me1DR5i8yIhhHeU8XeeWQiMiPVsvVqsKQwNh8QXx2/zxESB+k&#10;tyQbDY04vyIrP36CNKbOKbma8zfamDJD4/5zIGb2sNz72GO20rAbJkI7356QT4+jb6jDTafEfHSo&#10;bN6S2YizsZuNQ4h635U1yvUgvDskbKL0liuMsFNhnFlhN+1XXop/7yXr/p/a/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riIn2MoBAACbAwAADgAAAAAAAAABACAAAAAeAQAAZHJzL2Uyb0Rv&#10;Yy54bWxQSwUGAAAAAAYABgBZAQAAWgUAAAAA&#10;">
              <v:fill on="f" focussize="0,0"/>
              <v:stroke on="f"/>
              <v:imagedata o:title=""/>
              <o:lock v:ext="edit" aspectratio="f"/>
              <v:textbox inset="0mm,0mm,0mm,0mm" style="mso-fit-shape-to-text:t;">
                <w:txbxContent>
                  <w:p w14:paraId="6EA086B5">
                    <w:pPr>
                      <w:pStyle w:val="16"/>
                      <w:rPr>
                        <w:rFonts w:hint="eastAsia"/>
                      </w:rPr>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7F2D66">
    <w:pPr>
      <w:pStyle w:val="17"/>
      <w:rPr>
        <w:rFonts w:hint="default"/>
        <w:lang w:val="en-US"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B9B3C5"/>
    <w:multiLevelType w:val="singleLevel"/>
    <w:tmpl w:val="93B9B3C5"/>
    <w:lvl w:ilvl="0" w:tentative="0">
      <w:start w:val="1"/>
      <w:numFmt w:val="bullet"/>
      <w:pStyle w:val="14"/>
      <w:lvlText w:val=""/>
      <w:lvlJc w:val="left"/>
      <w:pPr>
        <w:tabs>
          <w:tab w:val="left" w:pos="2040"/>
        </w:tabs>
        <w:ind w:left="2040" w:hanging="36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M3ZTdmZjA4NzIwNGIyNDI2Mzg5ZWE1YzQxOGM4MzMifQ=="/>
  </w:docVars>
  <w:rsids>
    <w:rsidRoot w:val="00000000"/>
    <w:rsid w:val="00043144"/>
    <w:rsid w:val="00207852"/>
    <w:rsid w:val="00473031"/>
    <w:rsid w:val="004B0CB0"/>
    <w:rsid w:val="004E2611"/>
    <w:rsid w:val="0057550F"/>
    <w:rsid w:val="00627E6B"/>
    <w:rsid w:val="00704336"/>
    <w:rsid w:val="00740F2E"/>
    <w:rsid w:val="007932B0"/>
    <w:rsid w:val="00841598"/>
    <w:rsid w:val="009049D8"/>
    <w:rsid w:val="00920750"/>
    <w:rsid w:val="00A3295D"/>
    <w:rsid w:val="00A97FB0"/>
    <w:rsid w:val="00CA49F7"/>
    <w:rsid w:val="00CA7EEA"/>
    <w:rsid w:val="00CC6C88"/>
    <w:rsid w:val="00CD1788"/>
    <w:rsid w:val="00E46CE4"/>
    <w:rsid w:val="010158D6"/>
    <w:rsid w:val="0123584C"/>
    <w:rsid w:val="0127533C"/>
    <w:rsid w:val="01284C10"/>
    <w:rsid w:val="01392874"/>
    <w:rsid w:val="014462BC"/>
    <w:rsid w:val="014C74EF"/>
    <w:rsid w:val="01560A8F"/>
    <w:rsid w:val="01655E65"/>
    <w:rsid w:val="0168325F"/>
    <w:rsid w:val="017764D5"/>
    <w:rsid w:val="017B1F33"/>
    <w:rsid w:val="01814321"/>
    <w:rsid w:val="01B04B1E"/>
    <w:rsid w:val="01C43D4B"/>
    <w:rsid w:val="01C85E9A"/>
    <w:rsid w:val="01EF1803"/>
    <w:rsid w:val="01F1594A"/>
    <w:rsid w:val="01F561BC"/>
    <w:rsid w:val="01F66ABD"/>
    <w:rsid w:val="020B6A0C"/>
    <w:rsid w:val="02184C85"/>
    <w:rsid w:val="021D04ED"/>
    <w:rsid w:val="022D1F83"/>
    <w:rsid w:val="0247442B"/>
    <w:rsid w:val="02581525"/>
    <w:rsid w:val="025B2DC4"/>
    <w:rsid w:val="02694142"/>
    <w:rsid w:val="0270061D"/>
    <w:rsid w:val="027913A8"/>
    <w:rsid w:val="028C44B2"/>
    <w:rsid w:val="029B48DB"/>
    <w:rsid w:val="029C58B6"/>
    <w:rsid w:val="02A46519"/>
    <w:rsid w:val="02B7624C"/>
    <w:rsid w:val="02C80459"/>
    <w:rsid w:val="02DE7C7D"/>
    <w:rsid w:val="02F94AB6"/>
    <w:rsid w:val="02FE3E7B"/>
    <w:rsid w:val="03086AA8"/>
    <w:rsid w:val="031E451D"/>
    <w:rsid w:val="0328539C"/>
    <w:rsid w:val="032A4C70"/>
    <w:rsid w:val="033843E8"/>
    <w:rsid w:val="036839EA"/>
    <w:rsid w:val="03805A17"/>
    <w:rsid w:val="03A675BA"/>
    <w:rsid w:val="03AC7D7B"/>
    <w:rsid w:val="03C350C4"/>
    <w:rsid w:val="03CD1A9F"/>
    <w:rsid w:val="03D746CC"/>
    <w:rsid w:val="03DD7F34"/>
    <w:rsid w:val="03E26B68"/>
    <w:rsid w:val="03F90AE6"/>
    <w:rsid w:val="0402322C"/>
    <w:rsid w:val="04073203"/>
    <w:rsid w:val="041B1889"/>
    <w:rsid w:val="04310280"/>
    <w:rsid w:val="0431202E"/>
    <w:rsid w:val="04351B1E"/>
    <w:rsid w:val="04414ED8"/>
    <w:rsid w:val="044C50BA"/>
    <w:rsid w:val="044D2891"/>
    <w:rsid w:val="04553F6E"/>
    <w:rsid w:val="045C7F6E"/>
    <w:rsid w:val="045D1075"/>
    <w:rsid w:val="046C3066"/>
    <w:rsid w:val="046C7445"/>
    <w:rsid w:val="047A1C27"/>
    <w:rsid w:val="048B5BE2"/>
    <w:rsid w:val="049D6E37"/>
    <w:rsid w:val="049F52DD"/>
    <w:rsid w:val="04BA64C7"/>
    <w:rsid w:val="04BE5FB8"/>
    <w:rsid w:val="04C9495C"/>
    <w:rsid w:val="05015EA4"/>
    <w:rsid w:val="05092FAB"/>
    <w:rsid w:val="050A034B"/>
    <w:rsid w:val="051536FE"/>
    <w:rsid w:val="052A146D"/>
    <w:rsid w:val="05485881"/>
    <w:rsid w:val="055C30DB"/>
    <w:rsid w:val="055E1D8D"/>
    <w:rsid w:val="056D182B"/>
    <w:rsid w:val="05706B86"/>
    <w:rsid w:val="05721E18"/>
    <w:rsid w:val="05791EDF"/>
    <w:rsid w:val="0596483F"/>
    <w:rsid w:val="05A01219"/>
    <w:rsid w:val="05A056BD"/>
    <w:rsid w:val="05DB58A3"/>
    <w:rsid w:val="05F91A40"/>
    <w:rsid w:val="05FB28F4"/>
    <w:rsid w:val="060C7F9A"/>
    <w:rsid w:val="061708BA"/>
    <w:rsid w:val="062A142B"/>
    <w:rsid w:val="062F6A41"/>
    <w:rsid w:val="06886D35"/>
    <w:rsid w:val="06957138"/>
    <w:rsid w:val="069C24D5"/>
    <w:rsid w:val="06A366E8"/>
    <w:rsid w:val="06AC7671"/>
    <w:rsid w:val="06BB2911"/>
    <w:rsid w:val="06CE1B16"/>
    <w:rsid w:val="06D51397"/>
    <w:rsid w:val="06F13C7F"/>
    <w:rsid w:val="06F33CA6"/>
    <w:rsid w:val="07025A45"/>
    <w:rsid w:val="0729785D"/>
    <w:rsid w:val="075E313A"/>
    <w:rsid w:val="076170CE"/>
    <w:rsid w:val="07741847"/>
    <w:rsid w:val="07847CDD"/>
    <w:rsid w:val="078608E3"/>
    <w:rsid w:val="0797664C"/>
    <w:rsid w:val="079C3C62"/>
    <w:rsid w:val="079E3E7E"/>
    <w:rsid w:val="07A5520D"/>
    <w:rsid w:val="07AB0349"/>
    <w:rsid w:val="07AF3996"/>
    <w:rsid w:val="07C531B9"/>
    <w:rsid w:val="07C5765D"/>
    <w:rsid w:val="07CD7318"/>
    <w:rsid w:val="07F54757"/>
    <w:rsid w:val="07F67816"/>
    <w:rsid w:val="07FC0BA5"/>
    <w:rsid w:val="081B54CF"/>
    <w:rsid w:val="081B648D"/>
    <w:rsid w:val="082D0D5E"/>
    <w:rsid w:val="08327D56"/>
    <w:rsid w:val="084A1910"/>
    <w:rsid w:val="086A3D60"/>
    <w:rsid w:val="0874698D"/>
    <w:rsid w:val="08923091"/>
    <w:rsid w:val="089A2898"/>
    <w:rsid w:val="089E3A0A"/>
    <w:rsid w:val="08A74FB5"/>
    <w:rsid w:val="08B374B6"/>
    <w:rsid w:val="08B46056"/>
    <w:rsid w:val="08C10A8F"/>
    <w:rsid w:val="08C41101"/>
    <w:rsid w:val="08C94F2B"/>
    <w:rsid w:val="08CB2A51"/>
    <w:rsid w:val="08CF1E16"/>
    <w:rsid w:val="08D538D0"/>
    <w:rsid w:val="08F004A1"/>
    <w:rsid w:val="08FB2C0B"/>
    <w:rsid w:val="08FF6C1E"/>
    <w:rsid w:val="09153CCC"/>
    <w:rsid w:val="095D08E7"/>
    <w:rsid w:val="0970184A"/>
    <w:rsid w:val="098E46B4"/>
    <w:rsid w:val="09B259BF"/>
    <w:rsid w:val="09B51008"/>
    <w:rsid w:val="09C930AE"/>
    <w:rsid w:val="09D41DD9"/>
    <w:rsid w:val="09D973F0"/>
    <w:rsid w:val="0A122902"/>
    <w:rsid w:val="0A1246B0"/>
    <w:rsid w:val="0A1E12A6"/>
    <w:rsid w:val="0A261F09"/>
    <w:rsid w:val="0A374116"/>
    <w:rsid w:val="0A4E5AC2"/>
    <w:rsid w:val="0A6F565E"/>
    <w:rsid w:val="0A8C4462"/>
    <w:rsid w:val="0A8F7AAE"/>
    <w:rsid w:val="0A980DA3"/>
    <w:rsid w:val="0AA95014"/>
    <w:rsid w:val="0AA96DC2"/>
    <w:rsid w:val="0AAB6B91"/>
    <w:rsid w:val="0AB40F8E"/>
    <w:rsid w:val="0AC7549A"/>
    <w:rsid w:val="0ACA669A"/>
    <w:rsid w:val="0AF03DD2"/>
    <w:rsid w:val="0AF52007"/>
    <w:rsid w:val="0AF73FD1"/>
    <w:rsid w:val="0B0930F8"/>
    <w:rsid w:val="0B36617C"/>
    <w:rsid w:val="0B512FB6"/>
    <w:rsid w:val="0B513E7D"/>
    <w:rsid w:val="0B7D3DAB"/>
    <w:rsid w:val="0BAD477C"/>
    <w:rsid w:val="0BB6481B"/>
    <w:rsid w:val="0BB73761"/>
    <w:rsid w:val="0BB7550F"/>
    <w:rsid w:val="0BC67500"/>
    <w:rsid w:val="0BD51E39"/>
    <w:rsid w:val="0BD7795F"/>
    <w:rsid w:val="0BDD1F38"/>
    <w:rsid w:val="0BE36304"/>
    <w:rsid w:val="0BFB189F"/>
    <w:rsid w:val="0C032502"/>
    <w:rsid w:val="0C08719F"/>
    <w:rsid w:val="0C152E06"/>
    <w:rsid w:val="0C1666D9"/>
    <w:rsid w:val="0C193AD3"/>
    <w:rsid w:val="0C264442"/>
    <w:rsid w:val="0C395F24"/>
    <w:rsid w:val="0C44743F"/>
    <w:rsid w:val="0C605BA6"/>
    <w:rsid w:val="0C662A91"/>
    <w:rsid w:val="0C676F35"/>
    <w:rsid w:val="0C6851CF"/>
    <w:rsid w:val="0C6C454B"/>
    <w:rsid w:val="0C736C3A"/>
    <w:rsid w:val="0C7F4369"/>
    <w:rsid w:val="0C8F3D96"/>
    <w:rsid w:val="0C970E9C"/>
    <w:rsid w:val="0CA43CE5"/>
    <w:rsid w:val="0CAF268A"/>
    <w:rsid w:val="0CE836CA"/>
    <w:rsid w:val="0CF62067"/>
    <w:rsid w:val="0CFD1647"/>
    <w:rsid w:val="0CFF716D"/>
    <w:rsid w:val="0D020A0B"/>
    <w:rsid w:val="0D030FD7"/>
    <w:rsid w:val="0D0E3617"/>
    <w:rsid w:val="0D0E5602"/>
    <w:rsid w:val="0D110C4F"/>
    <w:rsid w:val="0D186481"/>
    <w:rsid w:val="0D4728C2"/>
    <w:rsid w:val="0D5154EF"/>
    <w:rsid w:val="0D520018"/>
    <w:rsid w:val="0D5A43A4"/>
    <w:rsid w:val="0D6B65B1"/>
    <w:rsid w:val="0D6E7E4F"/>
    <w:rsid w:val="0D89320B"/>
    <w:rsid w:val="0D921D8F"/>
    <w:rsid w:val="0D9E073B"/>
    <w:rsid w:val="0DA675E9"/>
    <w:rsid w:val="0DAE46EF"/>
    <w:rsid w:val="0DCB2CBB"/>
    <w:rsid w:val="0DCB34F3"/>
    <w:rsid w:val="0DCB52A1"/>
    <w:rsid w:val="0DD56B3A"/>
    <w:rsid w:val="0DDC125D"/>
    <w:rsid w:val="0DEB14A0"/>
    <w:rsid w:val="0DFE2B65"/>
    <w:rsid w:val="0E0F1632"/>
    <w:rsid w:val="0E146C48"/>
    <w:rsid w:val="0E197DBB"/>
    <w:rsid w:val="0E1A3B33"/>
    <w:rsid w:val="0E3179D4"/>
    <w:rsid w:val="0E4C110F"/>
    <w:rsid w:val="0E4D5CB6"/>
    <w:rsid w:val="0E567261"/>
    <w:rsid w:val="0E5E1C72"/>
    <w:rsid w:val="0E6D108F"/>
    <w:rsid w:val="0E7C47EE"/>
    <w:rsid w:val="0E7D5BE7"/>
    <w:rsid w:val="0E835B7C"/>
    <w:rsid w:val="0E947D89"/>
    <w:rsid w:val="0E952AF9"/>
    <w:rsid w:val="0E9B2EC6"/>
    <w:rsid w:val="0EA77ABC"/>
    <w:rsid w:val="0EC248F6"/>
    <w:rsid w:val="0EE04D7C"/>
    <w:rsid w:val="0F040A6B"/>
    <w:rsid w:val="0F052A35"/>
    <w:rsid w:val="0F112DF3"/>
    <w:rsid w:val="0F16254C"/>
    <w:rsid w:val="0F182768"/>
    <w:rsid w:val="0F242EBB"/>
    <w:rsid w:val="0F4B648F"/>
    <w:rsid w:val="0F566DED"/>
    <w:rsid w:val="0F68341B"/>
    <w:rsid w:val="0F7A6F7F"/>
    <w:rsid w:val="0F896BB7"/>
    <w:rsid w:val="0F8B4CE8"/>
    <w:rsid w:val="0F9F5D1A"/>
    <w:rsid w:val="0FA638D0"/>
    <w:rsid w:val="0FA83AEC"/>
    <w:rsid w:val="0FAB7A2F"/>
    <w:rsid w:val="0FB104C7"/>
    <w:rsid w:val="0FC24482"/>
    <w:rsid w:val="0FC71A98"/>
    <w:rsid w:val="0FD83CA6"/>
    <w:rsid w:val="0FF00FEF"/>
    <w:rsid w:val="0FF24D67"/>
    <w:rsid w:val="10086339"/>
    <w:rsid w:val="100E40FC"/>
    <w:rsid w:val="10152804"/>
    <w:rsid w:val="101C52D6"/>
    <w:rsid w:val="10264A11"/>
    <w:rsid w:val="102F66D9"/>
    <w:rsid w:val="103709CC"/>
    <w:rsid w:val="10507CE0"/>
    <w:rsid w:val="105704ED"/>
    <w:rsid w:val="10577D87"/>
    <w:rsid w:val="105E5ADF"/>
    <w:rsid w:val="10662C7F"/>
    <w:rsid w:val="10725EA8"/>
    <w:rsid w:val="108F0808"/>
    <w:rsid w:val="10961B97"/>
    <w:rsid w:val="10AB4F16"/>
    <w:rsid w:val="10AD793B"/>
    <w:rsid w:val="10B1608A"/>
    <w:rsid w:val="10BC7123"/>
    <w:rsid w:val="10C009C2"/>
    <w:rsid w:val="10D66437"/>
    <w:rsid w:val="10D75D0B"/>
    <w:rsid w:val="10EC17B7"/>
    <w:rsid w:val="110E38E8"/>
    <w:rsid w:val="111B6540"/>
    <w:rsid w:val="112453F4"/>
    <w:rsid w:val="112F78F5"/>
    <w:rsid w:val="11360C84"/>
    <w:rsid w:val="11423ACC"/>
    <w:rsid w:val="11426EE6"/>
    <w:rsid w:val="115A7068"/>
    <w:rsid w:val="115E4D99"/>
    <w:rsid w:val="116E48C1"/>
    <w:rsid w:val="117766A3"/>
    <w:rsid w:val="118916FB"/>
    <w:rsid w:val="1190104B"/>
    <w:rsid w:val="11A26319"/>
    <w:rsid w:val="11A622AD"/>
    <w:rsid w:val="11AE2F10"/>
    <w:rsid w:val="11CC3396"/>
    <w:rsid w:val="11D81F3F"/>
    <w:rsid w:val="11E46932"/>
    <w:rsid w:val="1211524D"/>
    <w:rsid w:val="122344D0"/>
    <w:rsid w:val="12297A05"/>
    <w:rsid w:val="123813BA"/>
    <w:rsid w:val="123E18C4"/>
    <w:rsid w:val="12413D84"/>
    <w:rsid w:val="124E2672"/>
    <w:rsid w:val="126171DB"/>
    <w:rsid w:val="126B7053"/>
    <w:rsid w:val="12753A2E"/>
    <w:rsid w:val="12810624"/>
    <w:rsid w:val="12883761"/>
    <w:rsid w:val="128B34F8"/>
    <w:rsid w:val="12A55CF8"/>
    <w:rsid w:val="12AE60E8"/>
    <w:rsid w:val="12AF0CEE"/>
    <w:rsid w:val="12C65CC2"/>
    <w:rsid w:val="12CA3D79"/>
    <w:rsid w:val="12D90460"/>
    <w:rsid w:val="12EF3020"/>
    <w:rsid w:val="131E2317"/>
    <w:rsid w:val="1331204B"/>
    <w:rsid w:val="135875D7"/>
    <w:rsid w:val="13675A6C"/>
    <w:rsid w:val="136E0018"/>
    <w:rsid w:val="13806B2E"/>
    <w:rsid w:val="1384217A"/>
    <w:rsid w:val="13871C6A"/>
    <w:rsid w:val="139115F3"/>
    <w:rsid w:val="13985C26"/>
    <w:rsid w:val="13AC1AF5"/>
    <w:rsid w:val="13AE71F7"/>
    <w:rsid w:val="13BB36C2"/>
    <w:rsid w:val="13C22CA3"/>
    <w:rsid w:val="13D01874"/>
    <w:rsid w:val="13F37300"/>
    <w:rsid w:val="14107EB2"/>
    <w:rsid w:val="14217DBC"/>
    <w:rsid w:val="1424395D"/>
    <w:rsid w:val="14261483"/>
    <w:rsid w:val="14480763"/>
    <w:rsid w:val="14661880"/>
    <w:rsid w:val="14672DB3"/>
    <w:rsid w:val="14684678"/>
    <w:rsid w:val="148443FC"/>
    <w:rsid w:val="14A16D5C"/>
    <w:rsid w:val="14D7452C"/>
    <w:rsid w:val="14E05AD6"/>
    <w:rsid w:val="14EA0703"/>
    <w:rsid w:val="14ED1FA1"/>
    <w:rsid w:val="14EF1875"/>
    <w:rsid w:val="14FE5F5C"/>
    <w:rsid w:val="154C425F"/>
    <w:rsid w:val="15567B46"/>
    <w:rsid w:val="158C3431"/>
    <w:rsid w:val="15AA7E92"/>
    <w:rsid w:val="15B26298"/>
    <w:rsid w:val="15DB629E"/>
    <w:rsid w:val="15E11B06"/>
    <w:rsid w:val="15F23D16"/>
    <w:rsid w:val="15F62BC0"/>
    <w:rsid w:val="15FF01DE"/>
    <w:rsid w:val="15FF3D3A"/>
    <w:rsid w:val="1615355E"/>
    <w:rsid w:val="16157A01"/>
    <w:rsid w:val="16184DFC"/>
    <w:rsid w:val="162B4B2F"/>
    <w:rsid w:val="16467BBB"/>
    <w:rsid w:val="164D5F4A"/>
    <w:rsid w:val="164E081E"/>
    <w:rsid w:val="16506633"/>
    <w:rsid w:val="16601842"/>
    <w:rsid w:val="167748C5"/>
    <w:rsid w:val="168129A1"/>
    <w:rsid w:val="1695644C"/>
    <w:rsid w:val="16AE5760"/>
    <w:rsid w:val="16B359DE"/>
    <w:rsid w:val="16D34810"/>
    <w:rsid w:val="16F2564D"/>
    <w:rsid w:val="17377BBB"/>
    <w:rsid w:val="173B4AA5"/>
    <w:rsid w:val="173E0892"/>
    <w:rsid w:val="176522C3"/>
    <w:rsid w:val="176F6C9D"/>
    <w:rsid w:val="177F291A"/>
    <w:rsid w:val="178564C1"/>
    <w:rsid w:val="17887D5F"/>
    <w:rsid w:val="178A0B3C"/>
    <w:rsid w:val="178D35C8"/>
    <w:rsid w:val="178D4845"/>
    <w:rsid w:val="17984446"/>
    <w:rsid w:val="17C074F9"/>
    <w:rsid w:val="17CD7DED"/>
    <w:rsid w:val="17D12D21"/>
    <w:rsid w:val="17D17958"/>
    <w:rsid w:val="17EA4DC9"/>
    <w:rsid w:val="17F378CF"/>
    <w:rsid w:val="17FE0021"/>
    <w:rsid w:val="1804388A"/>
    <w:rsid w:val="180F222F"/>
    <w:rsid w:val="18243F2C"/>
    <w:rsid w:val="18273A1C"/>
    <w:rsid w:val="1831301A"/>
    <w:rsid w:val="18503DBF"/>
    <w:rsid w:val="18553E84"/>
    <w:rsid w:val="188624F1"/>
    <w:rsid w:val="188D7D23"/>
    <w:rsid w:val="1890511D"/>
    <w:rsid w:val="18A92683"/>
    <w:rsid w:val="18A94431"/>
    <w:rsid w:val="18B232E6"/>
    <w:rsid w:val="18C63235"/>
    <w:rsid w:val="18E27D6F"/>
    <w:rsid w:val="18F07E29"/>
    <w:rsid w:val="19046D04"/>
    <w:rsid w:val="190F0738"/>
    <w:rsid w:val="19120228"/>
    <w:rsid w:val="191D6E46"/>
    <w:rsid w:val="19271909"/>
    <w:rsid w:val="19306172"/>
    <w:rsid w:val="194A79C2"/>
    <w:rsid w:val="194F322A"/>
    <w:rsid w:val="1954439D"/>
    <w:rsid w:val="19632832"/>
    <w:rsid w:val="197467ED"/>
    <w:rsid w:val="197E58BE"/>
    <w:rsid w:val="198253AE"/>
    <w:rsid w:val="19836A30"/>
    <w:rsid w:val="198509FA"/>
    <w:rsid w:val="19874772"/>
    <w:rsid w:val="198767E0"/>
    <w:rsid w:val="1991739F"/>
    <w:rsid w:val="199307E0"/>
    <w:rsid w:val="19A75624"/>
    <w:rsid w:val="19BD0194"/>
    <w:rsid w:val="19BE45D9"/>
    <w:rsid w:val="19C036F6"/>
    <w:rsid w:val="19C9650E"/>
    <w:rsid w:val="19E020D4"/>
    <w:rsid w:val="19EC0A79"/>
    <w:rsid w:val="19FB0CBC"/>
    <w:rsid w:val="1A0C2003"/>
    <w:rsid w:val="1A116732"/>
    <w:rsid w:val="1A1965AD"/>
    <w:rsid w:val="1A2226ED"/>
    <w:rsid w:val="1A2B6E03"/>
    <w:rsid w:val="1A3F504D"/>
    <w:rsid w:val="1A4D4265"/>
    <w:rsid w:val="1A534654"/>
    <w:rsid w:val="1A6016EF"/>
    <w:rsid w:val="1A622AE9"/>
    <w:rsid w:val="1A7D2861"/>
    <w:rsid w:val="1A9C08BE"/>
    <w:rsid w:val="1AA174FB"/>
    <w:rsid w:val="1AA749A0"/>
    <w:rsid w:val="1AB14F5C"/>
    <w:rsid w:val="1AC13CB4"/>
    <w:rsid w:val="1AC63078"/>
    <w:rsid w:val="1ACE4623"/>
    <w:rsid w:val="1AD02149"/>
    <w:rsid w:val="1AD32454"/>
    <w:rsid w:val="1AD5775F"/>
    <w:rsid w:val="1ADA6B24"/>
    <w:rsid w:val="1AE02F1F"/>
    <w:rsid w:val="1AE571AB"/>
    <w:rsid w:val="1AF5395E"/>
    <w:rsid w:val="1AFE6CB6"/>
    <w:rsid w:val="1AFF658A"/>
    <w:rsid w:val="1B1A7868"/>
    <w:rsid w:val="1B1C713C"/>
    <w:rsid w:val="1B1E276D"/>
    <w:rsid w:val="1B244243"/>
    <w:rsid w:val="1B284CAF"/>
    <w:rsid w:val="1B3950D2"/>
    <w:rsid w:val="1B6034CD"/>
    <w:rsid w:val="1B6700D1"/>
    <w:rsid w:val="1B7538D9"/>
    <w:rsid w:val="1B803B6F"/>
    <w:rsid w:val="1B851185"/>
    <w:rsid w:val="1B8D3B96"/>
    <w:rsid w:val="1BA01B1B"/>
    <w:rsid w:val="1BBD091F"/>
    <w:rsid w:val="1BDB7C76"/>
    <w:rsid w:val="1BE85270"/>
    <w:rsid w:val="1C024584"/>
    <w:rsid w:val="1C057BD0"/>
    <w:rsid w:val="1C0E4667"/>
    <w:rsid w:val="1C1934DF"/>
    <w:rsid w:val="1C204A0A"/>
    <w:rsid w:val="1C3958C8"/>
    <w:rsid w:val="1C424981"/>
    <w:rsid w:val="1C4701E9"/>
    <w:rsid w:val="1C592469"/>
    <w:rsid w:val="1C606903"/>
    <w:rsid w:val="1C6C5D0E"/>
    <w:rsid w:val="1C896786"/>
    <w:rsid w:val="1CB82E85"/>
    <w:rsid w:val="1CBE10F6"/>
    <w:rsid w:val="1CE863D3"/>
    <w:rsid w:val="1CE974F2"/>
    <w:rsid w:val="1CED198E"/>
    <w:rsid w:val="1CF10155"/>
    <w:rsid w:val="1CFC0FD3"/>
    <w:rsid w:val="1D085BCA"/>
    <w:rsid w:val="1D17405F"/>
    <w:rsid w:val="1D28001A"/>
    <w:rsid w:val="1D350989"/>
    <w:rsid w:val="1D37025D"/>
    <w:rsid w:val="1D3F35B6"/>
    <w:rsid w:val="1D4B5AB7"/>
    <w:rsid w:val="1D4F0618"/>
    <w:rsid w:val="1D725739"/>
    <w:rsid w:val="1D773729"/>
    <w:rsid w:val="1D7768AC"/>
    <w:rsid w:val="1D790876"/>
    <w:rsid w:val="1D807E56"/>
    <w:rsid w:val="1D886D0B"/>
    <w:rsid w:val="1D890511"/>
    <w:rsid w:val="1D8B67FB"/>
    <w:rsid w:val="1D903E12"/>
    <w:rsid w:val="1D905BC0"/>
    <w:rsid w:val="1D915391"/>
    <w:rsid w:val="1D946CB4"/>
    <w:rsid w:val="1D9A2D88"/>
    <w:rsid w:val="1DA23028"/>
    <w:rsid w:val="1DAE1943"/>
    <w:rsid w:val="1DBB0E8E"/>
    <w:rsid w:val="1DBD70AE"/>
    <w:rsid w:val="1DCB1FE6"/>
    <w:rsid w:val="1DDC2BB3"/>
    <w:rsid w:val="1E25455A"/>
    <w:rsid w:val="1E28404A"/>
    <w:rsid w:val="1E2D1660"/>
    <w:rsid w:val="1E37428D"/>
    <w:rsid w:val="1E396595"/>
    <w:rsid w:val="1E480248"/>
    <w:rsid w:val="1E4A0464"/>
    <w:rsid w:val="1E56548E"/>
    <w:rsid w:val="1E696B3C"/>
    <w:rsid w:val="1E74103D"/>
    <w:rsid w:val="1E766217"/>
    <w:rsid w:val="1E7948A6"/>
    <w:rsid w:val="1E831A20"/>
    <w:rsid w:val="1E8A65B2"/>
    <w:rsid w:val="1ED63AA6"/>
    <w:rsid w:val="1EF65EF6"/>
    <w:rsid w:val="1F046EFE"/>
    <w:rsid w:val="1F1C3415"/>
    <w:rsid w:val="1F30765A"/>
    <w:rsid w:val="1F42113B"/>
    <w:rsid w:val="1F4E188E"/>
    <w:rsid w:val="1F5E64A1"/>
    <w:rsid w:val="1F771CA5"/>
    <w:rsid w:val="1F871E12"/>
    <w:rsid w:val="1F890B18"/>
    <w:rsid w:val="1F8F7049"/>
    <w:rsid w:val="1FB262C1"/>
    <w:rsid w:val="1FB73684"/>
    <w:rsid w:val="1FBC47EF"/>
    <w:rsid w:val="1FBC7140"/>
    <w:rsid w:val="1FC075B8"/>
    <w:rsid w:val="1FD224BF"/>
    <w:rsid w:val="1FEC185D"/>
    <w:rsid w:val="1FEF3071"/>
    <w:rsid w:val="20146634"/>
    <w:rsid w:val="201528F7"/>
    <w:rsid w:val="201C5310"/>
    <w:rsid w:val="201C7BDE"/>
    <w:rsid w:val="205D447F"/>
    <w:rsid w:val="20686980"/>
    <w:rsid w:val="20915AD9"/>
    <w:rsid w:val="20971013"/>
    <w:rsid w:val="209D0D1F"/>
    <w:rsid w:val="20A51982"/>
    <w:rsid w:val="20A919DE"/>
    <w:rsid w:val="20B87907"/>
    <w:rsid w:val="20BE33C2"/>
    <w:rsid w:val="20C126BD"/>
    <w:rsid w:val="20C213E2"/>
    <w:rsid w:val="20CE0ED9"/>
    <w:rsid w:val="20E74DDD"/>
    <w:rsid w:val="20F12E19"/>
    <w:rsid w:val="210466A8"/>
    <w:rsid w:val="210F504D"/>
    <w:rsid w:val="21336F8E"/>
    <w:rsid w:val="213A031C"/>
    <w:rsid w:val="213D1BBA"/>
    <w:rsid w:val="21494A03"/>
    <w:rsid w:val="214967B1"/>
    <w:rsid w:val="214E5B76"/>
    <w:rsid w:val="21661111"/>
    <w:rsid w:val="216E446A"/>
    <w:rsid w:val="217557F8"/>
    <w:rsid w:val="217F0425"/>
    <w:rsid w:val="217F21D3"/>
    <w:rsid w:val="21875B05"/>
    <w:rsid w:val="218B6DCA"/>
    <w:rsid w:val="219739C1"/>
    <w:rsid w:val="219C64A1"/>
    <w:rsid w:val="219C65F8"/>
    <w:rsid w:val="21CB18BC"/>
    <w:rsid w:val="21D40771"/>
    <w:rsid w:val="21F229A5"/>
    <w:rsid w:val="22056B7C"/>
    <w:rsid w:val="22460F43"/>
    <w:rsid w:val="224A3CE5"/>
    <w:rsid w:val="22574EFE"/>
    <w:rsid w:val="225E628C"/>
    <w:rsid w:val="226E2973"/>
    <w:rsid w:val="22866061"/>
    <w:rsid w:val="22873A35"/>
    <w:rsid w:val="229E0D7F"/>
    <w:rsid w:val="22A719E1"/>
    <w:rsid w:val="22AF0896"/>
    <w:rsid w:val="22B37E38"/>
    <w:rsid w:val="22B81E40"/>
    <w:rsid w:val="22C34341"/>
    <w:rsid w:val="22D02936"/>
    <w:rsid w:val="22E03145"/>
    <w:rsid w:val="22E57B7C"/>
    <w:rsid w:val="22EF6714"/>
    <w:rsid w:val="23045086"/>
    <w:rsid w:val="230A1468"/>
    <w:rsid w:val="231B23CF"/>
    <w:rsid w:val="232079E6"/>
    <w:rsid w:val="23243032"/>
    <w:rsid w:val="232A43C0"/>
    <w:rsid w:val="23342F96"/>
    <w:rsid w:val="233F1C1A"/>
    <w:rsid w:val="23533917"/>
    <w:rsid w:val="23603BCC"/>
    <w:rsid w:val="236E24FF"/>
    <w:rsid w:val="2378337E"/>
    <w:rsid w:val="237B69CA"/>
    <w:rsid w:val="237D2742"/>
    <w:rsid w:val="238D5D3D"/>
    <w:rsid w:val="23963804"/>
    <w:rsid w:val="23963868"/>
    <w:rsid w:val="239D1036"/>
    <w:rsid w:val="239D4B92"/>
    <w:rsid w:val="23AB5501"/>
    <w:rsid w:val="23BE3486"/>
    <w:rsid w:val="23C245F9"/>
    <w:rsid w:val="23EB256F"/>
    <w:rsid w:val="23EB6880"/>
    <w:rsid w:val="23F30C56"/>
    <w:rsid w:val="24075F16"/>
    <w:rsid w:val="2418246B"/>
    <w:rsid w:val="241F37F9"/>
    <w:rsid w:val="242E1C8E"/>
    <w:rsid w:val="2436439A"/>
    <w:rsid w:val="243F0CE7"/>
    <w:rsid w:val="24417C14"/>
    <w:rsid w:val="244C2BD2"/>
    <w:rsid w:val="24572F93"/>
    <w:rsid w:val="247E3134"/>
    <w:rsid w:val="2483647E"/>
    <w:rsid w:val="24A81A41"/>
    <w:rsid w:val="24A87C93"/>
    <w:rsid w:val="24AD7057"/>
    <w:rsid w:val="24C83E91"/>
    <w:rsid w:val="24D131D2"/>
    <w:rsid w:val="24F36FE0"/>
    <w:rsid w:val="24F46A34"/>
    <w:rsid w:val="24FB7DC2"/>
    <w:rsid w:val="250E5D48"/>
    <w:rsid w:val="2513335E"/>
    <w:rsid w:val="252B4B4C"/>
    <w:rsid w:val="2530012C"/>
    <w:rsid w:val="2547125A"/>
    <w:rsid w:val="25496D80"/>
    <w:rsid w:val="25575658"/>
    <w:rsid w:val="25A50377"/>
    <w:rsid w:val="25AE3087"/>
    <w:rsid w:val="25B763DF"/>
    <w:rsid w:val="25CB3C39"/>
    <w:rsid w:val="25D074A1"/>
    <w:rsid w:val="25D20C1E"/>
    <w:rsid w:val="25D30D3F"/>
    <w:rsid w:val="25E35426"/>
    <w:rsid w:val="25F52A64"/>
    <w:rsid w:val="260C2623"/>
    <w:rsid w:val="262B0B7B"/>
    <w:rsid w:val="262D044F"/>
    <w:rsid w:val="262D66A1"/>
    <w:rsid w:val="26396DF4"/>
    <w:rsid w:val="263A491A"/>
    <w:rsid w:val="26450618"/>
    <w:rsid w:val="26506717"/>
    <w:rsid w:val="267E5EF4"/>
    <w:rsid w:val="269B185D"/>
    <w:rsid w:val="26A30712"/>
    <w:rsid w:val="26AA0FA1"/>
    <w:rsid w:val="26AA5F44"/>
    <w:rsid w:val="26AF14CD"/>
    <w:rsid w:val="26B40B71"/>
    <w:rsid w:val="26B96187"/>
    <w:rsid w:val="26C62652"/>
    <w:rsid w:val="26D0702D"/>
    <w:rsid w:val="26DE174A"/>
    <w:rsid w:val="27054F28"/>
    <w:rsid w:val="27075144"/>
    <w:rsid w:val="27102696"/>
    <w:rsid w:val="272C4BAB"/>
    <w:rsid w:val="273B094A"/>
    <w:rsid w:val="273F6B5A"/>
    <w:rsid w:val="27455C6D"/>
    <w:rsid w:val="274E4B21"/>
    <w:rsid w:val="275163C0"/>
    <w:rsid w:val="27710810"/>
    <w:rsid w:val="27750300"/>
    <w:rsid w:val="278B242D"/>
    <w:rsid w:val="27985D9D"/>
    <w:rsid w:val="279B567B"/>
    <w:rsid w:val="27B055EA"/>
    <w:rsid w:val="27B52BE1"/>
    <w:rsid w:val="27C9064C"/>
    <w:rsid w:val="27CA3882"/>
    <w:rsid w:val="27CB2B89"/>
    <w:rsid w:val="27CB6172"/>
    <w:rsid w:val="27CE17BE"/>
    <w:rsid w:val="27D07386"/>
    <w:rsid w:val="27D547E6"/>
    <w:rsid w:val="27DC212D"/>
    <w:rsid w:val="27DD2B2D"/>
    <w:rsid w:val="280E4BFA"/>
    <w:rsid w:val="280F598C"/>
    <w:rsid w:val="28341F69"/>
    <w:rsid w:val="28373807"/>
    <w:rsid w:val="283F26BC"/>
    <w:rsid w:val="28687E65"/>
    <w:rsid w:val="28770012"/>
    <w:rsid w:val="289569CE"/>
    <w:rsid w:val="2897196C"/>
    <w:rsid w:val="28996270"/>
    <w:rsid w:val="289B4E03"/>
    <w:rsid w:val="289E170C"/>
    <w:rsid w:val="289E3886"/>
    <w:rsid w:val="28A10C81"/>
    <w:rsid w:val="28A6273B"/>
    <w:rsid w:val="28C822A0"/>
    <w:rsid w:val="28D9666D"/>
    <w:rsid w:val="28E13773"/>
    <w:rsid w:val="28E53263"/>
    <w:rsid w:val="28EC45F2"/>
    <w:rsid w:val="290D24E8"/>
    <w:rsid w:val="29254262"/>
    <w:rsid w:val="292A336C"/>
    <w:rsid w:val="292B63E0"/>
    <w:rsid w:val="292E4453"/>
    <w:rsid w:val="292F2731"/>
    <w:rsid w:val="294D2BB7"/>
    <w:rsid w:val="297840D8"/>
    <w:rsid w:val="298567F4"/>
    <w:rsid w:val="29874244"/>
    <w:rsid w:val="298861E2"/>
    <w:rsid w:val="298E0913"/>
    <w:rsid w:val="299A22A0"/>
    <w:rsid w:val="29A053DC"/>
    <w:rsid w:val="29AC5B2F"/>
    <w:rsid w:val="29AF561F"/>
    <w:rsid w:val="29E4176D"/>
    <w:rsid w:val="29E63E2B"/>
    <w:rsid w:val="29EF52A8"/>
    <w:rsid w:val="29FB2613"/>
    <w:rsid w:val="29FD5699"/>
    <w:rsid w:val="2A077209"/>
    <w:rsid w:val="2A1262A0"/>
    <w:rsid w:val="2A2B739C"/>
    <w:rsid w:val="2A3325E4"/>
    <w:rsid w:val="2A4205E6"/>
    <w:rsid w:val="2A5957DE"/>
    <w:rsid w:val="2A5F2BA2"/>
    <w:rsid w:val="2A685EFA"/>
    <w:rsid w:val="2A693A20"/>
    <w:rsid w:val="2A767D79"/>
    <w:rsid w:val="2A962EE4"/>
    <w:rsid w:val="2AAB5DE7"/>
    <w:rsid w:val="2AAE3A4E"/>
    <w:rsid w:val="2AB27175"/>
    <w:rsid w:val="2ADD0AAE"/>
    <w:rsid w:val="2AE13EFE"/>
    <w:rsid w:val="2AEC2D35"/>
    <w:rsid w:val="2AED28A3"/>
    <w:rsid w:val="2B1A4D1A"/>
    <w:rsid w:val="2B2F4C6A"/>
    <w:rsid w:val="2B407E40"/>
    <w:rsid w:val="2B4104F9"/>
    <w:rsid w:val="2B512E32"/>
    <w:rsid w:val="2B5B7EFE"/>
    <w:rsid w:val="2B7E52A9"/>
    <w:rsid w:val="2B9029DF"/>
    <w:rsid w:val="2B9515B5"/>
    <w:rsid w:val="2BF8505C"/>
    <w:rsid w:val="2C412EA7"/>
    <w:rsid w:val="2C4C35F9"/>
    <w:rsid w:val="2C4C773E"/>
    <w:rsid w:val="2C51702D"/>
    <w:rsid w:val="2C6E3570"/>
    <w:rsid w:val="2C840727"/>
    <w:rsid w:val="2C8B4122"/>
    <w:rsid w:val="2C9E20A7"/>
    <w:rsid w:val="2CC413E2"/>
    <w:rsid w:val="2CFE66A2"/>
    <w:rsid w:val="2D016192"/>
    <w:rsid w:val="2D052EB7"/>
    <w:rsid w:val="2D1C121E"/>
    <w:rsid w:val="2D291516"/>
    <w:rsid w:val="2D314CC9"/>
    <w:rsid w:val="2D594220"/>
    <w:rsid w:val="2D5A662E"/>
    <w:rsid w:val="2D8172D3"/>
    <w:rsid w:val="2D83304B"/>
    <w:rsid w:val="2D960FD0"/>
    <w:rsid w:val="2D9611C0"/>
    <w:rsid w:val="2D990AC0"/>
    <w:rsid w:val="2DA21723"/>
    <w:rsid w:val="2DC0604D"/>
    <w:rsid w:val="2DCA0C7A"/>
    <w:rsid w:val="2DD613CD"/>
    <w:rsid w:val="2DE41D3C"/>
    <w:rsid w:val="2DE57862"/>
    <w:rsid w:val="2E1B382A"/>
    <w:rsid w:val="2E204D3E"/>
    <w:rsid w:val="2E494294"/>
    <w:rsid w:val="2E534E95"/>
    <w:rsid w:val="2E552C39"/>
    <w:rsid w:val="2E6C3ADF"/>
    <w:rsid w:val="2E734E6D"/>
    <w:rsid w:val="2E951288"/>
    <w:rsid w:val="2ED35550"/>
    <w:rsid w:val="2ED620BB"/>
    <w:rsid w:val="2EDF252C"/>
    <w:rsid w:val="2EE144CD"/>
    <w:rsid w:val="2EEA05FC"/>
    <w:rsid w:val="2EFC30B5"/>
    <w:rsid w:val="2F0B154A"/>
    <w:rsid w:val="2F3E36CD"/>
    <w:rsid w:val="2F45680A"/>
    <w:rsid w:val="2F464330"/>
    <w:rsid w:val="2F5702EB"/>
    <w:rsid w:val="2F73601B"/>
    <w:rsid w:val="2F8C268B"/>
    <w:rsid w:val="2F943CC6"/>
    <w:rsid w:val="2F9572E3"/>
    <w:rsid w:val="2FA554FB"/>
    <w:rsid w:val="30073ABF"/>
    <w:rsid w:val="301D32E3"/>
    <w:rsid w:val="303E14AB"/>
    <w:rsid w:val="30466CDD"/>
    <w:rsid w:val="3050190A"/>
    <w:rsid w:val="30764BE7"/>
    <w:rsid w:val="308913C7"/>
    <w:rsid w:val="30B32AE0"/>
    <w:rsid w:val="30B579BF"/>
    <w:rsid w:val="30BB2AFC"/>
    <w:rsid w:val="30C47C02"/>
    <w:rsid w:val="30CC4D09"/>
    <w:rsid w:val="30D36097"/>
    <w:rsid w:val="30D76019"/>
    <w:rsid w:val="30F5600E"/>
    <w:rsid w:val="30FE32FE"/>
    <w:rsid w:val="31077AEF"/>
    <w:rsid w:val="311E5289"/>
    <w:rsid w:val="314825E1"/>
    <w:rsid w:val="318850D4"/>
    <w:rsid w:val="318F4926"/>
    <w:rsid w:val="318F6462"/>
    <w:rsid w:val="31AD3CF2"/>
    <w:rsid w:val="31B41A25"/>
    <w:rsid w:val="31B5579D"/>
    <w:rsid w:val="31BD2FCF"/>
    <w:rsid w:val="31D420C7"/>
    <w:rsid w:val="31D67BED"/>
    <w:rsid w:val="31E00A6C"/>
    <w:rsid w:val="31EC7411"/>
    <w:rsid w:val="31ED4F37"/>
    <w:rsid w:val="31FD7870"/>
    <w:rsid w:val="32002EBC"/>
    <w:rsid w:val="320504D2"/>
    <w:rsid w:val="321B1AA4"/>
    <w:rsid w:val="32250B75"/>
    <w:rsid w:val="323469A9"/>
    <w:rsid w:val="324F0396"/>
    <w:rsid w:val="325D030E"/>
    <w:rsid w:val="327A523A"/>
    <w:rsid w:val="32A63A63"/>
    <w:rsid w:val="32CB178B"/>
    <w:rsid w:val="32DE6F4A"/>
    <w:rsid w:val="32E60EA2"/>
    <w:rsid w:val="32EB3B6C"/>
    <w:rsid w:val="32EB6659"/>
    <w:rsid w:val="33244988"/>
    <w:rsid w:val="333948D8"/>
    <w:rsid w:val="3355548A"/>
    <w:rsid w:val="335A0A8F"/>
    <w:rsid w:val="33633703"/>
    <w:rsid w:val="336B6A5B"/>
    <w:rsid w:val="33723946"/>
    <w:rsid w:val="33890DDE"/>
    <w:rsid w:val="338A5133"/>
    <w:rsid w:val="33947D60"/>
    <w:rsid w:val="33955886"/>
    <w:rsid w:val="339733AC"/>
    <w:rsid w:val="339935C8"/>
    <w:rsid w:val="339B17F0"/>
    <w:rsid w:val="339C09C3"/>
    <w:rsid w:val="33A06705"/>
    <w:rsid w:val="33AD497E"/>
    <w:rsid w:val="33BB2C5C"/>
    <w:rsid w:val="33D360B3"/>
    <w:rsid w:val="33DF6B01"/>
    <w:rsid w:val="33EA4A2B"/>
    <w:rsid w:val="33FB7DDF"/>
    <w:rsid w:val="342033A2"/>
    <w:rsid w:val="342A4220"/>
    <w:rsid w:val="342E23F4"/>
    <w:rsid w:val="343B2752"/>
    <w:rsid w:val="344A6670"/>
    <w:rsid w:val="34565015"/>
    <w:rsid w:val="34605E94"/>
    <w:rsid w:val="34757B91"/>
    <w:rsid w:val="348576A9"/>
    <w:rsid w:val="349B3370"/>
    <w:rsid w:val="34BB30CA"/>
    <w:rsid w:val="34CC177B"/>
    <w:rsid w:val="34E16FD5"/>
    <w:rsid w:val="34E22D4D"/>
    <w:rsid w:val="34F07218"/>
    <w:rsid w:val="34FB7939"/>
    <w:rsid w:val="34FC52C7"/>
    <w:rsid w:val="3518051D"/>
    <w:rsid w:val="352B0250"/>
    <w:rsid w:val="35325A82"/>
    <w:rsid w:val="354B444E"/>
    <w:rsid w:val="35727C2D"/>
    <w:rsid w:val="358D0F0B"/>
    <w:rsid w:val="35973D68"/>
    <w:rsid w:val="35A26038"/>
    <w:rsid w:val="35B77D36"/>
    <w:rsid w:val="35BD04D0"/>
    <w:rsid w:val="35BF0085"/>
    <w:rsid w:val="35DC154A"/>
    <w:rsid w:val="35DD75FE"/>
    <w:rsid w:val="35DE3514"/>
    <w:rsid w:val="35F03248"/>
    <w:rsid w:val="36083F27"/>
    <w:rsid w:val="361C403D"/>
    <w:rsid w:val="364D069A"/>
    <w:rsid w:val="364E6E0D"/>
    <w:rsid w:val="3659703F"/>
    <w:rsid w:val="36660E4A"/>
    <w:rsid w:val="366A4DA8"/>
    <w:rsid w:val="36723C5D"/>
    <w:rsid w:val="36730100"/>
    <w:rsid w:val="3679148F"/>
    <w:rsid w:val="36804136"/>
    <w:rsid w:val="36893449"/>
    <w:rsid w:val="369372C0"/>
    <w:rsid w:val="36941E25"/>
    <w:rsid w:val="36987B67"/>
    <w:rsid w:val="36A209E6"/>
    <w:rsid w:val="36D05553"/>
    <w:rsid w:val="36D16BD5"/>
    <w:rsid w:val="36EC3A0F"/>
    <w:rsid w:val="36F40B16"/>
    <w:rsid w:val="36F52B2D"/>
    <w:rsid w:val="37166CDE"/>
    <w:rsid w:val="371F2036"/>
    <w:rsid w:val="37321B20"/>
    <w:rsid w:val="37321D6A"/>
    <w:rsid w:val="37402B9E"/>
    <w:rsid w:val="37464FC6"/>
    <w:rsid w:val="37515F68"/>
    <w:rsid w:val="375A12C0"/>
    <w:rsid w:val="37656B53"/>
    <w:rsid w:val="376B0DD8"/>
    <w:rsid w:val="37732382"/>
    <w:rsid w:val="377C2FE5"/>
    <w:rsid w:val="37A34A15"/>
    <w:rsid w:val="37AF4D33"/>
    <w:rsid w:val="37B7401D"/>
    <w:rsid w:val="37C07B1C"/>
    <w:rsid w:val="37C13A76"/>
    <w:rsid w:val="37CC0477"/>
    <w:rsid w:val="37D22C05"/>
    <w:rsid w:val="37ED5C91"/>
    <w:rsid w:val="37F30DCD"/>
    <w:rsid w:val="37F62C52"/>
    <w:rsid w:val="380A5D0D"/>
    <w:rsid w:val="380F21A1"/>
    <w:rsid w:val="381551E7"/>
    <w:rsid w:val="38270B95"/>
    <w:rsid w:val="382A2A41"/>
    <w:rsid w:val="383B019C"/>
    <w:rsid w:val="384A6C3F"/>
    <w:rsid w:val="38585BBA"/>
    <w:rsid w:val="385E26EA"/>
    <w:rsid w:val="38613F89"/>
    <w:rsid w:val="386C12AB"/>
    <w:rsid w:val="38763474"/>
    <w:rsid w:val="38767A34"/>
    <w:rsid w:val="389C6ADA"/>
    <w:rsid w:val="38AF73EA"/>
    <w:rsid w:val="38C74734"/>
    <w:rsid w:val="38CB553C"/>
    <w:rsid w:val="38CF5396"/>
    <w:rsid w:val="38D17360"/>
    <w:rsid w:val="38D46E50"/>
    <w:rsid w:val="38DB01DF"/>
    <w:rsid w:val="38DF4497"/>
    <w:rsid w:val="38F17A02"/>
    <w:rsid w:val="38F372D7"/>
    <w:rsid w:val="39092CEC"/>
    <w:rsid w:val="39243934"/>
    <w:rsid w:val="393567D8"/>
    <w:rsid w:val="393C3EAF"/>
    <w:rsid w:val="395D0BF4"/>
    <w:rsid w:val="395E32A5"/>
    <w:rsid w:val="396E4661"/>
    <w:rsid w:val="39765215"/>
    <w:rsid w:val="398664FD"/>
    <w:rsid w:val="399F3CA6"/>
    <w:rsid w:val="39D215E2"/>
    <w:rsid w:val="39E43B91"/>
    <w:rsid w:val="3A105C66"/>
    <w:rsid w:val="3A190FBF"/>
    <w:rsid w:val="3A257350"/>
    <w:rsid w:val="3A3F654C"/>
    <w:rsid w:val="3A414F6C"/>
    <w:rsid w:val="3A4A561C"/>
    <w:rsid w:val="3A52002D"/>
    <w:rsid w:val="3A571AE7"/>
    <w:rsid w:val="3A5E2E76"/>
    <w:rsid w:val="3A751F6D"/>
    <w:rsid w:val="3A773F37"/>
    <w:rsid w:val="3A79380C"/>
    <w:rsid w:val="3A817F29"/>
    <w:rsid w:val="3A8328DC"/>
    <w:rsid w:val="3A8A5A19"/>
    <w:rsid w:val="3A952569"/>
    <w:rsid w:val="3AA0523C"/>
    <w:rsid w:val="3AB25844"/>
    <w:rsid w:val="3AC21656"/>
    <w:rsid w:val="3ACD0F50"/>
    <w:rsid w:val="3AEF7F72"/>
    <w:rsid w:val="3B077069"/>
    <w:rsid w:val="3B190486"/>
    <w:rsid w:val="3B223EA3"/>
    <w:rsid w:val="3B273268"/>
    <w:rsid w:val="3B286FE0"/>
    <w:rsid w:val="3B4D70C2"/>
    <w:rsid w:val="3B4F0A10"/>
    <w:rsid w:val="3B5322AF"/>
    <w:rsid w:val="3B7E3D60"/>
    <w:rsid w:val="3B862684"/>
    <w:rsid w:val="3B911029"/>
    <w:rsid w:val="3B9D352A"/>
    <w:rsid w:val="3BA66882"/>
    <w:rsid w:val="3BC76A74"/>
    <w:rsid w:val="3BCB0097"/>
    <w:rsid w:val="3BE473AB"/>
    <w:rsid w:val="3BF21214"/>
    <w:rsid w:val="3C081136"/>
    <w:rsid w:val="3C096E11"/>
    <w:rsid w:val="3C211C1A"/>
    <w:rsid w:val="3C49478D"/>
    <w:rsid w:val="3C4D4F50"/>
    <w:rsid w:val="3C5502A8"/>
    <w:rsid w:val="3C5E0136"/>
    <w:rsid w:val="3C7A386B"/>
    <w:rsid w:val="3C8F5568"/>
    <w:rsid w:val="3CA335CD"/>
    <w:rsid w:val="3CA43FF7"/>
    <w:rsid w:val="3CAF40F6"/>
    <w:rsid w:val="3CC82828"/>
    <w:rsid w:val="3CEA279F"/>
    <w:rsid w:val="3CFB0E50"/>
    <w:rsid w:val="3D0F66A9"/>
    <w:rsid w:val="3D112421"/>
    <w:rsid w:val="3D1D2B74"/>
    <w:rsid w:val="3D31661F"/>
    <w:rsid w:val="3D393726"/>
    <w:rsid w:val="3D3B2FFA"/>
    <w:rsid w:val="3D472B15"/>
    <w:rsid w:val="3D482BE6"/>
    <w:rsid w:val="3D48578F"/>
    <w:rsid w:val="3D55642B"/>
    <w:rsid w:val="3D5567B2"/>
    <w:rsid w:val="3D5E3B78"/>
    <w:rsid w:val="3D695DB9"/>
    <w:rsid w:val="3D712EC0"/>
    <w:rsid w:val="3D8E3A72"/>
    <w:rsid w:val="3D9F1E3D"/>
    <w:rsid w:val="3DB35286"/>
    <w:rsid w:val="3DB657B3"/>
    <w:rsid w:val="3DBD7EB3"/>
    <w:rsid w:val="3DD40C2E"/>
    <w:rsid w:val="3DDC2A2F"/>
    <w:rsid w:val="3DE73182"/>
    <w:rsid w:val="3DE9514C"/>
    <w:rsid w:val="3DEA51FF"/>
    <w:rsid w:val="3DFE07B5"/>
    <w:rsid w:val="3E106844"/>
    <w:rsid w:val="3E171CB9"/>
    <w:rsid w:val="3E23240C"/>
    <w:rsid w:val="3E302A8A"/>
    <w:rsid w:val="3E391C30"/>
    <w:rsid w:val="3E530817"/>
    <w:rsid w:val="3E570308"/>
    <w:rsid w:val="3E5F71BC"/>
    <w:rsid w:val="3E6D3687"/>
    <w:rsid w:val="3E6F5651"/>
    <w:rsid w:val="3E703177"/>
    <w:rsid w:val="3E7D2EE1"/>
    <w:rsid w:val="3E83453C"/>
    <w:rsid w:val="3E993E82"/>
    <w:rsid w:val="3EA921A8"/>
    <w:rsid w:val="3EB72B54"/>
    <w:rsid w:val="3EBC016B"/>
    <w:rsid w:val="3ECD05CA"/>
    <w:rsid w:val="3EE15DFE"/>
    <w:rsid w:val="3EE80F60"/>
    <w:rsid w:val="3EE94590"/>
    <w:rsid w:val="3EEC4EF4"/>
    <w:rsid w:val="3F03223E"/>
    <w:rsid w:val="3F0A38C9"/>
    <w:rsid w:val="3F162889"/>
    <w:rsid w:val="3F1730A9"/>
    <w:rsid w:val="3F273381"/>
    <w:rsid w:val="3F56236D"/>
    <w:rsid w:val="3F764EB6"/>
    <w:rsid w:val="3F8A0269"/>
    <w:rsid w:val="3FA94B93"/>
    <w:rsid w:val="3FAA090B"/>
    <w:rsid w:val="3FB83028"/>
    <w:rsid w:val="3FB84DD6"/>
    <w:rsid w:val="3FCC123E"/>
    <w:rsid w:val="3FD87226"/>
    <w:rsid w:val="3FDF6807"/>
    <w:rsid w:val="3FEE07F8"/>
    <w:rsid w:val="3FF80CC1"/>
    <w:rsid w:val="3FFF6630"/>
    <w:rsid w:val="40000A78"/>
    <w:rsid w:val="400376FA"/>
    <w:rsid w:val="40060D04"/>
    <w:rsid w:val="4013200C"/>
    <w:rsid w:val="40224945"/>
    <w:rsid w:val="40251D40"/>
    <w:rsid w:val="40336F0D"/>
    <w:rsid w:val="4035195C"/>
    <w:rsid w:val="4047615A"/>
    <w:rsid w:val="404C3770"/>
    <w:rsid w:val="407D1B7C"/>
    <w:rsid w:val="409018AF"/>
    <w:rsid w:val="409C64A6"/>
    <w:rsid w:val="40A13ABC"/>
    <w:rsid w:val="40A610D2"/>
    <w:rsid w:val="40AB1069"/>
    <w:rsid w:val="40D1238D"/>
    <w:rsid w:val="40DE6ABE"/>
    <w:rsid w:val="40E90FBF"/>
    <w:rsid w:val="40EA7211"/>
    <w:rsid w:val="41001A84"/>
    <w:rsid w:val="411C75E7"/>
    <w:rsid w:val="413E130B"/>
    <w:rsid w:val="4148218A"/>
    <w:rsid w:val="41656898"/>
    <w:rsid w:val="4168282C"/>
    <w:rsid w:val="41841B1C"/>
    <w:rsid w:val="41870F04"/>
    <w:rsid w:val="418C2076"/>
    <w:rsid w:val="41C93703"/>
    <w:rsid w:val="41C95079"/>
    <w:rsid w:val="41CA7043"/>
    <w:rsid w:val="41CE08E1"/>
    <w:rsid w:val="41D659E7"/>
    <w:rsid w:val="41E81277"/>
    <w:rsid w:val="41F10CD9"/>
    <w:rsid w:val="42274AC5"/>
    <w:rsid w:val="42277ECB"/>
    <w:rsid w:val="423F5784"/>
    <w:rsid w:val="426923B8"/>
    <w:rsid w:val="426C1EA8"/>
    <w:rsid w:val="42927B60"/>
    <w:rsid w:val="42B37AD7"/>
    <w:rsid w:val="42B775C7"/>
    <w:rsid w:val="42C24FD2"/>
    <w:rsid w:val="42E163F2"/>
    <w:rsid w:val="42F813A1"/>
    <w:rsid w:val="42FC147E"/>
    <w:rsid w:val="43016A94"/>
    <w:rsid w:val="430B7913"/>
    <w:rsid w:val="43236A0A"/>
    <w:rsid w:val="432F53AF"/>
    <w:rsid w:val="43302ED5"/>
    <w:rsid w:val="433B01F8"/>
    <w:rsid w:val="436239D7"/>
    <w:rsid w:val="43671FE0"/>
    <w:rsid w:val="43793A2B"/>
    <w:rsid w:val="437C436D"/>
    <w:rsid w:val="43880F63"/>
    <w:rsid w:val="438D5DB3"/>
    <w:rsid w:val="4391606A"/>
    <w:rsid w:val="43AE09CA"/>
    <w:rsid w:val="43B65B15"/>
    <w:rsid w:val="43C26223"/>
    <w:rsid w:val="43C55D14"/>
    <w:rsid w:val="43E02B4D"/>
    <w:rsid w:val="43EF2D90"/>
    <w:rsid w:val="44054D39"/>
    <w:rsid w:val="44095C00"/>
    <w:rsid w:val="44164CE1"/>
    <w:rsid w:val="4420119C"/>
    <w:rsid w:val="442567B2"/>
    <w:rsid w:val="4436276D"/>
    <w:rsid w:val="443F0D89"/>
    <w:rsid w:val="4467501D"/>
    <w:rsid w:val="4473751E"/>
    <w:rsid w:val="44753296"/>
    <w:rsid w:val="449B0822"/>
    <w:rsid w:val="449F0313"/>
    <w:rsid w:val="44A9589D"/>
    <w:rsid w:val="44FF5255"/>
    <w:rsid w:val="45611A6C"/>
    <w:rsid w:val="456652D4"/>
    <w:rsid w:val="45774DEB"/>
    <w:rsid w:val="458A0FC3"/>
    <w:rsid w:val="459613CA"/>
    <w:rsid w:val="45964673"/>
    <w:rsid w:val="45AD6A5F"/>
    <w:rsid w:val="45B829C9"/>
    <w:rsid w:val="45B95404"/>
    <w:rsid w:val="45BF387F"/>
    <w:rsid w:val="45DE30BD"/>
    <w:rsid w:val="45E32240"/>
    <w:rsid w:val="460743C1"/>
    <w:rsid w:val="460D5750"/>
    <w:rsid w:val="462C207A"/>
    <w:rsid w:val="462F3918"/>
    <w:rsid w:val="463D4287"/>
    <w:rsid w:val="463D4D16"/>
    <w:rsid w:val="46475DE7"/>
    <w:rsid w:val="46565349"/>
    <w:rsid w:val="465B470D"/>
    <w:rsid w:val="46686E80"/>
    <w:rsid w:val="46737CA9"/>
    <w:rsid w:val="469043B7"/>
    <w:rsid w:val="46907FF6"/>
    <w:rsid w:val="46957C1F"/>
    <w:rsid w:val="469D5B2A"/>
    <w:rsid w:val="46A55988"/>
    <w:rsid w:val="46AE0CE1"/>
    <w:rsid w:val="46AF46EA"/>
    <w:rsid w:val="46BE2962"/>
    <w:rsid w:val="46C40504"/>
    <w:rsid w:val="46C71DA3"/>
    <w:rsid w:val="46D1733B"/>
    <w:rsid w:val="46DC154C"/>
    <w:rsid w:val="46DD1482"/>
    <w:rsid w:val="46EB5A91"/>
    <w:rsid w:val="471C5C4A"/>
    <w:rsid w:val="47477D92"/>
    <w:rsid w:val="477E06B3"/>
    <w:rsid w:val="478B2DD0"/>
    <w:rsid w:val="47A622EC"/>
    <w:rsid w:val="47AA42BE"/>
    <w:rsid w:val="47B7752B"/>
    <w:rsid w:val="47B81532"/>
    <w:rsid w:val="47DD7AD0"/>
    <w:rsid w:val="47E23A00"/>
    <w:rsid w:val="47E701B8"/>
    <w:rsid w:val="47EA5D49"/>
    <w:rsid w:val="47F92430"/>
    <w:rsid w:val="480F5482"/>
    <w:rsid w:val="480F57AF"/>
    <w:rsid w:val="482A79AD"/>
    <w:rsid w:val="483039B0"/>
    <w:rsid w:val="485A1120"/>
    <w:rsid w:val="485D29BF"/>
    <w:rsid w:val="48607974"/>
    <w:rsid w:val="48627FD5"/>
    <w:rsid w:val="486A50DB"/>
    <w:rsid w:val="48783354"/>
    <w:rsid w:val="48873598"/>
    <w:rsid w:val="488C5052"/>
    <w:rsid w:val="488F0FA9"/>
    <w:rsid w:val="488F68F0"/>
    <w:rsid w:val="48A27589"/>
    <w:rsid w:val="48AC1250"/>
    <w:rsid w:val="48AC2FFE"/>
    <w:rsid w:val="48BB1493"/>
    <w:rsid w:val="48C12F4D"/>
    <w:rsid w:val="48E7672C"/>
    <w:rsid w:val="48EB621C"/>
    <w:rsid w:val="48F609CD"/>
    <w:rsid w:val="490B241B"/>
    <w:rsid w:val="491D5CAA"/>
    <w:rsid w:val="49247038"/>
    <w:rsid w:val="49261002"/>
    <w:rsid w:val="492F237D"/>
    <w:rsid w:val="49374FBE"/>
    <w:rsid w:val="497004D0"/>
    <w:rsid w:val="498F74D0"/>
    <w:rsid w:val="49AE2DA6"/>
    <w:rsid w:val="49C36851"/>
    <w:rsid w:val="49C9005F"/>
    <w:rsid w:val="49CD147E"/>
    <w:rsid w:val="49E213B4"/>
    <w:rsid w:val="49EF3AEA"/>
    <w:rsid w:val="49EF7646"/>
    <w:rsid w:val="49F41101"/>
    <w:rsid w:val="4A003601"/>
    <w:rsid w:val="4A050C18"/>
    <w:rsid w:val="4A062BE2"/>
    <w:rsid w:val="4A1B668D"/>
    <w:rsid w:val="4A1D5BD4"/>
    <w:rsid w:val="4A2C22C6"/>
    <w:rsid w:val="4A3343F1"/>
    <w:rsid w:val="4A3D2AA8"/>
    <w:rsid w:val="4A54394D"/>
    <w:rsid w:val="4A856A65"/>
    <w:rsid w:val="4A946440"/>
    <w:rsid w:val="4A976D26"/>
    <w:rsid w:val="4A9B5A20"/>
    <w:rsid w:val="4AA7028D"/>
    <w:rsid w:val="4AB8212E"/>
    <w:rsid w:val="4AC477B5"/>
    <w:rsid w:val="4AC565F9"/>
    <w:rsid w:val="4ADD3943"/>
    <w:rsid w:val="4AE7656F"/>
    <w:rsid w:val="4B0B6702"/>
    <w:rsid w:val="4B225D19"/>
    <w:rsid w:val="4B271062"/>
    <w:rsid w:val="4B321EE0"/>
    <w:rsid w:val="4B3B24B9"/>
    <w:rsid w:val="4B531A7F"/>
    <w:rsid w:val="4B5F6A4E"/>
    <w:rsid w:val="4B5F6CE3"/>
    <w:rsid w:val="4B8169C4"/>
    <w:rsid w:val="4BB02E05"/>
    <w:rsid w:val="4BB078CC"/>
    <w:rsid w:val="4BC23E1F"/>
    <w:rsid w:val="4BD702A6"/>
    <w:rsid w:val="4BDC3BFA"/>
    <w:rsid w:val="4BE13907"/>
    <w:rsid w:val="4BED4059"/>
    <w:rsid w:val="4C0A0767"/>
    <w:rsid w:val="4C1710D6"/>
    <w:rsid w:val="4C2630C7"/>
    <w:rsid w:val="4C3D18D9"/>
    <w:rsid w:val="4C5C2F8D"/>
    <w:rsid w:val="4C5D5F9D"/>
    <w:rsid w:val="4C6A0147"/>
    <w:rsid w:val="4C7D362F"/>
    <w:rsid w:val="4C8936D2"/>
    <w:rsid w:val="4C96649F"/>
    <w:rsid w:val="4C9E25D5"/>
    <w:rsid w:val="4CA23096"/>
    <w:rsid w:val="4CA566E2"/>
    <w:rsid w:val="4CCF20E6"/>
    <w:rsid w:val="4CD36C68"/>
    <w:rsid w:val="4CD85D05"/>
    <w:rsid w:val="4CDB5302"/>
    <w:rsid w:val="4CDE39A2"/>
    <w:rsid w:val="4CFA4C80"/>
    <w:rsid w:val="4CFA6A2E"/>
    <w:rsid w:val="4D243AAB"/>
    <w:rsid w:val="4D3335ED"/>
    <w:rsid w:val="4D626381"/>
    <w:rsid w:val="4D881587"/>
    <w:rsid w:val="4D891B60"/>
    <w:rsid w:val="4D8E361A"/>
    <w:rsid w:val="4D9C1893"/>
    <w:rsid w:val="4DCD6F24"/>
    <w:rsid w:val="4DD21759"/>
    <w:rsid w:val="4DE82D2A"/>
    <w:rsid w:val="4DF53699"/>
    <w:rsid w:val="4E2B2C17"/>
    <w:rsid w:val="4E4B35E0"/>
    <w:rsid w:val="4E524648"/>
    <w:rsid w:val="4E5F546E"/>
    <w:rsid w:val="4E757CE6"/>
    <w:rsid w:val="4E89171F"/>
    <w:rsid w:val="4E9764FE"/>
    <w:rsid w:val="4EC07FC0"/>
    <w:rsid w:val="4EDE412D"/>
    <w:rsid w:val="4EF57642"/>
    <w:rsid w:val="4EFA0F67"/>
    <w:rsid w:val="4F0B3174"/>
    <w:rsid w:val="4F561F16"/>
    <w:rsid w:val="4F583EE0"/>
    <w:rsid w:val="4F6A65F0"/>
    <w:rsid w:val="4F6B59C1"/>
    <w:rsid w:val="4F6E54B1"/>
    <w:rsid w:val="4F764693"/>
    <w:rsid w:val="4F766114"/>
    <w:rsid w:val="4F840831"/>
    <w:rsid w:val="4F9579D0"/>
    <w:rsid w:val="4FA47125"/>
    <w:rsid w:val="4FAA0DB7"/>
    <w:rsid w:val="4FAB2261"/>
    <w:rsid w:val="4FBA06F6"/>
    <w:rsid w:val="4FBF3F5F"/>
    <w:rsid w:val="4FCB035A"/>
    <w:rsid w:val="4FD42BF3"/>
    <w:rsid w:val="4FD5108C"/>
    <w:rsid w:val="4FD80B7D"/>
    <w:rsid w:val="4FE92D8A"/>
    <w:rsid w:val="4FF37764"/>
    <w:rsid w:val="5015592D"/>
    <w:rsid w:val="501A1195"/>
    <w:rsid w:val="5028013C"/>
    <w:rsid w:val="502B33A2"/>
    <w:rsid w:val="50306C0B"/>
    <w:rsid w:val="504F0E3F"/>
    <w:rsid w:val="5066262C"/>
    <w:rsid w:val="506949F9"/>
    <w:rsid w:val="5079410E"/>
    <w:rsid w:val="508605D9"/>
    <w:rsid w:val="508626C5"/>
    <w:rsid w:val="509E5297"/>
    <w:rsid w:val="50A078EC"/>
    <w:rsid w:val="50AB003F"/>
    <w:rsid w:val="50B11AF9"/>
    <w:rsid w:val="50B769E4"/>
    <w:rsid w:val="50CC06E1"/>
    <w:rsid w:val="50CC0E7D"/>
    <w:rsid w:val="50CC248F"/>
    <w:rsid w:val="50D70E34"/>
    <w:rsid w:val="50EF617E"/>
    <w:rsid w:val="50F6575E"/>
    <w:rsid w:val="50FE4613"/>
    <w:rsid w:val="510C2DD4"/>
    <w:rsid w:val="512A7039"/>
    <w:rsid w:val="512D6CA6"/>
    <w:rsid w:val="5139564B"/>
    <w:rsid w:val="51410C34"/>
    <w:rsid w:val="514852CB"/>
    <w:rsid w:val="514A7858"/>
    <w:rsid w:val="51644DBE"/>
    <w:rsid w:val="51701100"/>
    <w:rsid w:val="518C1C0F"/>
    <w:rsid w:val="51A11B6E"/>
    <w:rsid w:val="51A451BA"/>
    <w:rsid w:val="51AE428B"/>
    <w:rsid w:val="51B7313F"/>
    <w:rsid w:val="51D05312"/>
    <w:rsid w:val="51D6733E"/>
    <w:rsid w:val="51F003FF"/>
    <w:rsid w:val="52041CFA"/>
    <w:rsid w:val="5208399B"/>
    <w:rsid w:val="520B696B"/>
    <w:rsid w:val="52151C14"/>
    <w:rsid w:val="523E4390"/>
    <w:rsid w:val="525210BA"/>
    <w:rsid w:val="526B5CD8"/>
    <w:rsid w:val="52707792"/>
    <w:rsid w:val="52725202"/>
    <w:rsid w:val="527C6AD5"/>
    <w:rsid w:val="528E48AC"/>
    <w:rsid w:val="5294522F"/>
    <w:rsid w:val="529B480F"/>
    <w:rsid w:val="52B551A5"/>
    <w:rsid w:val="52BB0A0D"/>
    <w:rsid w:val="52CB6777"/>
    <w:rsid w:val="52CC2C1B"/>
    <w:rsid w:val="52CD1A65"/>
    <w:rsid w:val="52D715BF"/>
    <w:rsid w:val="52D844FF"/>
    <w:rsid w:val="52E31D12"/>
    <w:rsid w:val="52F42171"/>
    <w:rsid w:val="5314011E"/>
    <w:rsid w:val="53146370"/>
    <w:rsid w:val="53332C9A"/>
    <w:rsid w:val="533941D1"/>
    <w:rsid w:val="534A1D91"/>
    <w:rsid w:val="534E7AD3"/>
    <w:rsid w:val="536015B5"/>
    <w:rsid w:val="5362532D"/>
    <w:rsid w:val="53807561"/>
    <w:rsid w:val="53947740"/>
    <w:rsid w:val="53BD6A07"/>
    <w:rsid w:val="53C75190"/>
    <w:rsid w:val="53DF697E"/>
    <w:rsid w:val="53E2646E"/>
    <w:rsid w:val="540007AF"/>
    <w:rsid w:val="542258CB"/>
    <w:rsid w:val="54260108"/>
    <w:rsid w:val="54492049"/>
    <w:rsid w:val="54556CBD"/>
    <w:rsid w:val="545764C2"/>
    <w:rsid w:val="546E7D01"/>
    <w:rsid w:val="54A05CAD"/>
    <w:rsid w:val="54A13C33"/>
    <w:rsid w:val="54C618EB"/>
    <w:rsid w:val="54D44008"/>
    <w:rsid w:val="54D561A0"/>
    <w:rsid w:val="54D81E3F"/>
    <w:rsid w:val="54F32895"/>
    <w:rsid w:val="54F40207"/>
    <w:rsid w:val="54FE72D7"/>
    <w:rsid w:val="55081F04"/>
    <w:rsid w:val="551C775D"/>
    <w:rsid w:val="552D3FD0"/>
    <w:rsid w:val="55342CF9"/>
    <w:rsid w:val="554C1DF1"/>
    <w:rsid w:val="555B508F"/>
    <w:rsid w:val="556C5FEF"/>
    <w:rsid w:val="5572737D"/>
    <w:rsid w:val="558477DD"/>
    <w:rsid w:val="559317CE"/>
    <w:rsid w:val="559E0172"/>
    <w:rsid w:val="55AC6D33"/>
    <w:rsid w:val="55B1021A"/>
    <w:rsid w:val="55BD684B"/>
    <w:rsid w:val="55C73B6D"/>
    <w:rsid w:val="55CB540B"/>
    <w:rsid w:val="55D1679A"/>
    <w:rsid w:val="55DF4BE8"/>
    <w:rsid w:val="55E55DA1"/>
    <w:rsid w:val="55EE10FA"/>
    <w:rsid w:val="55FA184D"/>
    <w:rsid w:val="55FD133D"/>
    <w:rsid w:val="56091A90"/>
    <w:rsid w:val="5627460C"/>
    <w:rsid w:val="56350AD7"/>
    <w:rsid w:val="563C00B7"/>
    <w:rsid w:val="564C25B0"/>
    <w:rsid w:val="565007C1"/>
    <w:rsid w:val="56503B63"/>
    <w:rsid w:val="56552F27"/>
    <w:rsid w:val="566E649D"/>
    <w:rsid w:val="56955A19"/>
    <w:rsid w:val="56A708D1"/>
    <w:rsid w:val="56BA722E"/>
    <w:rsid w:val="56DB78D0"/>
    <w:rsid w:val="56E9366F"/>
    <w:rsid w:val="56ED315F"/>
    <w:rsid w:val="56F52014"/>
    <w:rsid w:val="56FE35BF"/>
    <w:rsid w:val="57014E5D"/>
    <w:rsid w:val="570A3D11"/>
    <w:rsid w:val="572D5C52"/>
    <w:rsid w:val="5743075B"/>
    <w:rsid w:val="57664CC0"/>
    <w:rsid w:val="577D0B9E"/>
    <w:rsid w:val="57A777B2"/>
    <w:rsid w:val="57A8352A"/>
    <w:rsid w:val="57AD68B3"/>
    <w:rsid w:val="57B65C47"/>
    <w:rsid w:val="57B8376D"/>
    <w:rsid w:val="57C53B72"/>
    <w:rsid w:val="57D936E4"/>
    <w:rsid w:val="57F549C2"/>
    <w:rsid w:val="57F86260"/>
    <w:rsid w:val="580B3745"/>
    <w:rsid w:val="582711FE"/>
    <w:rsid w:val="58354DBE"/>
    <w:rsid w:val="58490869"/>
    <w:rsid w:val="585047A2"/>
    <w:rsid w:val="585A4825"/>
    <w:rsid w:val="58604C96"/>
    <w:rsid w:val="588C69A8"/>
    <w:rsid w:val="5898534D"/>
    <w:rsid w:val="589C308F"/>
    <w:rsid w:val="589D0BB5"/>
    <w:rsid w:val="58A67A6A"/>
    <w:rsid w:val="58B2640F"/>
    <w:rsid w:val="58C23C0E"/>
    <w:rsid w:val="58CA3641"/>
    <w:rsid w:val="58CB5722"/>
    <w:rsid w:val="58DE2CA8"/>
    <w:rsid w:val="58E33856"/>
    <w:rsid w:val="58E35531"/>
    <w:rsid w:val="59014185"/>
    <w:rsid w:val="59065636"/>
    <w:rsid w:val="59091DA7"/>
    <w:rsid w:val="593C217C"/>
    <w:rsid w:val="59413C36"/>
    <w:rsid w:val="59601BC2"/>
    <w:rsid w:val="59633BAD"/>
    <w:rsid w:val="596F2552"/>
    <w:rsid w:val="59851D75"/>
    <w:rsid w:val="59945B14"/>
    <w:rsid w:val="59BB12F3"/>
    <w:rsid w:val="59C4289D"/>
    <w:rsid w:val="59DE3233"/>
    <w:rsid w:val="59E56370"/>
    <w:rsid w:val="59F111B9"/>
    <w:rsid w:val="59F667CF"/>
    <w:rsid w:val="5A132EDD"/>
    <w:rsid w:val="5A24333C"/>
    <w:rsid w:val="5A2C21F1"/>
    <w:rsid w:val="5A570B12"/>
    <w:rsid w:val="5A581238"/>
    <w:rsid w:val="5A6C3DF6"/>
    <w:rsid w:val="5A6C6A91"/>
    <w:rsid w:val="5A7A7400"/>
    <w:rsid w:val="5A820063"/>
    <w:rsid w:val="5A897643"/>
    <w:rsid w:val="5AC11211"/>
    <w:rsid w:val="5AC266B1"/>
    <w:rsid w:val="5ACC1D6C"/>
    <w:rsid w:val="5B005148"/>
    <w:rsid w:val="5B3062C7"/>
    <w:rsid w:val="5B376EA5"/>
    <w:rsid w:val="5B4C6079"/>
    <w:rsid w:val="5B5853AB"/>
    <w:rsid w:val="5B677F43"/>
    <w:rsid w:val="5B894E7D"/>
    <w:rsid w:val="5BAB5397"/>
    <w:rsid w:val="5BD743DE"/>
    <w:rsid w:val="5BE32D83"/>
    <w:rsid w:val="5C133668"/>
    <w:rsid w:val="5C212645"/>
    <w:rsid w:val="5C2E2250"/>
    <w:rsid w:val="5C353684"/>
    <w:rsid w:val="5C57793B"/>
    <w:rsid w:val="5C5B01E8"/>
    <w:rsid w:val="5C6A7000"/>
    <w:rsid w:val="5C773AB4"/>
    <w:rsid w:val="5CA442C0"/>
    <w:rsid w:val="5CB564CD"/>
    <w:rsid w:val="5CC60E29"/>
    <w:rsid w:val="5CF74D38"/>
    <w:rsid w:val="5CF914C1"/>
    <w:rsid w:val="5D1F7DEB"/>
    <w:rsid w:val="5D220BB3"/>
    <w:rsid w:val="5D261179"/>
    <w:rsid w:val="5D2E6280"/>
    <w:rsid w:val="5D3B6A84"/>
    <w:rsid w:val="5D845EA0"/>
    <w:rsid w:val="5D885990"/>
    <w:rsid w:val="5D9B0FFF"/>
    <w:rsid w:val="5DB20C5F"/>
    <w:rsid w:val="5DBC388C"/>
    <w:rsid w:val="5DC10EA2"/>
    <w:rsid w:val="5DC80482"/>
    <w:rsid w:val="5DCD3CEB"/>
    <w:rsid w:val="5DD60DF1"/>
    <w:rsid w:val="5DDB6408"/>
    <w:rsid w:val="5DE74DAC"/>
    <w:rsid w:val="5DF748C4"/>
    <w:rsid w:val="5DF80C6D"/>
    <w:rsid w:val="5DFD550E"/>
    <w:rsid w:val="5E1831B8"/>
    <w:rsid w:val="5E1E7896"/>
    <w:rsid w:val="5E261168"/>
    <w:rsid w:val="5E3B2A02"/>
    <w:rsid w:val="5E3D2C1E"/>
    <w:rsid w:val="5E3E0745"/>
    <w:rsid w:val="5E5D4F9F"/>
    <w:rsid w:val="5E5D6E1D"/>
    <w:rsid w:val="5E6C52B2"/>
    <w:rsid w:val="5E781EA8"/>
    <w:rsid w:val="5E912F6A"/>
    <w:rsid w:val="5E9842F9"/>
    <w:rsid w:val="5EA80C86"/>
    <w:rsid w:val="5EAC3900"/>
    <w:rsid w:val="5EBB3B43"/>
    <w:rsid w:val="5EC51F4E"/>
    <w:rsid w:val="5EC57116"/>
    <w:rsid w:val="5EC93DA3"/>
    <w:rsid w:val="5ED846F5"/>
    <w:rsid w:val="5F061262"/>
    <w:rsid w:val="5F0E6369"/>
    <w:rsid w:val="5F180F96"/>
    <w:rsid w:val="5F1E25EF"/>
    <w:rsid w:val="5F313E05"/>
    <w:rsid w:val="5F3215AC"/>
    <w:rsid w:val="5F41673E"/>
    <w:rsid w:val="5F4872C9"/>
    <w:rsid w:val="5F585836"/>
    <w:rsid w:val="5F606C27"/>
    <w:rsid w:val="5F61293D"/>
    <w:rsid w:val="5F6C0A35"/>
    <w:rsid w:val="5F751F44"/>
    <w:rsid w:val="5F784BC4"/>
    <w:rsid w:val="5F7A57AC"/>
    <w:rsid w:val="5F9745B0"/>
    <w:rsid w:val="5F9C3975"/>
    <w:rsid w:val="5F9E149B"/>
    <w:rsid w:val="5FA647F3"/>
    <w:rsid w:val="5FDE3F8D"/>
    <w:rsid w:val="5FEB0458"/>
    <w:rsid w:val="5FEC48FC"/>
    <w:rsid w:val="5FED5F7E"/>
    <w:rsid w:val="60107EBF"/>
    <w:rsid w:val="601B6F8F"/>
    <w:rsid w:val="6038228F"/>
    <w:rsid w:val="60716BAF"/>
    <w:rsid w:val="607B01FA"/>
    <w:rsid w:val="607F7E35"/>
    <w:rsid w:val="609603C4"/>
    <w:rsid w:val="609B00D0"/>
    <w:rsid w:val="60D86C2E"/>
    <w:rsid w:val="60EC4488"/>
    <w:rsid w:val="60FF240D"/>
    <w:rsid w:val="61273712"/>
    <w:rsid w:val="612956DC"/>
    <w:rsid w:val="6142054C"/>
    <w:rsid w:val="614E0C9F"/>
    <w:rsid w:val="615A7643"/>
    <w:rsid w:val="617A1A94"/>
    <w:rsid w:val="61893EF9"/>
    <w:rsid w:val="618F147C"/>
    <w:rsid w:val="61932B55"/>
    <w:rsid w:val="619C1A0A"/>
    <w:rsid w:val="61A41083"/>
    <w:rsid w:val="61DC44FC"/>
    <w:rsid w:val="61DE64C6"/>
    <w:rsid w:val="62050A10"/>
    <w:rsid w:val="621A5025"/>
    <w:rsid w:val="62255EA3"/>
    <w:rsid w:val="627604AD"/>
    <w:rsid w:val="62BC4273"/>
    <w:rsid w:val="62BC7E8A"/>
    <w:rsid w:val="62DD052C"/>
    <w:rsid w:val="62DF2117"/>
    <w:rsid w:val="62E21FE6"/>
    <w:rsid w:val="62EC4C13"/>
    <w:rsid w:val="62F12229"/>
    <w:rsid w:val="62FB6C04"/>
    <w:rsid w:val="62FC0898"/>
    <w:rsid w:val="62FF66F4"/>
    <w:rsid w:val="630737FB"/>
    <w:rsid w:val="63201364"/>
    <w:rsid w:val="63275C4B"/>
    <w:rsid w:val="632A1297"/>
    <w:rsid w:val="632F64AB"/>
    <w:rsid w:val="6333639E"/>
    <w:rsid w:val="63416D0D"/>
    <w:rsid w:val="634B193A"/>
    <w:rsid w:val="635E38F3"/>
    <w:rsid w:val="63770981"/>
    <w:rsid w:val="6384309D"/>
    <w:rsid w:val="63952BB5"/>
    <w:rsid w:val="63A252D2"/>
    <w:rsid w:val="63B64EC0"/>
    <w:rsid w:val="63C416EC"/>
    <w:rsid w:val="63C65B3C"/>
    <w:rsid w:val="63D74F7B"/>
    <w:rsid w:val="63E87366"/>
    <w:rsid w:val="641066DF"/>
    <w:rsid w:val="6468651B"/>
    <w:rsid w:val="64754700"/>
    <w:rsid w:val="64794284"/>
    <w:rsid w:val="647E5D3F"/>
    <w:rsid w:val="649022F5"/>
    <w:rsid w:val="64942E6C"/>
    <w:rsid w:val="64992B79"/>
    <w:rsid w:val="64B11C70"/>
    <w:rsid w:val="64BB664B"/>
    <w:rsid w:val="64C01EB3"/>
    <w:rsid w:val="64D56443"/>
    <w:rsid w:val="64D8544F"/>
    <w:rsid w:val="64F61D79"/>
    <w:rsid w:val="651B533C"/>
    <w:rsid w:val="65242442"/>
    <w:rsid w:val="652C7549"/>
    <w:rsid w:val="652E32C1"/>
    <w:rsid w:val="653E144B"/>
    <w:rsid w:val="654C7BEB"/>
    <w:rsid w:val="654F3237"/>
    <w:rsid w:val="657333CA"/>
    <w:rsid w:val="657832A1"/>
    <w:rsid w:val="657D7DA4"/>
    <w:rsid w:val="6598698C"/>
    <w:rsid w:val="659F6781"/>
    <w:rsid w:val="65A64FA6"/>
    <w:rsid w:val="65A76BCF"/>
    <w:rsid w:val="65A96DEB"/>
    <w:rsid w:val="65AD63A6"/>
    <w:rsid w:val="65B337C6"/>
    <w:rsid w:val="65C6174B"/>
    <w:rsid w:val="65CE1EF8"/>
    <w:rsid w:val="65D73958"/>
    <w:rsid w:val="65E47E23"/>
    <w:rsid w:val="65F20792"/>
    <w:rsid w:val="65FC74E3"/>
    <w:rsid w:val="66124991"/>
    <w:rsid w:val="66186086"/>
    <w:rsid w:val="662446C4"/>
    <w:rsid w:val="662621EA"/>
    <w:rsid w:val="6635067F"/>
    <w:rsid w:val="66391F1D"/>
    <w:rsid w:val="667411A7"/>
    <w:rsid w:val="668617D1"/>
    <w:rsid w:val="66A15D14"/>
    <w:rsid w:val="66B477B2"/>
    <w:rsid w:val="66C20165"/>
    <w:rsid w:val="66CD0B78"/>
    <w:rsid w:val="66E04A8F"/>
    <w:rsid w:val="66E71979"/>
    <w:rsid w:val="66E87085"/>
    <w:rsid w:val="67144738"/>
    <w:rsid w:val="671464E6"/>
    <w:rsid w:val="671B7875"/>
    <w:rsid w:val="671F7ECA"/>
    <w:rsid w:val="673821D5"/>
    <w:rsid w:val="674212A6"/>
    <w:rsid w:val="675D7E8D"/>
    <w:rsid w:val="67647E24"/>
    <w:rsid w:val="67713939"/>
    <w:rsid w:val="677376B1"/>
    <w:rsid w:val="677B0314"/>
    <w:rsid w:val="678A0557"/>
    <w:rsid w:val="67A07D7A"/>
    <w:rsid w:val="67A57FC7"/>
    <w:rsid w:val="67A63026"/>
    <w:rsid w:val="67B37AAD"/>
    <w:rsid w:val="67B766A0"/>
    <w:rsid w:val="67D363A2"/>
    <w:rsid w:val="67EC1211"/>
    <w:rsid w:val="67F26828"/>
    <w:rsid w:val="68064081"/>
    <w:rsid w:val="683F3A37"/>
    <w:rsid w:val="684E19DA"/>
    <w:rsid w:val="68582403"/>
    <w:rsid w:val="685A43CD"/>
    <w:rsid w:val="68660FC4"/>
    <w:rsid w:val="687264A7"/>
    <w:rsid w:val="68A5554E"/>
    <w:rsid w:val="68AD274F"/>
    <w:rsid w:val="68AE33AF"/>
    <w:rsid w:val="68B61BDB"/>
    <w:rsid w:val="68EF0D46"/>
    <w:rsid w:val="690C34EA"/>
    <w:rsid w:val="695928DD"/>
    <w:rsid w:val="69733998"/>
    <w:rsid w:val="69855479"/>
    <w:rsid w:val="698C2CAC"/>
    <w:rsid w:val="699024A8"/>
    <w:rsid w:val="69931944"/>
    <w:rsid w:val="699456BD"/>
    <w:rsid w:val="6995053F"/>
    <w:rsid w:val="699E0DA8"/>
    <w:rsid w:val="69AB7C1F"/>
    <w:rsid w:val="69AC0A3C"/>
    <w:rsid w:val="69BD3298"/>
    <w:rsid w:val="69C248EA"/>
    <w:rsid w:val="69C441F4"/>
    <w:rsid w:val="69CC30A8"/>
    <w:rsid w:val="69D11FE9"/>
    <w:rsid w:val="69D41F5D"/>
    <w:rsid w:val="69DB10F0"/>
    <w:rsid w:val="69E14DA6"/>
    <w:rsid w:val="69E20B1E"/>
    <w:rsid w:val="69F018BB"/>
    <w:rsid w:val="6A1D56B2"/>
    <w:rsid w:val="6A260A0B"/>
    <w:rsid w:val="6A3228EA"/>
    <w:rsid w:val="6A350C4E"/>
    <w:rsid w:val="6A462E5B"/>
    <w:rsid w:val="6A464C09"/>
    <w:rsid w:val="6A5D3D96"/>
    <w:rsid w:val="6A706DE0"/>
    <w:rsid w:val="6A734C34"/>
    <w:rsid w:val="6A7466A1"/>
    <w:rsid w:val="6A9C2A7B"/>
    <w:rsid w:val="6AA47B81"/>
    <w:rsid w:val="6AA70E28"/>
    <w:rsid w:val="6AB919EA"/>
    <w:rsid w:val="6ABE33AC"/>
    <w:rsid w:val="6AD9347D"/>
    <w:rsid w:val="6AE646D7"/>
    <w:rsid w:val="6AEF4EA3"/>
    <w:rsid w:val="6AF9611F"/>
    <w:rsid w:val="6B170353"/>
    <w:rsid w:val="6B265B50"/>
    <w:rsid w:val="6B32518D"/>
    <w:rsid w:val="6B352EA6"/>
    <w:rsid w:val="6B3E1D84"/>
    <w:rsid w:val="6B403D4E"/>
    <w:rsid w:val="6B421874"/>
    <w:rsid w:val="6B615D5C"/>
    <w:rsid w:val="6B7379D7"/>
    <w:rsid w:val="6B7E4876"/>
    <w:rsid w:val="6B875A40"/>
    <w:rsid w:val="6B8F0831"/>
    <w:rsid w:val="6B9320D0"/>
    <w:rsid w:val="6BA73DCD"/>
    <w:rsid w:val="6BC4672D"/>
    <w:rsid w:val="6BD91AAD"/>
    <w:rsid w:val="6BF92453"/>
    <w:rsid w:val="6C007039"/>
    <w:rsid w:val="6C0C59DE"/>
    <w:rsid w:val="6C180827"/>
    <w:rsid w:val="6C2B055A"/>
    <w:rsid w:val="6C2D1FAE"/>
    <w:rsid w:val="6C4C7BCD"/>
    <w:rsid w:val="6C613F7C"/>
    <w:rsid w:val="6C6677E4"/>
    <w:rsid w:val="6C865790"/>
    <w:rsid w:val="6C9F2CF6"/>
    <w:rsid w:val="6CA525C9"/>
    <w:rsid w:val="6CAF118B"/>
    <w:rsid w:val="6CBC11B2"/>
    <w:rsid w:val="6CBE317C"/>
    <w:rsid w:val="6CE95D1F"/>
    <w:rsid w:val="6CF748E0"/>
    <w:rsid w:val="6CFC3CA5"/>
    <w:rsid w:val="6D003795"/>
    <w:rsid w:val="6D1159A2"/>
    <w:rsid w:val="6D154D66"/>
    <w:rsid w:val="6D194857"/>
    <w:rsid w:val="6D1E3C1B"/>
    <w:rsid w:val="6D4318D3"/>
    <w:rsid w:val="6D464F20"/>
    <w:rsid w:val="6D4D4E26"/>
    <w:rsid w:val="6D521B17"/>
    <w:rsid w:val="6D623485"/>
    <w:rsid w:val="6D6A391B"/>
    <w:rsid w:val="6D855A48"/>
    <w:rsid w:val="6DA21E39"/>
    <w:rsid w:val="6DB61F11"/>
    <w:rsid w:val="6DB77BCC"/>
    <w:rsid w:val="6DCF13B9"/>
    <w:rsid w:val="6DEF3809"/>
    <w:rsid w:val="6DEF7365"/>
    <w:rsid w:val="6DF80910"/>
    <w:rsid w:val="6DFB3FB2"/>
    <w:rsid w:val="6E032E11"/>
    <w:rsid w:val="6E0948CB"/>
    <w:rsid w:val="6E11327E"/>
    <w:rsid w:val="6E1374F8"/>
    <w:rsid w:val="6E296D1B"/>
    <w:rsid w:val="6E2D10AB"/>
    <w:rsid w:val="6E3F7222"/>
    <w:rsid w:val="6E4771A1"/>
    <w:rsid w:val="6E4A0A40"/>
    <w:rsid w:val="6E4F4146"/>
    <w:rsid w:val="6E781A51"/>
    <w:rsid w:val="6E7A7F3B"/>
    <w:rsid w:val="6E8757F0"/>
    <w:rsid w:val="6E957F0D"/>
    <w:rsid w:val="6E9C74ED"/>
    <w:rsid w:val="6EB5235D"/>
    <w:rsid w:val="6EC95E08"/>
    <w:rsid w:val="6EDF387E"/>
    <w:rsid w:val="6EEE586F"/>
    <w:rsid w:val="6F187315"/>
    <w:rsid w:val="6F1E6154"/>
    <w:rsid w:val="6F233805"/>
    <w:rsid w:val="6F395E1F"/>
    <w:rsid w:val="6F3B4F58"/>
    <w:rsid w:val="6F4F4AAA"/>
    <w:rsid w:val="6F5222A2"/>
    <w:rsid w:val="6F571666"/>
    <w:rsid w:val="6F693570"/>
    <w:rsid w:val="6F914B78"/>
    <w:rsid w:val="6F9603E0"/>
    <w:rsid w:val="6F975F07"/>
    <w:rsid w:val="6FEF3153"/>
    <w:rsid w:val="6FF6772C"/>
    <w:rsid w:val="70191A43"/>
    <w:rsid w:val="7019691C"/>
    <w:rsid w:val="705371E6"/>
    <w:rsid w:val="705B5186"/>
    <w:rsid w:val="706C1141"/>
    <w:rsid w:val="7083076F"/>
    <w:rsid w:val="708446DD"/>
    <w:rsid w:val="70903082"/>
    <w:rsid w:val="709D754D"/>
    <w:rsid w:val="70A450A5"/>
    <w:rsid w:val="70B2124A"/>
    <w:rsid w:val="70B36D70"/>
    <w:rsid w:val="70C26FB3"/>
    <w:rsid w:val="70D2369A"/>
    <w:rsid w:val="70DD1DFD"/>
    <w:rsid w:val="70E7024E"/>
    <w:rsid w:val="70F313DF"/>
    <w:rsid w:val="711A0B9D"/>
    <w:rsid w:val="711C2B67"/>
    <w:rsid w:val="712A5284"/>
    <w:rsid w:val="71410D2B"/>
    <w:rsid w:val="714125CE"/>
    <w:rsid w:val="71467BE4"/>
    <w:rsid w:val="714A76D4"/>
    <w:rsid w:val="714E0847"/>
    <w:rsid w:val="71527CFD"/>
    <w:rsid w:val="71632544"/>
    <w:rsid w:val="71A768D5"/>
    <w:rsid w:val="71B047FB"/>
    <w:rsid w:val="71B132B0"/>
    <w:rsid w:val="71C70239"/>
    <w:rsid w:val="71D62D16"/>
    <w:rsid w:val="72077373"/>
    <w:rsid w:val="720C00F5"/>
    <w:rsid w:val="72123C67"/>
    <w:rsid w:val="72225745"/>
    <w:rsid w:val="722E5429"/>
    <w:rsid w:val="72323CC5"/>
    <w:rsid w:val="72406E13"/>
    <w:rsid w:val="7242038C"/>
    <w:rsid w:val="7248655E"/>
    <w:rsid w:val="72723293"/>
    <w:rsid w:val="72734A09"/>
    <w:rsid w:val="72A42E14"/>
    <w:rsid w:val="72B10160"/>
    <w:rsid w:val="72D306E7"/>
    <w:rsid w:val="72EA2944"/>
    <w:rsid w:val="72FB12D1"/>
    <w:rsid w:val="72FC67AC"/>
    <w:rsid w:val="73092C77"/>
    <w:rsid w:val="73285274"/>
    <w:rsid w:val="732B7092"/>
    <w:rsid w:val="73354CDF"/>
    <w:rsid w:val="73415109"/>
    <w:rsid w:val="734A2299"/>
    <w:rsid w:val="736366E2"/>
    <w:rsid w:val="736667A4"/>
    <w:rsid w:val="73685BF0"/>
    <w:rsid w:val="73814F04"/>
    <w:rsid w:val="739B6209"/>
    <w:rsid w:val="73D67E93"/>
    <w:rsid w:val="73DB0AB8"/>
    <w:rsid w:val="74055D45"/>
    <w:rsid w:val="740D2C3B"/>
    <w:rsid w:val="741156C9"/>
    <w:rsid w:val="74226CE7"/>
    <w:rsid w:val="742E378B"/>
    <w:rsid w:val="7439758C"/>
    <w:rsid w:val="7476258E"/>
    <w:rsid w:val="7477281A"/>
    <w:rsid w:val="74885CCA"/>
    <w:rsid w:val="749649DF"/>
    <w:rsid w:val="74A23383"/>
    <w:rsid w:val="74A762EB"/>
    <w:rsid w:val="74A76BEC"/>
    <w:rsid w:val="74B1643C"/>
    <w:rsid w:val="74B66E2F"/>
    <w:rsid w:val="74C74B98"/>
    <w:rsid w:val="74DA48CB"/>
    <w:rsid w:val="74E120FE"/>
    <w:rsid w:val="74E97204"/>
    <w:rsid w:val="74EE65C9"/>
    <w:rsid w:val="750B245A"/>
    <w:rsid w:val="751029E3"/>
    <w:rsid w:val="75157E08"/>
    <w:rsid w:val="752D5343"/>
    <w:rsid w:val="75385F49"/>
    <w:rsid w:val="75461F61"/>
    <w:rsid w:val="75720FA8"/>
    <w:rsid w:val="75B3511C"/>
    <w:rsid w:val="75BC0475"/>
    <w:rsid w:val="75BC1314"/>
    <w:rsid w:val="75C335B1"/>
    <w:rsid w:val="75D12D64"/>
    <w:rsid w:val="75DC2E00"/>
    <w:rsid w:val="75FE6CDF"/>
    <w:rsid w:val="7601057E"/>
    <w:rsid w:val="760836BA"/>
    <w:rsid w:val="760D2A7F"/>
    <w:rsid w:val="76133D20"/>
    <w:rsid w:val="76337080"/>
    <w:rsid w:val="763D720A"/>
    <w:rsid w:val="764861AD"/>
    <w:rsid w:val="765406AD"/>
    <w:rsid w:val="767C19B2"/>
    <w:rsid w:val="769407D1"/>
    <w:rsid w:val="769D02A6"/>
    <w:rsid w:val="76A333E3"/>
    <w:rsid w:val="76A553AD"/>
    <w:rsid w:val="76AA4771"/>
    <w:rsid w:val="76AB02A7"/>
    <w:rsid w:val="76BA0E58"/>
    <w:rsid w:val="76C17C78"/>
    <w:rsid w:val="76CC293A"/>
    <w:rsid w:val="76CC4D04"/>
    <w:rsid w:val="76EC2FDC"/>
    <w:rsid w:val="770179C1"/>
    <w:rsid w:val="770B16B4"/>
    <w:rsid w:val="771606D2"/>
    <w:rsid w:val="771915F3"/>
    <w:rsid w:val="771A36A5"/>
    <w:rsid w:val="775748F9"/>
    <w:rsid w:val="77613082"/>
    <w:rsid w:val="77764653"/>
    <w:rsid w:val="778E4A02"/>
    <w:rsid w:val="77AD4519"/>
    <w:rsid w:val="77B07B65"/>
    <w:rsid w:val="77E43CB3"/>
    <w:rsid w:val="77EB6DF0"/>
    <w:rsid w:val="77F35CA4"/>
    <w:rsid w:val="78320EC2"/>
    <w:rsid w:val="78397B5B"/>
    <w:rsid w:val="783B1B25"/>
    <w:rsid w:val="7851759A"/>
    <w:rsid w:val="785D5F3F"/>
    <w:rsid w:val="78656BA2"/>
    <w:rsid w:val="78745037"/>
    <w:rsid w:val="787E5EEF"/>
    <w:rsid w:val="789E3E62"/>
    <w:rsid w:val="78AB7B78"/>
    <w:rsid w:val="78AE785F"/>
    <w:rsid w:val="78BD69DE"/>
    <w:rsid w:val="78DB7082"/>
    <w:rsid w:val="78F16688"/>
    <w:rsid w:val="790F4D60"/>
    <w:rsid w:val="791660EE"/>
    <w:rsid w:val="79183C14"/>
    <w:rsid w:val="79386064"/>
    <w:rsid w:val="79390854"/>
    <w:rsid w:val="79494343"/>
    <w:rsid w:val="795F06F4"/>
    <w:rsid w:val="796450AB"/>
    <w:rsid w:val="79692435"/>
    <w:rsid w:val="796926C2"/>
    <w:rsid w:val="79694470"/>
    <w:rsid w:val="79BD47BC"/>
    <w:rsid w:val="79C03DC2"/>
    <w:rsid w:val="79C142AC"/>
    <w:rsid w:val="79D316B7"/>
    <w:rsid w:val="79E61F64"/>
    <w:rsid w:val="79EE0E19"/>
    <w:rsid w:val="7A100D8F"/>
    <w:rsid w:val="7A2D36EF"/>
    <w:rsid w:val="7A5527C7"/>
    <w:rsid w:val="7A564AD6"/>
    <w:rsid w:val="7A67448F"/>
    <w:rsid w:val="7A6B4218"/>
    <w:rsid w:val="7A6F1D23"/>
    <w:rsid w:val="7A770E0E"/>
    <w:rsid w:val="7A792DD8"/>
    <w:rsid w:val="7A831561"/>
    <w:rsid w:val="7A9479F8"/>
    <w:rsid w:val="7AAA4D40"/>
    <w:rsid w:val="7AAC4F5C"/>
    <w:rsid w:val="7AB7745D"/>
    <w:rsid w:val="7ABE07EB"/>
    <w:rsid w:val="7AC5601E"/>
    <w:rsid w:val="7AC8166A"/>
    <w:rsid w:val="7AE709F8"/>
    <w:rsid w:val="7AF97A75"/>
    <w:rsid w:val="7AFC5E38"/>
    <w:rsid w:val="7B056098"/>
    <w:rsid w:val="7B08486B"/>
    <w:rsid w:val="7B2014A6"/>
    <w:rsid w:val="7B24213E"/>
    <w:rsid w:val="7B2745E3"/>
    <w:rsid w:val="7B3F7B7E"/>
    <w:rsid w:val="7B510E96"/>
    <w:rsid w:val="7B737828"/>
    <w:rsid w:val="7B892BA7"/>
    <w:rsid w:val="7B9652C4"/>
    <w:rsid w:val="7B9F23CB"/>
    <w:rsid w:val="7BA2010D"/>
    <w:rsid w:val="7BC40083"/>
    <w:rsid w:val="7BC77B74"/>
    <w:rsid w:val="7BD227A0"/>
    <w:rsid w:val="7BEC1388"/>
    <w:rsid w:val="7BF00E78"/>
    <w:rsid w:val="7BF85F7F"/>
    <w:rsid w:val="7C1009D7"/>
    <w:rsid w:val="7C1A5EF5"/>
    <w:rsid w:val="7C2B3C5E"/>
    <w:rsid w:val="7C4A67DB"/>
    <w:rsid w:val="7C983453"/>
    <w:rsid w:val="7C9B6740"/>
    <w:rsid w:val="7C9C4B5C"/>
    <w:rsid w:val="7CB00608"/>
    <w:rsid w:val="7CBA2D83"/>
    <w:rsid w:val="7CC61BD9"/>
    <w:rsid w:val="7CCF418F"/>
    <w:rsid w:val="7CD2057E"/>
    <w:rsid w:val="7CD82038"/>
    <w:rsid w:val="7CDA7BFB"/>
    <w:rsid w:val="7CE54755"/>
    <w:rsid w:val="7CE56503"/>
    <w:rsid w:val="7CEC1640"/>
    <w:rsid w:val="7CF44998"/>
    <w:rsid w:val="7D0B583E"/>
    <w:rsid w:val="7D250FF6"/>
    <w:rsid w:val="7D254B52"/>
    <w:rsid w:val="7D44147C"/>
    <w:rsid w:val="7D580A83"/>
    <w:rsid w:val="7D6438CC"/>
    <w:rsid w:val="7D692C90"/>
    <w:rsid w:val="7D697134"/>
    <w:rsid w:val="7D937D0D"/>
    <w:rsid w:val="7D94457C"/>
    <w:rsid w:val="7D9A5540"/>
    <w:rsid w:val="7DA07EC8"/>
    <w:rsid w:val="7DAA5057"/>
    <w:rsid w:val="7DAC0DCF"/>
    <w:rsid w:val="7DB21EA0"/>
    <w:rsid w:val="7DB67EA0"/>
    <w:rsid w:val="7DBB7264"/>
    <w:rsid w:val="7DBF4391"/>
    <w:rsid w:val="7DCC7FF1"/>
    <w:rsid w:val="7DD4767B"/>
    <w:rsid w:val="7DE1316F"/>
    <w:rsid w:val="7DE60785"/>
    <w:rsid w:val="7DFA4230"/>
    <w:rsid w:val="7DFA7D8C"/>
    <w:rsid w:val="7E2B263C"/>
    <w:rsid w:val="7E33329E"/>
    <w:rsid w:val="7E380052"/>
    <w:rsid w:val="7E382D33"/>
    <w:rsid w:val="7E3A63DB"/>
    <w:rsid w:val="7E46575D"/>
    <w:rsid w:val="7E494870"/>
    <w:rsid w:val="7E6C1E4D"/>
    <w:rsid w:val="7E7B3547"/>
    <w:rsid w:val="7E7C69F3"/>
    <w:rsid w:val="7E97382D"/>
    <w:rsid w:val="7E9A654A"/>
    <w:rsid w:val="7EA22C87"/>
    <w:rsid w:val="7EB54325"/>
    <w:rsid w:val="7EBE525E"/>
    <w:rsid w:val="7EC35CD5"/>
    <w:rsid w:val="7EC37778"/>
    <w:rsid w:val="7ED54355"/>
    <w:rsid w:val="7ED625A7"/>
    <w:rsid w:val="7EE70031"/>
    <w:rsid w:val="7EFE1AFE"/>
    <w:rsid w:val="7F0E5A8B"/>
    <w:rsid w:val="7F1B445E"/>
    <w:rsid w:val="7F392DBD"/>
    <w:rsid w:val="7F473A9A"/>
    <w:rsid w:val="7F4C1627"/>
    <w:rsid w:val="7F513EF9"/>
    <w:rsid w:val="7F5867C0"/>
    <w:rsid w:val="7F5B0CFF"/>
    <w:rsid w:val="7F645E05"/>
    <w:rsid w:val="7F6776A3"/>
    <w:rsid w:val="7F794CE1"/>
    <w:rsid w:val="7FA53D28"/>
    <w:rsid w:val="7FA805B4"/>
    <w:rsid w:val="7FC05006"/>
    <w:rsid w:val="7FC17A86"/>
    <w:rsid w:val="7FD91C23"/>
    <w:rsid w:val="7FDB3BED"/>
    <w:rsid w:val="7FFF75E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qFormat="1" w:uiPriority="99"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964" w:firstLineChars="200"/>
      <w:jc w:val="both"/>
    </w:pPr>
    <w:rPr>
      <w:rFonts w:ascii="Times New Roman" w:hAnsi="Times New Roman" w:eastAsia="宋体" w:cstheme="minorBidi"/>
      <w:kern w:val="2"/>
      <w:sz w:val="24"/>
      <w:szCs w:val="24"/>
      <w:lang w:val="en-US" w:eastAsia="zh-CN" w:bidi="ar-SA"/>
    </w:rPr>
  </w:style>
  <w:style w:type="paragraph" w:styleId="2">
    <w:name w:val="heading 1"/>
    <w:basedOn w:val="1"/>
    <w:next w:val="1"/>
    <w:autoRedefine/>
    <w:qFormat/>
    <w:uiPriority w:val="0"/>
    <w:pPr>
      <w:keepNext/>
      <w:keepLines/>
      <w:snapToGrid/>
      <w:spacing w:line="360" w:lineRule="auto"/>
      <w:ind w:firstLine="643" w:firstLineChars="200"/>
      <w:jc w:val="left"/>
      <w:outlineLvl w:val="0"/>
    </w:pPr>
    <w:rPr>
      <w:rFonts w:ascii="Times New Roman" w:hAnsi="Times New Roman" w:eastAsia="宋体" w:cs="Times New Roman"/>
      <w:bCs/>
      <w:kern w:val="44"/>
      <w:szCs w:val="44"/>
    </w:rPr>
  </w:style>
  <w:style w:type="paragraph" w:styleId="3">
    <w:name w:val="heading 2"/>
    <w:basedOn w:val="1"/>
    <w:next w:val="1"/>
    <w:autoRedefine/>
    <w:unhideWhenUsed/>
    <w:qFormat/>
    <w:uiPriority w:val="0"/>
    <w:pPr>
      <w:keepNext/>
      <w:keepLines/>
      <w:spacing w:before="0" w:beforeLines="0" w:beforeAutospacing="0" w:afterAutospacing="0" w:line="360" w:lineRule="auto"/>
      <w:ind w:firstLine="880" w:firstLineChars="200"/>
      <w:outlineLvl w:val="1"/>
    </w:pPr>
    <w:rPr>
      <w:rFonts w:ascii="Times New Roman" w:hAnsi="Times New Roman"/>
      <w:b/>
      <w:sz w:val="28"/>
    </w:rPr>
  </w:style>
  <w:style w:type="paragraph" w:styleId="4">
    <w:name w:val="heading 3"/>
    <w:basedOn w:val="1"/>
    <w:next w:val="1"/>
    <w:unhideWhenUsed/>
    <w:qFormat/>
    <w:uiPriority w:val="0"/>
    <w:pPr>
      <w:keepNext/>
      <w:keepLines/>
      <w:spacing w:beforeLines="0" w:beforeAutospacing="0" w:afterLines="0" w:afterAutospacing="0" w:line="360" w:lineRule="auto"/>
      <w:ind w:firstLine="720" w:firstLineChars="200"/>
      <w:outlineLvl w:val="2"/>
    </w:pPr>
    <w:rPr>
      <w:rFonts w:ascii="Times New Roman" w:hAnsi="Times New Roman" w:eastAsia="宋体"/>
      <w:b/>
      <w:sz w:val="24"/>
    </w:rPr>
  </w:style>
  <w:style w:type="character" w:default="1" w:styleId="26">
    <w:name w:val="Default Paragraph Font"/>
    <w:link w:val="27"/>
    <w:autoRedefine/>
    <w:semiHidden/>
    <w:qFormat/>
    <w:uiPriority w:val="0"/>
    <w:rPr>
      <w:rFonts w:ascii="Tahoma" w:hAnsi="Tahoma" w:eastAsia="微软雅黑" w:cs="Times New Roman"/>
      <w:sz w:val="24"/>
      <w:szCs w:val="24"/>
      <w:lang w:val="en-US" w:eastAsia="zh-CN" w:bidi="ar-SA"/>
    </w:rPr>
  </w:style>
  <w:style w:type="table" w:default="1" w:styleId="24">
    <w:name w:val="Normal Table"/>
    <w:autoRedefine/>
    <w:semiHidden/>
    <w:qFormat/>
    <w:uiPriority w:val="0"/>
    <w:tblPr>
      <w:tblCellMar>
        <w:top w:w="0" w:type="dxa"/>
        <w:left w:w="108" w:type="dxa"/>
        <w:bottom w:w="0" w:type="dxa"/>
        <w:right w:w="108" w:type="dxa"/>
      </w:tblCellMar>
    </w:tblPr>
  </w:style>
  <w:style w:type="paragraph" w:styleId="5">
    <w:name w:val="Note Heading"/>
    <w:basedOn w:val="1"/>
    <w:next w:val="1"/>
    <w:autoRedefine/>
    <w:qFormat/>
    <w:uiPriority w:val="0"/>
    <w:pPr>
      <w:jc w:val="center"/>
    </w:pPr>
  </w:style>
  <w:style w:type="paragraph" w:styleId="6">
    <w:name w:val="Normal Indent"/>
    <w:basedOn w:val="1"/>
    <w:next w:val="1"/>
    <w:autoRedefine/>
    <w:qFormat/>
    <w:uiPriority w:val="0"/>
    <w:pPr>
      <w:spacing w:line="360" w:lineRule="auto"/>
      <w:ind w:firstLine="420" w:firstLineChars="200"/>
    </w:pPr>
    <w:rPr>
      <w:rFonts w:eastAsia="宋体"/>
      <w:szCs w:val="24"/>
    </w:rPr>
  </w:style>
  <w:style w:type="paragraph" w:styleId="7">
    <w:name w:val="annotation text"/>
    <w:basedOn w:val="1"/>
    <w:autoRedefine/>
    <w:qFormat/>
    <w:uiPriority w:val="0"/>
    <w:pPr>
      <w:jc w:val="left"/>
    </w:pPr>
  </w:style>
  <w:style w:type="paragraph" w:styleId="8">
    <w:name w:val="Body Text"/>
    <w:basedOn w:val="1"/>
    <w:next w:val="9"/>
    <w:autoRedefine/>
    <w:qFormat/>
    <w:uiPriority w:val="0"/>
    <w:pPr>
      <w:spacing w:after="120"/>
    </w:pPr>
  </w:style>
  <w:style w:type="paragraph" w:customStyle="1" w:styleId="9">
    <w:name w:val="Normal (Web)1"/>
    <w:basedOn w:val="1"/>
    <w:next w:val="10"/>
    <w:autoRedefine/>
    <w:qFormat/>
    <w:uiPriority w:val="0"/>
    <w:pPr>
      <w:widowControl/>
    </w:pPr>
    <w:rPr>
      <w:rFonts w:ascii="宋体" w:eastAsia="宋体" w:cs="Times New Roman"/>
      <w:sz w:val="24"/>
      <w:szCs w:val="21"/>
    </w:rPr>
  </w:style>
  <w:style w:type="paragraph" w:customStyle="1" w:styleId="10">
    <w:name w:val="Date1"/>
    <w:basedOn w:val="1"/>
    <w:next w:val="1"/>
    <w:autoRedefine/>
    <w:qFormat/>
    <w:uiPriority w:val="0"/>
    <w:pPr>
      <w:adjustRightInd w:val="0"/>
      <w:spacing w:line="240" w:lineRule="auto"/>
    </w:pPr>
    <w:rPr>
      <w:sz w:val="21"/>
      <w:szCs w:val="20"/>
    </w:rPr>
  </w:style>
  <w:style w:type="paragraph" w:styleId="11">
    <w:name w:val="Body Text Indent"/>
    <w:basedOn w:val="1"/>
    <w:next w:val="12"/>
    <w:autoRedefine/>
    <w:qFormat/>
    <w:uiPriority w:val="0"/>
    <w:pPr>
      <w:spacing w:line="500" w:lineRule="atLeast"/>
      <w:ind w:firstLine="560" w:firstLineChars="200"/>
    </w:pPr>
    <w:rPr>
      <w:rFonts w:ascii="宋体" w:hAnsi="宋体" w:eastAsia="Calibri" w:cs="Calibri"/>
      <w:sz w:val="28"/>
      <w:szCs w:val="21"/>
    </w:rPr>
  </w:style>
  <w:style w:type="paragraph" w:styleId="12">
    <w:name w:val="Body Text First Indent 2"/>
    <w:basedOn w:val="11"/>
    <w:next w:val="1"/>
    <w:qFormat/>
    <w:uiPriority w:val="0"/>
    <w:pPr>
      <w:spacing w:after="120" w:line="240" w:lineRule="auto"/>
      <w:ind w:left="420" w:leftChars="200" w:firstLine="420" w:firstLineChars="200"/>
    </w:pPr>
    <w:rPr>
      <w:rFonts w:ascii="Times New Roman" w:hAnsi="Times New Roman"/>
      <w:sz w:val="21"/>
      <w:szCs w:val="24"/>
    </w:rPr>
  </w:style>
  <w:style w:type="paragraph" w:styleId="13">
    <w:name w:val="Plain Text"/>
    <w:basedOn w:val="1"/>
    <w:autoRedefine/>
    <w:unhideWhenUsed/>
    <w:qFormat/>
    <w:uiPriority w:val="99"/>
    <w:pPr>
      <w:widowControl/>
      <w:spacing w:before="100" w:beforeLines="0" w:beforeAutospacing="1" w:after="100" w:afterLines="0" w:afterAutospacing="1"/>
      <w:jc w:val="left"/>
    </w:pPr>
    <w:rPr>
      <w:rFonts w:ascii="ˎ̥" w:hAnsi="ˎ̥" w:eastAsia="宋体"/>
      <w:kern w:val="0"/>
      <w:sz w:val="18"/>
      <w:szCs w:val="18"/>
    </w:rPr>
  </w:style>
  <w:style w:type="paragraph" w:styleId="14">
    <w:name w:val="List Bullet 5"/>
    <w:basedOn w:val="1"/>
    <w:autoRedefine/>
    <w:qFormat/>
    <w:uiPriority w:val="0"/>
    <w:pPr>
      <w:numPr>
        <w:ilvl w:val="0"/>
        <w:numId w:val="1"/>
      </w:numPr>
    </w:pPr>
  </w:style>
  <w:style w:type="paragraph" w:styleId="15">
    <w:name w:val="Body Text Indent 2"/>
    <w:basedOn w:val="1"/>
    <w:next w:val="1"/>
    <w:autoRedefine/>
    <w:qFormat/>
    <w:uiPriority w:val="0"/>
    <w:pPr>
      <w:adjustRightInd w:val="0"/>
      <w:snapToGrid w:val="0"/>
      <w:spacing w:after="120" w:afterLines="0" w:line="480" w:lineRule="auto"/>
      <w:ind w:left="420"/>
    </w:pPr>
    <w:rPr>
      <w:rFonts w:ascii="Tahoma" w:hAnsi="Tahoma" w:eastAsia="微软雅黑" w:cs="Times New Roman"/>
      <w:sz w:val="22"/>
      <w:szCs w:val="22"/>
      <w:lang w:val="en-US" w:eastAsia="zh-CN" w:bidi="ar-SA"/>
    </w:rPr>
  </w:style>
  <w:style w:type="paragraph" w:styleId="16">
    <w:name w:val="footer"/>
    <w:basedOn w:val="1"/>
    <w:next w:val="1"/>
    <w:autoRedefine/>
    <w:qFormat/>
    <w:uiPriority w:val="0"/>
    <w:pPr>
      <w:tabs>
        <w:tab w:val="center" w:pos="4153"/>
        <w:tab w:val="right" w:pos="8306"/>
      </w:tabs>
      <w:snapToGrid w:val="0"/>
      <w:jc w:val="left"/>
    </w:pPr>
    <w:rPr>
      <w:sz w:val="18"/>
    </w:rPr>
  </w:style>
  <w:style w:type="paragraph" w:styleId="17">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8">
    <w:name w:val="toc 1"/>
    <w:basedOn w:val="1"/>
    <w:next w:val="1"/>
    <w:autoRedefine/>
    <w:qFormat/>
    <w:uiPriority w:val="39"/>
    <w:pPr>
      <w:widowControl w:val="0"/>
      <w:autoSpaceDE w:val="0"/>
      <w:autoSpaceDN w:val="0"/>
      <w:adjustRightInd w:val="0"/>
      <w:snapToGrid w:val="0"/>
      <w:ind w:firstLine="0"/>
      <w:jc w:val="center"/>
      <w:textAlignment w:val="baseline"/>
    </w:pPr>
    <w:rPr>
      <w:rFonts w:ascii="Times New Roman" w:hAnsi="Times New Roman" w:eastAsia="宋体" w:cs="Times New Roman"/>
      <w:bCs/>
      <w:color w:val="FF0000"/>
      <w:kern w:val="0"/>
      <w:sz w:val="21"/>
      <w:szCs w:val="21"/>
      <w:lang w:val="en-US" w:eastAsia="zh-CN" w:bidi="ar-SA"/>
    </w:rPr>
  </w:style>
  <w:style w:type="paragraph" w:styleId="19">
    <w:name w:val="List"/>
    <w:basedOn w:val="1"/>
    <w:next w:val="1"/>
    <w:autoRedefine/>
    <w:qFormat/>
    <w:uiPriority w:val="0"/>
    <w:pPr>
      <w:spacing w:line="320" w:lineRule="exact"/>
      <w:jc w:val="center"/>
    </w:pPr>
    <w:rPr>
      <w:sz w:val="20"/>
    </w:rPr>
  </w:style>
  <w:style w:type="paragraph" w:styleId="20">
    <w:name w:val="table of figures"/>
    <w:basedOn w:val="1"/>
    <w:next w:val="1"/>
    <w:autoRedefine/>
    <w:unhideWhenUsed/>
    <w:qFormat/>
    <w:uiPriority w:val="99"/>
    <w:pPr>
      <w:ind w:leftChars="200" w:hanging="200" w:hangingChars="200"/>
    </w:pPr>
  </w:style>
  <w:style w:type="paragraph" w:styleId="21">
    <w:name w:val="Normal (Web)"/>
    <w:basedOn w:val="1"/>
    <w:autoRedefine/>
    <w:qFormat/>
    <w:uiPriority w:val="0"/>
    <w:pPr>
      <w:spacing w:before="100" w:beforeLines="0" w:beforeAutospacing="1" w:after="100" w:afterLines="0" w:afterAutospacing="1"/>
      <w:ind w:left="0" w:right="0"/>
      <w:jc w:val="left"/>
    </w:pPr>
    <w:rPr>
      <w:kern w:val="0"/>
      <w:sz w:val="24"/>
      <w:lang w:val="en-US" w:eastAsia="zh-CN" w:bidi="ar"/>
    </w:rPr>
  </w:style>
  <w:style w:type="paragraph" w:styleId="22">
    <w:name w:val="Title"/>
    <w:basedOn w:val="1"/>
    <w:autoRedefine/>
    <w:qFormat/>
    <w:uiPriority w:val="0"/>
    <w:pPr>
      <w:spacing w:before="240" w:beforeLines="0" w:beforeAutospacing="0" w:after="60" w:afterLines="0" w:afterAutospacing="0"/>
      <w:jc w:val="center"/>
      <w:outlineLvl w:val="0"/>
    </w:pPr>
    <w:rPr>
      <w:rFonts w:ascii="Arial" w:hAnsi="Arial"/>
      <w:b/>
      <w:sz w:val="32"/>
    </w:rPr>
  </w:style>
  <w:style w:type="paragraph" w:styleId="23">
    <w:name w:val="Body Text First Indent"/>
    <w:basedOn w:val="8"/>
    <w:next w:val="1"/>
    <w:autoRedefine/>
    <w:unhideWhenUsed/>
    <w:qFormat/>
    <w:uiPriority w:val="99"/>
    <w:pPr>
      <w:ind w:firstLine="420" w:firstLineChars="100"/>
    </w:pPr>
  </w:style>
  <w:style w:type="table" w:styleId="25">
    <w:name w:val="Table Grid"/>
    <w:basedOn w:val="2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7">
    <w:name w:val="4"/>
    <w:link w:val="26"/>
    <w:autoRedefine/>
    <w:qFormat/>
    <w:uiPriority w:val="0"/>
    <w:pPr>
      <w:adjustRightInd w:val="0"/>
      <w:snapToGrid w:val="0"/>
      <w:spacing w:after="200" w:afterLines="0"/>
    </w:pPr>
    <w:rPr>
      <w:rFonts w:ascii="Tahoma" w:hAnsi="Tahoma" w:eastAsia="微软雅黑" w:cs="Times New Roman"/>
      <w:sz w:val="24"/>
      <w:szCs w:val="24"/>
      <w:lang w:val="en-US" w:eastAsia="zh-CN" w:bidi="ar-SA"/>
    </w:rPr>
  </w:style>
  <w:style w:type="paragraph" w:customStyle="1" w:styleId="28">
    <w:name w:val="表头"/>
    <w:basedOn w:val="1"/>
    <w:next w:val="1"/>
    <w:autoRedefine/>
    <w:qFormat/>
    <w:uiPriority w:val="0"/>
    <w:pPr>
      <w:tabs>
        <w:tab w:val="center" w:pos="4060"/>
        <w:tab w:val="right" w:pos="8261"/>
      </w:tabs>
      <w:suppressAutoHyphens/>
      <w:adjustRightInd w:val="0"/>
      <w:spacing w:line="240" w:lineRule="auto"/>
      <w:ind w:firstLine="0" w:firstLineChars="0"/>
      <w:jc w:val="center"/>
    </w:pPr>
    <w:rPr>
      <w:rFonts w:hint="eastAsia" w:ascii="黑体" w:hAnsi="黑体" w:eastAsia="黑体"/>
      <w:kern w:val="0"/>
      <w:sz w:val="21"/>
    </w:rPr>
  </w:style>
  <w:style w:type="paragraph" w:customStyle="1" w:styleId="29">
    <w:name w:val="样式 标题 1一级标题 + 段前: 0.5 行 段后: 0.5 行"/>
    <w:basedOn w:val="2"/>
    <w:autoRedefine/>
    <w:qFormat/>
    <w:uiPriority w:val="99"/>
    <w:pPr>
      <w:spacing w:line="320" w:lineRule="exact"/>
      <w:outlineLvl w:val="9"/>
    </w:pPr>
    <w:rPr>
      <w:spacing w:val="-6"/>
      <w:sz w:val="21"/>
      <w:szCs w:val="21"/>
    </w:rPr>
  </w:style>
  <w:style w:type="paragraph" w:customStyle="1" w:styleId="30">
    <w:name w:val="_Style 4"/>
    <w:next w:val="1"/>
    <w:autoRedefine/>
    <w:qFormat/>
    <w:uiPriority w:val="1"/>
    <w:pPr>
      <w:widowControl w:val="0"/>
      <w:jc w:val="both"/>
    </w:pPr>
    <w:rPr>
      <w:rFonts w:ascii="Times New Roman" w:hAnsi="Times New Roman" w:eastAsia="仿宋_GB2312" w:cs="Times New Roman"/>
      <w:kern w:val="2"/>
      <w:sz w:val="24"/>
      <w:szCs w:val="22"/>
      <w:lang w:val="en-US" w:eastAsia="zh-CN" w:bidi="ar-SA"/>
    </w:rPr>
  </w:style>
  <w:style w:type="table" w:customStyle="1" w:styleId="31">
    <w:name w:val="网格型2"/>
    <w:basedOn w:val="24"/>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32">
    <w:name w:val="List Paragraph"/>
    <w:basedOn w:val="1"/>
    <w:autoRedefine/>
    <w:qFormat/>
    <w:uiPriority w:val="34"/>
    <w:pPr>
      <w:ind w:firstLine="420" w:firstLineChars="200"/>
    </w:pPr>
  </w:style>
  <w:style w:type="character" w:customStyle="1" w:styleId="33">
    <w:name w:val="page number"/>
    <w:autoRedefine/>
    <w:qFormat/>
    <w:uiPriority w:val="0"/>
    <w:rPr>
      <w:sz w:val="24"/>
      <w:szCs w:val="24"/>
    </w:rPr>
  </w:style>
  <w:style w:type="paragraph" w:customStyle="1" w:styleId="34">
    <w:name w:val="0表格文字"/>
    <w:basedOn w:val="1"/>
    <w:next w:val="1"/>
    <w:autoRedefine/>
    <w:qFormat/>
    <w:uiPriority w:val="0"/>
    <w:pPr>
      <w:tabs>
        <w:tab w:val="left" w:pos="2340"/>
      </w:tabs>
      <w:snapToGrid w:val="0"/>
      <w:jc w:val="center"/>
    </w:pPr>
    <w:rPr>
      <w:rFonts w:ascii="Times New Roman" w:hAnsi="Times New Roman" w:eastAsia="宋体" w:cs="Times New Roman"/>
      <w:bCs/>
      <w:snapToGrid w:val="0"/>
      <w:color w:val="000000"/>
      <w:kern w:val="0"/>
      <w:szCs w:val="21"/>
      <w:lang w:val="zh-CN"/>
    </w:rPr>
  </w:style>
  <w:style w:type="paragraph" w:customStyle="1" w:styleId="35">
    <w:name w:val="正文五号无缩进表格内容字"/>
    <w:autoRedefine/>
    <w:qFormat/>
    <w:uiPriority w:val="0"/>
    <w:pPr>
      <w:widowControl w:val="0"/>
      <w:adjustRightInd w:val="0"/>
      <w:snapToGrid w:val="0"/>
      <w:spacing w:line="360" w:lineRule="auto"/>
      <w:ind w:firstLine="1446" w:firstLineChars="200"/>
      <w:jc w:val="both"/>
    </w:pPr>
    <w:rPr>
      <w:rFonts w:ascii="Calibri" w:hAnsi="Calibri" w:eastAsia="宋体" w:cs="Times New Roman"/>
      <w:kern w:val="0"/>
      <w:sz w:val="24"/>
      <w:szCs w:val="24"/>
      <w:lang w:val="en-US" w:eastAsia="zh-CN" w:bidi="ar-SA"/>
    </w:rPr>
  </w:style>
  <w:style w:type="paragraph" w:customStyle="1" w:styleId="36">
    <w:name w:val="填表内容"/>
    <w:basedOn w:val="1"/>
    <w:autoRedefine/>
    <w:qFormat/>
    <w:uiPriority w:val="0"/>
    <w:pPr>
      <w:adjustRightInd w:val="0"/>
      <w:spacing w:line="480" w:lineRule="exact"/>
      <w:ind w:firstLine="560" w:firstLineChars="200"/>
      <w:jc w:val="left"/>
      <w:textAlignment w:val="baseline"/>
    </w:pPr>
    <w:rPr>
      <w:rFonts w:ascii="楷体_GB2312" w:eastAsia="楷体_GB2312"/>
      <w:sz w:val="28"/>
    </w:rPr>
  </w:style>
  <w:style w:type="paragraph" w:customStyle="1" w:styleId="37">
    <w:name w:val="表格文本"/>
    <w:basedOn w:val="1"/>
    <w:autoRedefine/>
    <w:qFormat/>
    <w:uiPriority w:val="0"/>
    <w:pPr>
      <w:spacing w:line="240" w:lineRule="auto"/>
      <w:ind w:firstLine="0" w:firstLineChars="0"/>
      <w:jc w:val="center"/>
    </w:pPr>
    <w:rPr>
      <w:rFonts w:eastAsiaTheme="minorEastAsia" w:cstheme="minorBidi"/>
      <w:sz w:val="21"/>
      <w:szCs w:val="22"/>
    </w:rPr>
  </w:style>
  <w:style w:type="paragraph" w:customStyle="1" w:styleId="38">
    <w:name w:val="表格"/>
    <w:basedOn w:val="1"/>
    <w:next w:val="1"/>
    <w:autoRedefine/>
    <w:qFormat/>
    <w:uiPriority w:val="0"/>
    <w:pPr>
      <w:adjustRightInd w:val="0"/>
      <w:snapToGrid w:val="0"/>
      <w:spacing w:beforeLines="10" w:afterLines="10" w:line="259" w:lineRule="auto"/>
      <w:jc w:val="center"/>
    </w:pPr>
    <w:rPr>
      <w:rFonts w:ascii="宋体"/>
      <w:kern w:val="0"/>
      <w:szCs w:val="20"/>
    </w:rPr>
  </w:style>
  <w:style w:type="table" w:customStyle="1" w:styleId="39">
    <w:name w:val="TableGrid"/>
    <w:autoRedefine/>
    <w:qFormat/>
    <w:uiPriority w:val="0"/>
    <w:tblPr>
      <w:tblCellMar>
        <w:top w:w="0" w:type="dxa"/>
        <w:left w:w="0" w:type="dxa"/>
        <w:bottom w:w="0" w:type="dxa"/>
        <w:right w:w="0" w:type="dxa"/>
      </w:tblCellMar>
    </w:tblPr>
  </w:style>
  <w:style w:type="paragraph" w:customStyle="1" w:styleId="40">
    <w:name w:val="0正文"/>
    <w:basedOn w:val="11"/>
    <w:next w:val="1"/>
    <w:autoRedefine/>
    <w:qFormat/>
    <w:uiPriority w:val="0"/>
    <w:pPr>
      <w:spacing w:line="360" w:lineRule="auto"/>
      <w:ind w:firstLine="720" w:firstLineChars="200"/>
    </w:pPr>
    <w:rPr>
      <w:sz w:val="24"/>
      <w:szCs w:val="22"/>
    </w:rPr>
  </w:style>
  <w:style w:type="paragraph" w:customStyle="1" w:styleId="41">
    <w:name w:val="标准正文"/>
    <w:autoRedefine/>
    <w:qFormat/>
    <w:uiPriority w:val="0"/>
    <w:pPr>
      <w:keepNext/>
      <w:keepLines/>
      <w:snapToGrid w:val="0"/>
      <w:spacing w:before="50" w:beforeLines="50" w:after="50" w:afterLines="50" w:line="360" w:lineRule="auto"/>
      <w:ind w:firstLine="200" w:firstLineChars="200"/>
      <w:jc w:val="both"/>
    </w:pPr>
    <w:rPr>
      <w:rFonts w:ascii="Times New Roman" w:hAnsi="Times New Roman" w:eastAsia="宋体" w:cs="Times New Roman"/>
      <w:sz w:val="24"/>
      <w:szCs w:val="24"/>
      <w:lang w:val="en-US" w:eastAsia="zh-CN" w:bidi="ar-SA"/>
    </w:rPr>
  </w:style>
  <w:style w:type="paragraph" w:customStyle="1" w:styleId="42">
    <w:name w:val="Table Paragraph"/>
    <w:basedOn w:val="1"/>
    <w:autoRedefine/>
    <w:qFormat/>
    <w:uiPriority w:val="1"/>
    <w:rPr>
      <w:rFonts w:ascii="宋体" w:hAnsi="宋体" w:eastAsia="宋体" w:cs="宋体"/>
      <w:lang w:val="zh-CN" w:eastAsia="zh-CN" w:bidi="zh-CN"/>
    </w:rPr>
  </w:style>
  <w:style w:type="paragraph" w:customStyle="1" w:styleId="43">
    <w:name w:val="Default"/>
    <w:basedOn w:val="44"/>
    <w:next w:val="19"/>
    <w:autoRedefine/>
    <w:qFormat/>
    <w:uiPriority w:val="0"/>
    <w:pPr>
      <w:widowControl w:val="0"/>
      <w:autoSpaceDE w:val="0"/>
      <w:autoSpaceDN w:val="0"/>
      <w:adjustRightInd w:val="0"/>
    </w:pPr>
    <w:rPr>
      <w:rFonts w:ascii="宋体" w:hAnsi="Calibri" w:eastAsia="等线" w:cs="宋体"/>
      <w:color w:val="000000"/>
      <w:sz w:val="24"/>
      <w:szCs w:val="24"/>
      <w:lang w:val="en-US" w:eastAsia="zh-CN" w:bidi="ar-SA"/>
    </w:rPr>
  </w:style>
  <w:style w:type="paragraph" w:customStyle="1" w:styleId="44">
    <w:name w:val="纯文本1"/>
    <w:next w:val="13"/>
    <w:autoRedefine/>
    <w:qFormat/>
    <w:uiPriority w:val="0"/>
    <w:pPr>
      <w:widowControl w:val="0"/>
      <w:adjustRightInd w:val="0"/>
      <w:ind w:firstLine="0"/>
      <w:jc w:val="both"/>
      <w:textAlignment w:val="baseline"/>
    </w:pPr>
    <w:rPr>
      <w:rFonts w:ascii="宋体" w:hAnsi="Courier New" w:eastAsia="宋体" w:cs="Times New Roman"/>
      <w:kern w:val="2"/>
      <w:sz w:val="21"/>
      <w:lang w:val="en-US" w:eastAsia="zh-CN" w:bidi="ar-SA"/>
    </w:rPr>
  </w:style>
  <w:style w:type="paragraph" w:customStyle="1" w:styleId="45">
    <w:name w:val="样式 正文首行缩进 + 首行缩进:  2 字符1"/>
    <w:basedOn w:val="23"/>
    <w:autoRedefine/>
    <w:qFormat/>
    <w:uiPriority w:val="0"/>
    <w:pPr>
      <w:spacing w:after="0" w:line="360" w:lineRule="auto"/>
      <w:ind w:firstLine="480" w:firstLineChars="200"/>
    </w:pPr>
    <w:rPr>
      <w:sz w:val="24"/>
    </w:rPr>
  </w:style>
  <w:style w:type="paragraph" w:customStyle="1" w:styleId="46">
    <w:name w:val="报告表正文"/>
    <w:basedOn w:val="1"/>
    <w:autoRedefine/>
    <w:qFormat/>
    <w:uiPriority w:val="0"/>
    <w:pPr>
      <w:adjustRightInd w:val="0"/>
      <w:spacing w:line="312" w:lineRule="auto"/>
      <w:ind w:left="113" w:right="113" w:firstLine="482"/>
      <w:jc w:val="left"/>
      <w:textAlignment w:val="baseline"/>
    </w:pPr>
    <w:rPr>
      <w:kern w:val="0"/>
      <w:sz w:val="24"/>
      <w:szCs w:val="20"/>
    </w:rPr>
  </w:style>
  <w:style w:type="paragraph" w:customStyle="1" w:styleId="47">
    <w:name w:val="font0"/>
    <w:basedOn w:val="1"/>
    <w:autoRedefine/>
    <w:qFormat/>
    <w:uiPriority w:val="0"/>
    <w:pPr>
      <w:widowControl/>
      <w:spacing w:before="100" w:beforeAutospacing="1" w:after="100" w:afterAutospacing="1"/>
      <w:jc w:val="left"/>
    </w:pPr>
    <w:rPr>
      <w:rFonts w:hint="eastAsia" w:ascii="宋体" w:hAnsi="宋体" w:cs="Arial Unicode MS"/>
      <w:kern w:val="0"/>
      <w:sz w:val="24"/>
    </w:rPr>
  </w:style>
  <w:style w:type="paragraph" w:customStyle="1" w:styleId="48">
    <w:name w:val="新表头"/>
    <w:basedOn w:val="1"/>
    <w:autoRedefine/>
    <w:qFormat/>
    <w:uiPriority w:val="0"/>
    <w:pPr>
      <w:spacing w:line="276" w:lineRule="auto"/>
      <w:jc w:val="center"/>
    </w:pPr>
    <w:rPr>
      <w:rFonts w:eastAsia="黑体"/>
      <w:bCs/>
      <w:kern w:val="0"/>
      <w:sz w:val="21"/>
      <w:szCs w:val="21"/>
    </w:rPr>
  </w:style>
  <w:style w:type="paragraph" w:customStyle="1" w:styleId="49">
    <w:name w:val="toc 75"/>
    <w:next w:val="1"/>
    <w:autoRedefine/>
    <w:qFormat/>
    <w:uiPriority w:val="0"/>
    <w:pPr>
      <w:wordWrap w:val="0"/>
      <w:ind w:left="2550"/>
      <w:jc w:val="both"/>
    </w:pPr>
    <w:rPr>
      <w:rFonts w:ascii="Times New Roman" w:hAnsi="Times New Roman" w:eastAsia="宋体" w:cs="Times New Roman"/>
      <w:sz w:val="21"/>
      <w:lang w:val="en-US" w:eastAsia="zh-CN" w:bidi="ar-SA"/>
    </w:rPr>
  </w:style>
  <w:style w:type="paragraph" w:customStyle="1" w:styleId="50">
    <w:name w:val="正文1"/>
    <w:basedOn w:val="1"/>
    <w:autoRedefine/>
    <w:qFormat/>
    <w:uiPriority w:val="0"/>
    <w:pPr>
      <w:jc w:val="center"/>
    </w:pPr>
    <w:rPr>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3" Type="http://schemas.openxmlformats.org/officeDocument/2006/relationships/fontTable" Target="fontTable.xml"/><Relationship Id="rId62" Type="http://schemas.openxmlformats.org/officeDocument/2006/relationships/numbering" Target="numbering.xml"/><Relationship Id="rId61" Type="http://schemas.openxmlformats.org/officeDocument/2006/relationships/customXml" Target="../customXml/item1.xml"/><Relationship Id="rId60" Type="http://schemas.openxmlformats.org/officeDocument/2006/relationships/image" Target="media/image50.png"/><Relationship Id="rId6" Type="http://schemas.openxmlformats.org/officeDocument/2006/relationships/header" Target="header1.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endnotes" Target="endnotes.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83</Pages>
  <Words>28144</Words>
  <Characters>32158</Characters>
  <Lines>0</Lines>
  <Paragraphs>0</Paragraphs>
  <TotalTime>1</TotalTime>
  <ScaleCrop>false</ScaleCrop>
  <LinksUpToDate>false</LinksUpToDate>
  <CharactersWithSpaces>32541</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2021-01-06T00:33:00Z</dcterms:created>
  <dc:creator>wxm111</dc:creator>
  <cp:lastModifiedBy>Administrator</cp:lastModifiedBy>
  <cp:lastPrinted>2024-04-02T01:01:00Z</cp:lastPrinted>
  <dcterms:modified xsi:type="dcterms:W3CDTF">2025-03-18T06:48:39Z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9BA0B2615015473E9303F4E667DB78E9</vt:lpwstr>
  </property>
  <property fmtid="{D5CDD505-2E9C-101B-9397-08002B2CF9AE}" pid="4" name="KSOTemplateDocerSaveRecord">
    <vt:lpwstr>eyJoZGlkIjoiZGM3ZTdmZjA4NzIwNGIyNDI2Mzg5ZWE1YzQxOGM4MzMiLCJ1c2VySWQiOiIzNTcwOTY1NDEifQ==</vt:lpwstr>
  </property>
</Properties>
</file>