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B61191">
      <w:pPr>
        <w:pStyle w:val="2"/>
        <w:ind w:firstLineChars="0"/>
        <w:jc w:val="left"/>
        <w:rPr>
          <w:rFonts w:cs="Times New Roman"/>
        </w:rPr>
      </w:pPr>
      <w:bookmarkStart w:id="0" w:name="_GoBack"/>
      <w:r>
        <w:rPr>
          <w:rFonts w:cs="Times New Roman"/>
        </w:rPr>
        <w:t>附件5  本钢钢铁产业聚集区管控要求</w:t>
      </w:r>
    </w:p>
    <w:bookmarkEnd w:id="0"/>
    <w:p w14:paraId="29608D82">
      <w:pPr>
        <w:ind w:firstLine="560"/>
        <w:rPr>
          <w:rFonts w:cs="Times New Roman"/>
        </w:rPr>
      </w:pPr>
      <w:r>
        <w:rPr>
          <w:rFonts w:cs="Times New Roman"/>
        </w:rPr>
        <w:t>钢铁产业是本溪支柱产业，目前已形成的本钢钢铁产业聚集区主要分布于平山区、溪湖区相关管控单元，位于以下管控单元钢铁企业在新建、改扩建时除应符合各管控单元管控要求外，还应符合钢铁产业管控要求如下：</w:t>
      </w:r>
    </w:p>
    <w:tbl>
      <w:tblPr>
        <w:tblStyle w:val="3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4"/>
        <w:gridCol w:w="1099"/>
        <w:gridCol w:w="331"/>
        <w:gridCol w:w="346"/>
        <w:gridCol w:w="338"/>
        <w:gridCol w:w="556"/>
        <w:gridCol w:w="2523"/>
        <w:gridCol w:w="2773"/>
        <w:gridCol w:w="2448"/>
        <w:gridCol w:w="2367"/>
      </w:tblGrid>
      <w:tr w14:paraId="558713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1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430F5">
            <w:pPr>
              <w:spacing w:line="240" w:lineRule="auto"/>
              <w:ind w:firstLine="0" w:firstLineChars="0"/>
              <w:jc w:val="center"/>
              <w:rPr>
                <w:rFonts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eastAsia="仿宋_GB2312" w:cs="Times New Roman"/>
                <w:b/>
                <w:bCs/>
                <w:sz w:val="24"/>
                <w:szCs w:val="24"/>
              </w:rPr>
              <w:t>环境管控单元编码</w:t>
            </w:r>
          </w:p>
        </w:tc>
        <w:tc>
          <w:tcPr>
            <w:tcW w:w="388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6F6BB">
            <w:pPr>
              <w:spacing w:line="240" w:lineRule="auto"/>
              <w:ind w:firstLine="0" w:firstLineChars="0"/>
              <w:jc w:val="center"/>
              <w:rPr>
                <w:rFonts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eastAsia="仿宋_GB2312" w:cs="Times New Roman"/>
                <w:b/>
                <w:bCs/>
                <w:sz w:val="24"/>
                <w:szCs w:val="24"/>
              </w:rPr>
              <w:t>环境管控单元名称</w:t>
            </w:r>
          </w:p>
        </w:tc>
        <w:tc>
          <w:tcPr>
            <w:tcW w:w="35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42199">
            <w:pPr>
              <w:spacing w:line="240" w:lineRule="auto"/>
              <w:ind w:firstLine="0" w:firstLineChars="0"/>
              <w:jc w:val="center"/>
              <w:rPr>
                <w:rFonts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eastAsia="仿宋_GB2312" w:cs="Times New Roman"/>
                <w:b/>
                <w:bCs/>
                <w:sz w:val="24"/>
                <w:szCs w:val="24"/>
              </w:rPr>
              <w:t>行政区划</w:t>
            </w:r>
          </w:p>
        </w:tc>
        <w:tc>
          <w:tcPr>
            <w:tcW w:w="196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9D73A">
            <w:pPr>
              <w:spacing w:line="240" w:lineRule="auto"/>
              <w:ind w:firstLine="0" w:firstLineChars="0"/>
              <w:jc w:val="center"/>
              <w:rPr>
                <w:rFonts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eastAsia="仿宋_GB2312" w:cs="Times New Roman"/>
                <w:b/>
                <w:bCs/>
                <w:sz w:val="24"/>
                <w:szCs w:val="24"/>
              </w:rPr>
              <w:t>管控单元分类</w:t>
            </w:r>
          </w:p>
        </w:tc>
        <w:tc>
          <w:tcPr>
            <w:tcW w:w="3567" w:type="pct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272B499">
            <w:pPr>
              <w:spacing w:line="240" w:lineRule="auto"/>
              <w:ind w:firstLine="0" w:firstLineChars="0"/>
              <w:jc w:val="center"/>
              <w:rPr>
                <w:rFonts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eastAsia="仿宋_GB2312" w:cs="Times New Roman"/>
                <w:b/>
                <w:bCs/>
                <w:sz w:val="24"/>
                <w:szCs w:val="24"/>
              </w:rPr>
              <w:t>生态环境管控要求</w:t>
            </w:r>
          </w:p>
        </w:tc>
      </w:tr>
      <w:tr w14:paraId="2E4261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1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5E863">
            <w:pPr>
              <w:spacing w:line="240" w:lineRule="auto"/>
              <w:ind w:firstLine="0" w:firstLineChars="0"/>
              <w:jc w:val="center"/>
              <w:rPr>
                <w:rFonts w:eastAsia="仿宋_GB2312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8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0E8E4">
            <w:pPr>
              <w:spacing w:line="240" w:lineRule="auto"/>
              <w:ind w:firstLine="0" w:firstLineChars="0"/>
              <w:jc w:val="center"/>
              <w:rPr>
                <w:rFonts w:eastAsia="仿宋_GB2312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3653E">
            <w:pPr>
              <w:spacing w:line="240" w:lineRule="auto"/>
              <w:ind w:firstLine="0" w:firstLineChars="0"/>
              <w:jc w:val="center"/>
              <w:rPr>
                <w:rFonts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eastAsia="仿宋_GB2312" w:cs="Times New Roman"/>
                <w:b/>
                <w:bCs/>
                <w:sz w:val="24"/>
                <w:szCs w:val="24"/>
              </w:rPr>
              <w:t>省</w:t>
            </w:r>
          </w:p>
        </w:tc>
        <w:tc>
          <w:tcPr>
            <w:tcW w:w="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FE372">
            <w:pPr>
              <w:spacing w:line="240" w:lineRule="auto"/>
              <w:ind w:firstLine="0" w:firstLineChars="0"/>
              <w:jc w:val="center"/>
              <w:rPr>
                <w:rFonts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eastAsia="仿宋_GB2312" w:cs="Times New Roman"/>
                <w:b/>
                <w:bCs/>
                <w:sz w:val="24"/>
                <w:szCs w:val="24"/>
              </w:rPr>
              <w:t>市</w:t>
            </w:r>
          </w:p>
        </w:tc>
        <w:tc>
          <w:tcPr>
            <w:tcW w:w="1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58A38">
            <w:pPr>
              <w:spacing w:line="240" w:lineRule="auto"/>
              <w:ind w:firstLine="0" w:firstLineChars="0"/>
              <w:jc w:val="center"/>
              <w:rPr>
                <w:rFonts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eastAsia="仿宋_GB2312" w:cs="Times New Roman"/>
                <w:b/>
                <w:bCs/>
                <w:sz w:val="24"/>
                <w:szCs w:val="24"/>
              </w:rPr>
              <w:t>县</w:t>
            </w:r>
          </w:p>
        </w:tc>
        <w:tc>
          <w:tcPr>
            <w:tcW w:w="196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45F48">
            <w:pPr>
              <w:spacing w:line="240" w:lineRule="auto"/>
              <w:ind w:firstLine="0" w:firstLineChars="0"/>
              <w:jc w:val="center"/>
              <w:rPr>
                <w:rFonts w:eastAsia="仿宋_GB2312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9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1D83E4C">
            <w:pPr>
              <w:spacing w:line="240" w:lineRule="auto"/>
              <w:ind w:firstLine="0" w:firstLineChars="0"/>
              <w:jc w:val="center"/>
              <w:rPr>
                <w:rFonts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eastAsia="仿宋_GB2312" w:cs="Times New Roman"/>
                <w:b/>
                <w:bCs/>
                <w:sz w:val="24"/>
                <w:szCs w:val="24"/>
              </w:rPr>
              <w:t>空间布局约束</w:t>
            </w:r>
          </w:p>
        </w:tc>
        <w:tc>
          <w:tcPr>
            <w:tcW w:w="978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FDACE17">
            <w:pPr>
              <w:spacing w:line="240" w:lineRule="auto"/>
              <w:ind w:firstLine="0" w:firstLineChars="0"/>
              <w:jc w:val="center"/>
              <w:rPr>
                <w:rFonts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eastAsia="仿宋_GB2312" w:cs="Times New Roman"/>
                <w:b/>
                <w:bCs/>
                <w:sz w:val="24"/>
                <w:szCs w:val="24"/>
              </w:rPr>
              <w:t>污染物排放管控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8211216">
            <w:pPr>
              <w:spacing w:line="240" w:lineRule="auto"/>
              <w:ind w:firstLine="0" w:firstLineChars="0"/>
              <w:jc w:val="center"/>
              <w:rPr>
                <w:rFonts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eastAsia="仿宋_GB2312" w:cs="Times New Roman"/>
                <w:b/>
                <w:bCs/>
                <w:sz w:val="24"/>
                <w:szCs w:val="24"/>
              </w:rPr>
              <w:t>环境风险防控</w:t>
            </w: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7BFA5A5">
            <w:pPr>
              <w:spacing w:line="240" w:lineRule="auto"/>
              <w:ind w:firstLine="0" w:firstLineChars="0"/>
              <w:jc w:val="center"/>
              <w:rPr>
                <w:rFonts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eastAsia="仿宋_GB2312" w:cs="Times New Roman"/>
                <w:b/>
                <w:bCs/>
                <w:sz w:val="24"/>
                <w:szCs w:val="24"/>
              </w:rPr>
              <w:t>资源开发效率要求</w:t>
            </w:r>
          </w:p>
        </w:tc>
      </w:tr>
      <w:tr w14:paraId="21718D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A89AFB">
            <w:pPr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eastAsia="仿宋_GB2312" w:cs="Times New Roman"/>
                <w:sz w:val="24"/>
                <w:szCs w:val="24"/>
              </w:rPr>
              <w:t>ZH21050320003</w:t>
            </w: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4E772F">
            <w:pPr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eastAsia="仿宋_GB2312" w:cs="Times New Roman"/>
                <w:sz w:val="24"/>
                <w:szCs w:val="24"/>
              </w:rPr>
              <w:t>本溪湖经济开发区</w:t>
            </w:r>
          </w:p>
        </w:tc>
        <w:tc>
          <w:tcPr>
            <w:tcW w:w="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F2468">
            <w:pPr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eastAsia="仿宋_GB2312" w:cs="Times New Roman"/>
                <w:sz w:val="24"/>
                <w:szCs w:val="24"/>
              </w:rPr>
              <w:t>辽宁省</w:t>
            </w:r>
          </w:p>
        </w:tc>
        <w:tc>
          <w:tcPr>
            <w:tcW w:w="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649DEC">
            <w:pPr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eastAsia="仿宋_GB2312" w:cs="Times New Roman"/>
                <w:sz w:val="24"/>
                <w:szCs w:val="24"/>
              </w:rPr>
              <w:t>本溪市</w:t>
            </w:r>
          </w:p>
        </w:tc>
        <w:tc>
          <w:tcPr>
            <w:tcW w:w="1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0B2F30">
            <w:pPr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eastAsia="仿宋_GB2312" w:cs="Times New Roman"/>
                <w:sz w:val="24"/>
                <w:szCs w:val="24"/>
              </w:rPr>
              <w:t>溪湖区</w:t>
            </w:r>
          </w:p>
        </w:tc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1E3715">
            <w:pPr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eastAsia="仿宋_GB2312" w:cs="Times New Roman"/>
                <w:sz w:val="24"/>
                <w:szCs w:val="24"/>
              </w:rPr>
              <w:t>重点管控单元</w:t>
            </w:r>
          </w:p>
        </w:tc>
        <w:tc>
          <w:tcPr>
            <w:tcW w:w="890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DE672B">
            <w:pPr>
              <w:spacing w:line="240" w:lineRule="auto"/>
              <w:ind w:firstLine="0" w:firstLineChars="0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eastAsia="仿宋_GB2312" w:cs="Times New Roman"/>
                <w:sz w:val="24"/>
                <w:szCs w:val="24"/>
              </w:rPr>
              <w:t>1.坚决遏制钢铁冶炼项目盲目建设，严格落实产能置换、项目备案、环评、排污许可、能评等法律法规、政策规定，不得以机械加工、铸造、铁合金等名义新增钢铁产能。2.鼓励钢铁冶炼项目依托现有生产基地集聚发展。对于确有必要新建和搬迁建设的钢铁冶炼项目，必须按照先进工艺装备水平建设。</w:t>
            </w:r>
          </w:p>
          <w:p w14:paraId="4E28D208">
            <w:pPr>
              <w:spacing w:line="240" w:lineRule="auto"/>
              <w:ind w:firstLine="0" w:firstLineChars="0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978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3CA706">
            <w:pPr>
              <w:spacing w:line="240" w:lineRule="auto"/>
              <w:ind w:firstLine="0" w:firstLineChars="0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eastAsia="仿宋_GB2312" w:cs="Times New Roman"/>
                <w:sz w:val="24"/>
                <w:szCs w:val="24"/>
              </w:rPr>
              <w:t>1.落实钢铁行业碳达峰实施方案，统筹推进减污降碳协同治理。2.加快推进钢铁企业超低排放改造进程，支持钢铁企业争创环保绩效A级，鼓励企业实施原料场机械化、烧结烟气内循环、炉窑低氮燃烧等技术改造。3.支持已完成超低排放改造的企业，与铁合金、焦化、化工、建材、电力等关联产业协同发展，构建协同减污降碳“联合体”。4.依法申领排污许可证，严格落实排污许可证规定，履行依证排污责任，依法开展自行监测。</w:t>
            </w:r>
          </w:p>
        </w:tc>
        <w:tc>
          <w:tcPr>
            <w:tcW w:w="864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953597">
            <w:pPr>
              <w:spacing w:line="240" w:lineRule="auto"/>
              <w:ind w:firstLine="0" w:firstLineChars="0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eastAsia="仿宋_GB2312" w:cs="Times New Roman"/>
                <w:sz w:val="24"/>
                <w:szCs w:val="24"/>
              </w:rPr>
              <w:t>1.鼓励钢铁企业完善与更新重污染天气应急预案。细化大气、水、危险废物应急减排措施，落实到企业各工艺环节。2.鼓励钢铁企业实施“一厂一策”清单化管理。</w:t>
            </w:r>
          </w:p>
        </w:tc>
        <w:tc>
          <w:tcPr>
            <w:tcW w:w="83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8C60FD">
            <w:pPr>
              <w:spacing w:line="240" w:lineRule="auto"/>
              <w:ind w:firstLine="0" w:firstLineChars="0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eastAsia="仿宋_GB2312" w:cs="Times New Roman"/>
                <w:sz w:val="24"/>
                <w:szCs w:val="24"/>
              </w:rPr>
              <w:t>1.新建和改扩建钢铁冶炼项目须达到能效标杆水平和环保绩效A级水平，主要用能设备须达到能效先进水平。2.推动全流程余能利用。3.支持废钢资源高质高效利用</w:t>
            </w:r>
            <w:r>
              <w:rPr>
                <w:rFonts w:hint="eastAsia" w:eastAsia="仿宋_GB2312" w:cs="Times New Roman"/>
                <w:sz w:val="24"/>
                <w:szCs w:val="24"/>
              </w:rPr>
              <w:t>。</w:t>
            </w:r>
          </w:p>
        </w:tc>
      </w:tr>
      <w:tr w14:paraId="7E9227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3FB57B">
            <w:pPr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eastAsia="仿宋_GB2312" w:cs="Times New Roman"/>
                <w:sz w:val="24"/>
                <w:szCs w:val="24"/>
              </w:rPr>
              <w:t>ZH21050320007</w:t>
            </w: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21F3A5">
            <w:pPr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eastAsia="仿宋_GB2312" w:cs="Times New Roman"/>
                <w:sz w:val="24"/>
                <w:szCs w:val="24"/>
              </w:rPr>
              <w:t>溪湖区重点管控单元</w:t>
            </w:r>
          </w:p>
        </w:tc>
        <w:tc>
          <w:tcPr>
            <w:tcW w:w="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8CD11D">
            <w:pPr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eastAsia="仿宋_GB2312" w:cs="Times New Roman"/>
                <w:sz w:val="24"/>
                <w:szCs w:val="24"/>
              </w:rPr>
              <w:t>辽宁省</w:t>
            </w:r>
          </w:p>
        </w:tc>
        <w:tc>
          <w:tcPr>
            <w:tcW w:w="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3F2D03">
            <w:pPr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eastAsia="仿宋_GB2312" w:cs="Times New Roman"/>
                <w:sz w:val="24"/>
                <w:szCs w:val="24"/>
              </w:rPr>
              <w:t>本溪市</w:t>
            </w:r>
          </w:p>
        </w:tc>
        <w:tc>
          <w:tcPr>
            <w:tcW w:w="1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AEA002">
            <w:pPr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eastAsia="仿宋_GB2312" w:cs="Times New Roman"/>
                <w:sz w:val="24"/>
                <w:szCs w:val="24"/>
              </w:rPr>
              <w:t>溪湖区</w:t>
            </w:r>
          </w:p>
        </w:tc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3D575A">
            <w:pPr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eastAsia="仿宋_GB2312" w:cs="Times New Roman"/>
                <w:sz w:val="24"/>
                <w:szCs w:val="24"/>
              </w:rPr>
              <w:t>重点管控单元</w:t>
            </w:r>
          </w:p>
        </w:tc>
        <w:tc>
          <w:tcPr>
            <w:tcW w:w="89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4CDD74">
            <w:pPr>
              <w:spacing w:line="240" w:lineRule="auto"/>
              <w:ind w:firstLine="0" w:firstLineChars="0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97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D8891A">
            <w:pPr>
              <w:spacing w:line="240" w:lineRule="auto"/>
              <w:ind w:firstLine="0" w:firstLineChars="0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86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107BBE">
            <w:pPr>
              <w:spacing w:line="240" w:lineRule="auto"/>
              <w:ind w:firstLine="0" w:firstLineChars="0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83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6804F0">
            <w:pPr>
              <w:spacing w:line="240" w:lineRule="auto"/>
              <w:ind w:firstLine="0" w:firstLineChars="0"/>
              <w:rPr>
                <w:rFonts w:eastAsia="仿宋_GB2312" w:cs="Times New Roman"/>
                <w:sz w:val="24"/>
                <w:szCs w:val="24"/>
              </w:rPr>
            </w:pPr>
          </w:p>
        </w:tc>
      </w:tr>
      <w:tr w14:paraId="74E210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0821E9">
            <w:pPr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eastAsia="仿宋_GB2312" w:cs="Times New Roman"/>
                <w:sz w:val="24"/>
                <w:szCs w:val="24"/>
              </w:rPr>
              <w:t>ZH21050220012</w:t>
            </w: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09C560">
            <w:pPr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eastAsia="仿宋_GB2312" w:cs="Times New Roman"/>
                <w:sz w:val="24"/>
                <w:szCs w:val="24"/>
              </w:rPr>
              <w:t>平山区重点管控单元</w:t>
            </w:r>
          </w:p>
        </w:tc>
        <w:tc>
          <w:tcPr>
            <w:tcW w:w="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E5FCFE">
            <w:pPr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eastAsia="仿宋_GB2312" w:cs="Times New Roman"/>
                <w:sz w:val="24"/>
                <w:szCs w:val="24"/>
              </w:rPr>
              <w:t>辽宁省</w:t>
            </w:r>
          </w:p>
        </w:tc>
        <w:tc>
          <w:tcPr>
            <w:tcW w:w="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2785B2">
            <w:pPr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eastAsia="仿宋_GB2312" w:cs="Times New Roman"/>
                <w:sz w:val="24"/>
                <w:szCs w:val="24"/>
              </w:rPr>
              <w:t>本溪市</w:t>
            </w:r>
          </w:p>
        </w:tc>
        <w:tc>
          <w:tcPr>
            <w:tcW w:w="1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40ED4E">
            <w:pPr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eastAsia="仿宋_GB2312" w:cs="Times New Roman"/>
                <w:sz w:val="24"/>
                <w:szCs w:val="24"/>
              </w:rPr>
              <w:t>平山区</w:t>
            </w:r>
          </w:p>
        </w:tc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DCBBE7">
            <w:pPr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eastAsia="仿宋_GB2312" w:cs="Times New Roman"/>
                <w:sz w:val="24"/>
                <w:szCs w:val="24"/>
              </w:rPr>
              <w:t>重点管控单元</w:t>
            </w:r>
          </w:p>
        </w:tc>
        <w:tc>
          <w:tcPr>
            <w:tcW w:w="89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215C58">
            <w:pPr>
              <w:spacing w:line="240" w:lineRule="auto"/>
              <w:ind w:firstLine="0" w:firstLineChars="0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97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E0641F">
            <w:pPr>
              <w:spacing w:line="240" w:lineRule="auto"/>
              <w:ind w:firstLine="0" w:firstLineChars="0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86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6DF664">
            <w:pPr>
              <w:spacing w:line="240" w:lineRule="auto"/>
              <w:ind w:firstLine="0" w:firstLineChars="0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83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92415B">
            <w:pPr>
              <w:spacing w:line="240" w:lineRule="auto"/>
              <w:ind w:firstLine="0" w:firstLineChars="0"/>
              <w:rPr>
                <w:rFonts w:eastAsia="仿宋_GB2312" w:cs="Times New Roman"/>
                <w:sz w:val="24"/>
                <w:szCs w:val="24"/>
              </w:rPr>
            </w:pPr>
          </w:p>
        </w:tc>
      </w:tr>
      <w:tr w14:paraId="5A73D6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A10E65">
            <w:pPr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eastAsia="仿宋_GB2312" w:cs="Times New Roman"/>
                <w:sz w:val="24"/>
                <w:szCs w:val="24"/>
              </w:rPr>
              <w:t>ZH21050220009</w:t>
            </w: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B1FC35">
            <w:pPr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eastAsia="仿宋_GB2312" w:cs="Times New Roman"/>
                <w:sz w:val="24"/>
                <w:szCs w:val="24"/>
              </w:rPr>
              <w:t>本溪桥北经济开发区</w:t>
            </w:r>
          </w:p>
        </w:tc>
        <w:tc>
          <w:tcPr>
            <w:tcW w:w="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25239E">
            <w:pPr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eastAsia="仿宋_GB2312" w:cs="Times New Roman"/>
                <w:sz w:val="24"/>
                <w:szCs w:val="24"/>
              </w:rPr>
              <w:t>辽宁省</w:t>
            </w:r>
          </w:p>
        </w:tc>
        <w:tc>
          <w:tcPr>
            <w:tcW w:w="1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D43E3C">
            <w:pPr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eastAsia="仿宋_GB2312" w:cs="Times New Roman"/>
                <w:sz w:val="24"/>
                <w:szCs w:val="24"/>
              </w:rPr>
              <w:t>本溪市</w:t>
            </w:r>
          </w:p>
        </w:tc>
        <w:tc>
          <w:tcPr>
            <w:tcW w:w="1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64874C">
            <w:pPr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eastAsia="仿宋_GB2312" w:cs="Times New Roman"/>
                <w:sz w:val="24"/>
                <w:szCs w:val="24"/>
              </w:rPr>
              <w:t>平山区</w:t>
            </w:r>
          </w:p>
        </w:tc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A7400E">
            <w:pPr>
              <w:spacing w:line="240" w:lineRule="auto"/>
              <w:ind w:firstLine="0" w:firstLineChars="0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eastAsia="仿宋_GB2312" w:cs="Times New Roman"/>
                <w:sz w:val="24"/>
                <w:szCs w:val="24"/>
              </w:rPr>
              <w:t>重点管控单元</w:t>
            </w:r>
          </w:p>
        </w:tc>
        <w:tc>
          <w:tcPr>
            <w:tcW w:w="890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5143F0">
            <w:pPr>
              <w:spacing w:line="240" w:lineRule="auto"/>
              <w:ind w:firstLine="0" w:firstLineChars="0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978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A80291">
            <w:pPr>
              <w:spacing w:line="240" w:lineRule="auto"/>
              <w:ind w:firstLine="0" w:firstLineChars="0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864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7726E2">
            <w:pPr>
              <w:spacing w:line="240" w:lineRule="auto"/>
              <w:ind w:firstLine="0" w:firstLineChars="0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835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1B540A">
            <w:pPr>
              <w:spacing w:line="240" w:lineRule="auto"/>
              <w:ind w:firstLine="0" w:firstLineChars="0"/>
              <w:rPr>
                <w:rFonts w:eastAsia="仿宋_GB2312" w:cs="Times New Roman"/>
                <w:sz w:val="24"/>
                <w:szCs w:val="24"/>
              </w:rPr>
            </w:pPr>
          </w:p>
        </w:tc>
      </w:tr>
    </w:tbl>
    <w:p w14:paraId="6CD0645B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00" w:lineRule="auto"/>
        <w:ind w:firstLine="560"/>
      </w:pPr>
      <w:r>
        <w:separator/>
      </w:r>
    </w:p>
  </w:footnote>
  <w:footnote w:type="continuationSeparator" w:id="1">
    <w:p>
      <w:pPr>
        <w:spacing w:line="300" w:lineRule="auto"/>
        <w:ind w:firstLine="56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215121"/>
    <w:rsid w:val="33215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00" w:lineRule="auto"/>
      <w:ind w:firstLine="200" w:firstLineChars="200"/>
      <w:jc w:val="both"/>
    </w:pPr>
    <w:rPr>
      <w:rFonts w:ascii="Times New Roman" w:hAnsi="Times New Roman" w:eastAsia="仿宋" w:cstheme="minorBidi"/>
      <w:kern w:val="2"/>
      <w:sz w:val="28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qFormat/>
    <w:uiPriority w:val="9"/>
    <w:pPr>
      <w:keepNext/>
      <w:keepLines/>
      <w:outlineLvl w:val="0"/>
    </w:pPr>
    <w:rPr>
      <w:b/>
      <w:bCs/>
      <w:kern w:val="44"/>
      <w:sz w:val="30"/>
      <w:szCs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2024-12-12T02:47:00Z</dcterms:created>
  <dc:creator>小小懒</dc:creator>
  <cp:lastModifiedBy>小小懒</cp:lastModifiedBy>
  <dcterms:modified xsi:type="dcterms:W3CDTF">2024-12-12T02:48:08Z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D558929B890044AA87BCC26900EA12B7_11</vt:lpwstr>
  </property>
</Properties>
</file>