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94D92">
      <w:pPr>
        <w:pStyle w:val="2"/>
        <w:ind w:firstLineChars="0"/>
        <w:jc w:val="left"/>
        <w:rPr>
          <w:rFonts w:cs="Times New Roman"/>
        </w:rPr>
      </w:pPr>
      <w:r>
        <w:rPr>
          <w:rFonts w:cs="Times New Roman"/>
        </w:rPr>
        <w:t>附件4  本溪市工业园区生态环境准入清单</w:t>
      </w:r>
    </w:p>
    <w:tbl>
      <w:tblPr>
        <w:tblStyle w:val="3"/>
        <w:tblW w:w="4939" w:type="pct"/>
        <w:tblInd w:w="0" w:type="dxa"/>
        <w:tblLayout w:type="fixed"/>
        <w:tblCellMar>
          <w:top w:w="0" w:type="dxa"/>
          <w:left w:w="108" w:type="dxa"/>
          <w:bottom w:w="0" w:type="dxa"/>
          <w:right w:w="108" w:type="dxa"/>
        </w:tblCellMar>
      </w:tblPr>
      <w:tblGrid>
        <w:gridCol w:w="1260"/>
        <w:gridCol w:w="991"/>
        <w:gridCol w:w="412"/>
        <w:gridCol w:w="426"/>
        <w:gridCol w:w="426"/>
        <w:gridCol w:w="426"/>
        <w:gridCol w:w="563"/>
        <w:gridCol w:w="2551"/>
        <w:gridCol w:w="2268"/>
        <w:gridCol w:w="2268"/>
        <w:gridCol w:w="2411"/>
      </w:tblGrid>
      <w:tr w14:paraId="648178B8">
        <w:tblPrEx>
          <w:tblCellMar>
            <w:top w:w="0" w:type="dxa"/>
            <w:left w:w="108" w:type="dxa"/>
            <w:bottom w:w="0" w:type="dxa"/>
            <w:right w:w="108" w:type="dxa"/>
          </w:tblCellMar>
        </w:tblPrEx>
        <w:trPr>
          <w:tblHeader/>
        </w:trPr>
        <w:tc>
          <w:tcPr>
            <w:tcW w:w="450" w:type="pct"/>
            <w:vMerge w:val="restart"/>
            <w:tcBorders>
              <w:top w:val="single" w:color="000000" w:sz="4" w:space="0"/>
              <w:left w:val="single" w:color="000000" w:sz="4" w:space="0"/>
              <w:bottom w:val="nil"/>
              <w:right w:val="single" w:color="000000" w:sz="4" w:space="0"/>
            </w:tcBorders>
            <w:shd w:val="clear" w:color="auto" w:fill="auto"/>
            <w:noWrap/>
            <w:vAlign w:val="center"/>
          </w:tcPr>
          <w:p w14:paraId="557A22A5">
            <w:pPr>
              <w:pStyle w:val="5"/>
              <w:jc w:val="center"/>
              <w:rPr>
                <w:b/>
                <w:bCs/>
                <w:sz w:val="24"/>
              </w:rPr>
            </w:pPr>
            <w:r>
              <w:rPr>
                <w:b/>
                <w:bCs/>
                <w:sz w:val="24"/>
              </w:rPr>
              <w:t>环境管控单元编码</w:t>
            </w:r>
          </w:p>
        </w:tc>
        <w:tc>
          <w:tcPr>
            <w:tcW w:w="354" w:type="pct"/>
            <w:vMerge w:val="restart"/>
            <w:tcBorders>
              <w:top w:val="single" w:color="000000" w:sz="4" w:space="0"/>
              <w:left w:val="single" w:color="000000" w:sz="4" w:space="0"/>
              <w:bottom w:val="nil"/>
              <w:right w:val="single" w:color="000000" w:sz="4" w:space="0"/>
            </w:tcBorders>
            <w:shd w:val="clear" w:color="auto" w:fill="auto"/>
            <w:noWrap/>
            <w:vAlign w:val="center"/>
          </w:tcPr>
          <w:p w14:paraId="4990042F">
            <w:pPr>
              <w:pStyle w:val="5"/>
              <w:jc w:val="center"/>
              <w:rPr>
                <w:b/>
                <w:bCs/>
                <w:sz w:val="24"/>
              </w:rPr>
            </w:pPr>
            <w:r>
              <w:rPr>
                <w:b/>
                <w:bCs/>
                <w:sz w:val="24"/>
              </w:rPr>
              <w:t>环境管控单元名称</w:t>
            </w:r>
          </w:p>
        </w:tc>
        <w:tc>
          <w:tcPr>
            <w:tcW w:w="45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5CA9">
            <w:pPr>
              <w:pStyle w:val="5"/>
              <w:jc w:val="center"/>
              <w:rPr>
                <w:b/>
                <w:bCs/>
                <w:sz w:val="24"/>
              </w:rPr>
            </w:pPr>
            <w:r>
              <w:rPr>
                <w:b/>
                <w:bCs/>
                <w:sz w:val="24"/>
              </w:rPr>
              <w:t>行政区划</w:t>
            </w:r>
          </w:p>
        </w:tc>
        <w:tc>
          <w:tcPr>
            <w:tcW w:w="152" w:type="pct"/>
            <w:vMerge w:val="restart"/>
            <w:tcBorders>
              <w:top w:val="single" w:color="000000" w:sz="4" w:space="0"/>
              <w:left w:val="single" w:color="000000" w:sz="4" w:space="0"/>
              <w:bottom w:val="nil"/>
              <w:right w:val="single" w:color="000000" w:sz="4" w:space="0"/>
            </w:tcBorders>
            <w:shd w:val="clear" w:color="auto" w:fill="auto"/>
            <w:noWrap/>
            <w:vAlign w:val="center"/>
          </w:tcPr>
          <w:p w14:paraId="76D89436">
            <w:pPr>
              <w:pStyle w:val="5"/>
              <w:jc w:val="center"/>
              <w:rPr>
                <w:b/>
                <w:bCs/>
                <w:sz w:val="24"/>
              </w:rPr>
            </w:pPr>
            <w:r>
              <w:rPr>
                <w:b/>
                <w:bCs/>
                <w:sz w:val="24"/>
              </w:rPr>
              <w:t>管控单元分类</w:t>
            </w:r>
          </w:p>
        </w:tc>
        <w:tc>
          <w:tcPr>
            <w:tcW w:w="201" w:type="pct"/>
            <w:vMerge w:val="restart"/>
            <w:tcBorders>
              <w:top w:val="single" w:color="000000" w:sz="4" w:space="0"/>
              <w:left w:val="single" w:color="000000" w:sz="4" w:space="0"/>
              <w:right w:val="single" w:color="000000" w:sz="4" w:space="0"/>
            </w:tcBorders>
            <w:shd w:val="clear" w:color="auto" w:fill="auto"/>
            <w:vAlign w:val="center"/>
          </w:tcPr>
          <w:p w14:paraId="6DBACD22">
            <w:pPr>
              <w:pStyle w:val="5"/>
              <w:jc w:val="center"/>
              <w:rPr>
                <w:b/>
                <w:bCs/>
                <w:sz w:val="24"/>
              </w:rPr>
            </w:pPr>
            <w:r>
              <w:rPr>
                <w:b/>
                <w:bCs/>
                <w:sz w:val="24"/>
              </w:rPr>
              <w:t>园区级别</w:t>
            </w:r>
          </w:p>
        </w:tc>
        <w:tc>
          <w:tcPr>
            <w:tcW w:w="3392" w:type="pct"/>
            <w:gridSpan w:val="4"/>
            <w:tcBorders>
              <w:top w:val="single" w:color="000000" w:sz="4" w:space="0"/>
              <w:left w:val="single" w:color="000000" w:sz="4" w:space="0"/>
              <w:bottom w:val="nil"/>
              <w:right w:val="single" w:color="000000" w:sz="4" w:space="0"/>
            </w:tcBorders>
            <w:shd w:val="clear" w:color="auto" w:fill="auto"/>
            <w:vAlign w:val="center"/>
          </w:tcPr>
          <w:p w14:paraId="1F9CFC22">
            <w:pPr>
              <w:pStyle w:val="5"/>
              <w:jc w:val="center"/>
              <w:rPr>
                <w:b/>
                <w:bCs/>
                <w:sz w:val="24"/>
              </w:rPr>
            </w:pPr>
            <w:r>
              <w:rPr>
                <w:b/>
                <w:bCs/>
                <w:sz w:val="24"/>
              </w:rPr>
              <w:t>生态环境管控要求</w:t>
            </w:r>
          </w:p>
        </w:tc>
      </w:tr>
      <w:tr w14:paraId="3DD1191F">
        <w:tblPrEx>
          <w:tblCellMar>
            <w:top w:w="0" w:type="dxa"/>
            <w:left w:w="108" w:type="dxa"/>
            <w:bottom w:w="0" w:type="dxa"/>
            <w:right w:w="108" w:type="dxa"/>
          </w:tblCellMar>
        </w:tblPrEx>
        <w:trPr>
          <w:tblHeader/>
        </w:trPr>
        <w:tc>
          <w:tcPr>
            <w:tcW w:w="45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60118EA">
            <w:pPr>
              <w:pStyle w:val="5"/>
              <w:rPr>
                <w:sz w:val="24"/>
              </w:rPr>
            </w:pPr>
          </w:p>
        </w:tc>
        <w:tc>
          <w:tcPr>
            <w:tcW w:w="35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3259C55">
            <w:pPr>
              <w:pStyle w:val="5"/>
              <w:rPr>
                <w:sz w:val="24"/>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1BC1">
            <w:pPr>
              <w:pStyle w:val="5"/>
              <w:rPr>
                <w:b/>
                <w:bCs/>
                <w:sz w:val="24"/>
              </w:rPr>
            </w:pPr>
            <w:r>
              <w:rPr>
                <w:b/>
                <w:bCs/>
                <w:sz w:val="24"/>
              </w:rPr>
              <w:t>省</w:t>
            </w:r>
          </w:p>
        </w:tc>
        <w:tc>
          <w:tcPr>
            <w:tcW w:w="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A1C4">
            <w:pPr>
              <w:pStyle w:val="5"/>
              <w:rPr>
                <w:b/>
                <w:bCs/>
                <w:sz w:val="24"/>
              </w:rPr>
            </w:pPr>
            <w:r>
              <w:rPr>
                <w:b/>
                <w:bCs/>
                <w:sz w:val="24"/>
              </w:rPr>
              <w:t>市</w:t>
            </w:r>
          </w:p>
        </w:tc>
        <w:tc>
          <w:tcPr>
            <w:tcW w:w="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C734">
            <w:pPr>
              <w:pStyle w:val="5"/>
              <w:rPr>
                <w:b/>
                <w:bCs/>
                <w:sz w:val="24"/>
              </w:rPr>
            </w:pPr>
            <w:r>
              <w:rPr>
                <w:b/>
                <w:bCs/>
                <w:sz w:val="24"/>
              </w:rPr>
              <w:t>县</w:t>
            </w:r>
          </w:p>
        </w:tc>
        <w:tc>
          <w:tcPr>
            <w:tcW w:w="152"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8FCD80E">
            <w:pPr>
              <w:pStyle w:val="5"/>
              <w:rPr>
                <w:sz w:val="24"/>
              </w:rPr>
            </w:pPr>
          </w:p>
        </w:tc>
        <w:tc>
          <w:tcPr>
            <w:tcW w:w="201" w:type="pct"/>
            <w:vMerge w:val="continue"/>
            <w:tcBorders>
              <w:left w:val="single" w:color="000000" w:sz="4" w:space="0"/>
              <w:bottom w:val="nil"/>
              <w:right w:val="single" w:color="000000" w:sz="4" w:space="0"/>
            </w:tcBorders>
            <w:shd w:val="clear" w:color="auto" w:fill="auto"/>
            <w:vAlign w:val="center"/>
          </w:tcPr>
          <w:p w14:paraId="56F95379">
            <w:pPr>
              <w:pStyle w:val="5"/>
              <w:jc w:val="both"/>
              <w:rPr>
                <w:b/>
                <w:bCs/>
                <w:sz w:val="24"/>
              </w:rPr>
            </w:pPr>
          </w:p>
        </w:tc>
        <w:tc>
          <w:tcPr>
            <w:tcW w:w="911" w:type="pct"/>
            <w:tcBorders>
              <w:top w:val="single" w:color="000000" w:sz="4" w:space="0"/>
              <w:left w:val="single" w:color="000000" w:sz="4" w:space="0"/>
              <w:bottom w:val="nil"/>
              <w:right w:val="single" w:color="000000" w:sz="4" w:space="0"/>
            </w:tcBorders>
            <w:shd w:val="clear" w:color="auto" w:fill="auto"/>
            <w:vAlign w:val="center"/>
          </w:tcPr>
          <w:p w14:paraId="5756022D">
            <w:pPr>
              <w:pStyle w:val="5"/>
              <w:jc w:val="center"/>
              <w:rPr>
                <w:sz w:val="24"/>
              </w:rPr>
            </w:pPr>
            <w:r>
              <w:rPr>
                <w:b/>
                <w:bCs/>
                <w:sz w:val="24"/>
              </w:rPr>
              <w:t>空间布局约束</w:t>
            </w:r>
          </w:p>
        </w:tc>
        <w:tc>
          <w:tcPr>
            <w:tcW w:w="810" w:type="pct"/>
            <w:tcBorders>
              <w:top w:val="single" w:color="000000" w:sz="4" w:space="0"/>
              <w:left w:val="single" w:color="000000" w:sz="4" w:space="0"/>
              <w:bottom w:val="nil"/>
              <w:right w:val="single" w:color="000000" w:sz="4" w:space="0"/>
            </w:tcBorders>
            <w:shd w:val="clear" w:color="auto" w:fill="auto"/>
            <w:vAlign w:val="center"/>
          </w:tcPr>
          <w:p w14:paraId="199E6AC4">
            <w:pPr>
              <w:pStyle w:val="5"/>
              <w:jc w:val="center"/>
              <w:rPr>
                <w:sz w:val="24"/>
              </w:rPr>
            </w:pPr>
            <w:r>
              <w:rPr>
                <w:b/>
                <w:bCs/>
                <w:sz w:val="24"/>
              </w:rPr>
              <w:t>污染物排放管控</w:t>
            </w:r>
          </w:p>
        </w:tc>
        <w:tc>
          <w:tcPr>
            <w:tcW w:w="810" w:type="pct"/>
            <w:tcBorders>
              <w:top w:val="single" w:color="000000" w:sz="4" w:space="0"/>
              <w:left w:val="single" w:color="000000" w:sz="4" w:space="0"/>
              <w:bottom w:val="nil"/>
              <w:right w:val="single" w:color="000000" w:sz="4" w:space="0"/>
            </w:tcBorders>
            <w:shd w:val="clear" w:color="auto" w:fill="auto"/>
            <w:vAlign w:val="center"/>
          </w:tcPr>
          <w:p w14:paraId="6D72A2B0">
            <w:pPr>
              <w:pStyle w:val="5"/>
              <w:jc w:val="center"/>
              <w:rPr>
                <w:sz w:val="24"/>
              </w:rPr>
            </w:pPr>
            <w:r>
              <w:rPr>
                <w:b/>
                <w:bCs/>
                <w:sz w:val="24"/>
              </w:rPr>
              <w:t>环境风险防控</w:t>
            </w:r>
          </w:p>
        </w:tc>
        <w:tc>
          <w:tcPr>
            <w:tcW w:w="861" w:type="pct"/>
            <w:tcBorders>
              <w:top w:val="single" w:color="000000" w:sz="4" w:space="0"/>
              <w:left w:val="single" w:color="000000" w:sz="4" w:space="0"/>
              <w:bottom w:val="nil"/>
              <w:right w:val="single" w:color="000000" w:sz="4" w:space="0"/>
            </w:tcBorders>
            <w:shd w:val="clear" w:color="auto" w:fill="auto"/>
            <w:vAlign w:val="center"/>
          </w:tcPr>
          <w:p w14:paraId="61D830B2">
            <w:pPr>
              <w:pStyle w:val="5"/>
              <w:jc w:val="center"/>
              <w:rPr>
                <w:sz w:val="24"/>
              </w:rPr>
            </w:pPr>
            <w:r>
              <w:rPr>
                <w:b/>
                <w:bCs/>
                <w:sz w:val="24"/>
              </w:rPr>
              <w:t>资源开发效率要求</w:t>
            </w:r>
          </w:p>
        </w:tc>
      </w:tr>
      <w:tr w14:paraId="258BFB9A">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D88CA">
            <w:pPr>
              <w:pStyle w:val="5"/>
              <w:jc w:val="center"/>
              <w:rPr>
                <w:sz w:val="24"/>
              </w:rPr>
            </w:pPr>
            <w:r>
              <w:rPr>
                <w:sz w:val="24"/>
              </w:rPr>
              <w:t>ZH21050220009</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56EA6">
            <w:pPr>
              <w:pStyle w:val="5"/>
              <w:jc w:val="center"/>
              <w:rPr>
                <w:sz w:val="24"/>
              </w:rPr>
            </w:pPr>
            <w:r>
              <w:rPr>
                <w:sz w:val="24"/>
              </w:rPr>
              <w:t>本溪桥北经济开发区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291CB">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0217D">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1A549">
            <w:pPr>
              <w:pStyle w:val="5"/>
              <w:jc w:val="center"/>
              <w:rPr>
                <w:sz w:val="24"/>
              </w:rPr>
            </w:pPr>
            <w:r>
              <w:rPr>
                <w:sz w:val="24"/>
              </w:rPr>
              <w:t>平山区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E9212">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6B15B">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C9CF8">
            <w:pPr>
              <w:pStyle w:val="5"/>
              <w:rPr>
                <w:sz w:val="24"/>
              </w:rPr>
            </w:pPr>
            <w:r>
              <w:rPr>
                <w:sz w:val="24"/>
              </w:rPr>
              <w:t>1.根据国家产业政策坚决遏制不符合要求的“两高一低”项目上马。2.鼓励和支持现有钢铁深加工企业的生产技术提升改造，促进企业深度节能减碳。3.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EB8EC">
            <w:pPr>
              <w:pStyle w:val="5"/>
              <w:rPr>
                <w:sz w:val="24"/>
              </w:rPr>
            </w:pPr>
            <w:r>
              <w:rPr>
                <w:sz w:val="24"/>
              </w:rPr>
              <w:t>1.强化园区工业废水集中处理，提高企业废水排放的预处理能力，严格落实园区扬尘污染管控要求。2.鼓励现有企业积极开展清洁生产审核，严格控制污染物排放总量。3.按照相关要求统筹碳达峰碳中和，强化减污降碳协同增效。4.推进重点行业绿色升级改造，推进钢铁行业及燃煤锅炉超低排放改造。</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925FA">
            <w:pPr>
              <w:pStyle w:val="5"/>
              <w:rPr>
                <w:sz w:val="24"/>
              </w:rPr>
            </w:pPr>
            <w:r>
              <w:rPr>
                <w:sz w:val="24"/>
              </w:rPr>
              <w:t>1.强化环境风险监控和管理，园区管委会及入区企业应依据相关法律法规，制定突发环境事件应急预案，建立完善的环境风险应急体系；2.配备应急物资，定期开展应急演练，及时应对突发环境事件。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2C568">
            <w:pPr>
              <w:pStyle w:val="5"/>
              <w:rPr>
                <w:sz w:val="24"/>
              </w:rPr>
            </w:pPr>
            <w:r>
              <w:rPr>
                <w:sz w:val="24"/>
              </w:rPr>
              <w:t>1.建立节约用水管理制度，使用先进节约用水技术、工艺和设备，采取循环用水、综合利用和废水处理回用等措施，降低用水消耗，提高重复利用率；2.</w:t>
            </w:r>
            <w:r>
              <w:t xml:space="preserve"> </w:t>
            </w:r>
            <w:r>
              <w:rPr>
                <w:sz w:val="24"/>
              </w:rPr>
              <w:t>加强对重点耗能、耗水、高排放行业企业的重点监管，实现循环化改造和优化升级。</w:t>
            </w:r>
          </w:p>
        </w:tc>
      </w:tr>
      <w:tr w14:paraId="6AE269B5">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00E1A">
            <w:pPr>
              <w:pStyle w:val="5"/>
              <w:jc w:val="center"/>
              <w:rPr>
                <w:sz w:val="24"/>
              </w:rPr>
            </w:pPr>
            <w:r>
              <w:rPr>
                <w:sz w:val="24"/>
              </w:rPr>
              <w:t>ZH21050220061</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9B60A">
            <w:pPr>
              <w:pStyle w:val="5"/>
              <w:jc w:val="center"/>
              <w:rPr>
                <w:sz w:val="24"/>
              </w:rPr>
            </w:pPr>
            <w:r>
              <w:rPr>
                <w:sz w:val="24"/>
              </w:rPr>
              <w:t>本溪（平山）危险废物处置产业园</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97920">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86BC9">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BC979">
            <w:pPr>
              <w:pStyle w:val="5"/>
              <w:jc w:val="center"/>
              <w:rPr>
                <w:sz w:val="24"/>
              </w:rPr>
            </w:pPr>
            <w:r>
              <w:rPr>
                <w:sz w:val="24"/>
              </w:rPr>
              <w:t>平山区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CFD6C">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3099A">
            <w:pPr>
              <w:pStyle w:val="5"/>
              <w:rPr>
                <w:sz w:val="24"/>
              </w:rPr>
            </w:pPr>
            <w:r>
              <w:rPr>
                <w:sz w:val="24"/>
              </w:rPr>
              <w:t>市级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E2DA3">
            <w:pPr>
              <w:pStyle w:val="5"/>
              <w:rPr>
                <w:sz w:val="24"/>
              </w:rPr>
            </w:pPr>
            <w:r>
              <w:rPr>
                <w:sz w:val="24"/>
              </w:rPr>
              <w:t>1.根据国家产业政策坚决遏制不符合要求的“两高一低”项目上马。2.产业园区招商引资、入园建设项目环评审批等应将规划环评结论及审查意见作为重要依据。不得引入不符合规划的入园建设项目。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9BF14">
            <w:pPr>
              <w:pStyle w:val="5"/>
              <w:rPr>
                <w:sz w:val="24"/>
              </w:rPr>
            </w:pPr>
            <w:r>
              <w:rPr>
                <w:sz w:val="24"/>
              </w:rPr>
              <w:t>1.推进园区环境基础设施建设，严格控制污染物排放总量。2.按照相关要求统筹碳达峰碳中和，强化减污降碳协同增效。3.加强资源回收和综合利用。</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4154B">
            <w:pPr>
              <w:pStyle w:val="5"/>
              <w:rPr>
                <w:sz w:val="24"/>
              </w:rPr>
            </w:pPr>
            <w:r>
              <w:rPr>
                <w:sz w:val="24"/>
              </w:rPr>
              <w:t>1.强化环境风险监控和管理，园区管委会及入区企业应依据相关法律法规，制定突发环境事件应急预案，建立完善的环境风险应急体系；2.配备应急物资，定期开展应急演练，及时应对突发环境事件。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1AC79">
            <w:pPr>
              <w:pStyle w:val="5"/>
              <w:rPr>
                <w:sz w:val="24"/>
              </w:rPr>
            </w:pPr>
            <w:r>
              <w:rPr>
                <w:sz w:val="24"/>
              </w:rPr>
              <w:t>1.鼓励工业企业、园区优先利用工业余热、可再生能源；2.加强园区中水回用，降低用水消耗，提高重复利用率。</w:t>
            </w:r>
          </w:p>
        </w:tc>
      </w:tr>
      <w:tr w14:paraId="177510AA">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E3719">
            <w:pPr>
              <w:pStyle w:val="5"/>
              <w:jc w:val="center"/>
              <w:rPr>
                <w:sz w:val="24"/>
              </w:rPr>
            </w:pPr>
            <w:r>
              <w:rPr>
                <w:sz w:val="24"/>
              </w:rPr>
              <w:t>ZH21050320062</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474C0">
            <w:pPr>
              <w:pStyle w:val="5"/>
              <w:jc w:val="center"/>
              <w:rPr>
                <w:sz w:val="24"/>
              </w:rPr>
            </w:pPr>
            <w:r>
              <w:rPr>
                <w:sz w:val="24"/>
              </w:rPr>
              <w:t>本溪高新技术产业开发区绿色原料药产业园</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FCC35">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9DAA7">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62ADC">
            <w:pPr>
              <w:pStyle w:val="5"/>
              <w:jc w:val="center"/>
              <w:rPr>
                <w:sz w:val="24"/>
              </w:rPr>
            </w:pPr>
            <w:r>
              <w:rPr>
                <w:sz w:val="24"/>
              </w:rPr>
              <w:t>溪湖区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70CDF">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57D6A">
            <w:pPr>
              <w:pStyle w:val="5"/>
              <w:rPr>
                <w:sz w:val="24"/>
              </w:rPr>
            </w:pPr>
            <w:r>
              <w:rPr>
                <w:sz w:val="24"/>
              </w:rPr>
              <w:t>市级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D23C2">
            <w:pPr>
              <w:pStyle w:val="5"/>
              <w:rPr>
                <w:sz w:val="24"/>
              </w:rPr>
            </w:pPr>
            <w:r>
              <w:rPr>
                <w:sz w:val="24"/>
              </w:rPr>
              <w:t>1.坚持优化布局、集聚发展。加强产业布局规划，加快原料药企业升级改造，促进原料药产业与区域环境协调发展。2.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17FF4">
            <w:pPr>
              <w:pStyle w:val="5"/>
              <w:rPr>
                <w:sz w:val="24"/>
              </w:rPr>
            </w:pPr>
            <w:r>
              <w:rPr>
                <w:sz w:val="24"/>
              </w:rPr>
              <w:t>1.加强原料药生产企业排污许可管理，严格持证、按证排污，落实制药工业大气污染物排放标准，强化源头预防、过程控制、末端治理等综合措施，做好无组织排放管控，确保实现稳定达标排放。2.涉VOCs的项目，应加强源头控制，使用低（无）VOCs含量的原辅材料，加强废气收集，配套高效收集治理设施。3.按照“清污分流、雨污分流”原则建设区域污水收集系统，加强中水回用管网。企业生产污水应满足纳管水质后送入污水处理厂，确保规划区污水全部得到妥善安全处理。规划区污水管线优先采用明管或地上管廊敷设。</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66924">
            <w:pPr>
              <w:pStyle w:val="5"/>
              <w:rPr>
                <w:sz w:val="24"/>
              </w:rPr>
            </w:pPr>
            <w:r>
              <w:rPr>
                <w:sz w:val="24"/>
              </w:rPr>
              <w:t>1.强化环境风险监控和管理，园区管委会及入区企业应依据相关法律法规，制定突发环境事件应急预案，建立完善的环境风险应急体系；2.配备应急物资，定期开展应急演练，及时应对突发环境事件；3. 细化应急减排措施，落实到企业各工艺环节，鼓励实施“一厂一策”清单化管理。</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C6394">
            <w:pPr>
              <w:pStyle w:val="5"/>
              <w:rPr>
                <w:sz w:val="24"/>
              </w:rPr>
            </w:pPr>
            <w:r>
              <w:rPr>
                <w:sz w:val="24"/>
              </w:rPr>
              <w:t>1.以提高质量、节能降耗、清洁生产、污染治理、循环利用和生态保护为着力点，制定推行原料药绿色工厂、绿色园区、绿色管理标准，构建资源节约、环境友好、生态文明的绿色生产体系；2.加强对重点耗能、耗水、高排放行业企业的重点监管，实现循环化改造和优化升级。</w:t>
            </w:r>
          </w:p>
        </w:tc>
      </w:tr>
      <w:tr w14:paraId="73AAABCF">
        <w:tblPrEx>
          <w:tblCellMar>
            <w:top w:w="0" w:type="dxa"/>
            <w:left w:w="108" w:type="dxa"/>
            <w:bottom w:w="0" w:type="dxa"/>
            <w:right w:w="108" w:type="dxa"/>
          </w:tblCellMar>
        </w:tblPrEx>
        <w:trPr>
          <w:trHeight w:val="2030" w:hRule="atLeast"/>
        </w:trPr>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D12D1">
            <w:pPr>
              <w:pStyle w:val="5"/>
              <w:jc w:val="center"/>
              <w:rPr>
                <w:sz w:val="24"/>
              </w:rPr>
            </w:pPr>
            <w:r>
              <w:rPr>
                <w:sz w:val="24"/>
              </w:rPr>
              <w:t>ZH21050320002</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79338">
            <w:pPr>
              <w:pStyle w:val="5"/>
              <w:jc w:val="center"/>
              <w:rPr>
                <w:sz w:val="24"/>
              </w:rPr>
            </w:pPr>
            <w:r>
              <w:rPr>
                <w:sz w:val="24"/>
              </w:rPr>
              <w:t>本溪高新区技术产业开发区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7CD7E">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353C8">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206FC">
            <w:pPr>
              <w:pStyle w:val="5"/>
              <w:jc w:val="center"/>
              <w:rPr>
                <w:sz w:val="24"/>
              </w:rPr>
            </w:pPr>
            <w:r>
              <w:rPr>
                <w:sz w:val="24"/>
              </w:rPr>
              <w:t>溪湖区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2B787">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7A8E9">
            <w:pPr>
              <w:pStyle w:val="5"/>
              <w:rPr>
                <w:sz w:val="24"/>
              </w:rPr>
            </w:pPr>
            <w:r>
              <w:rPr>
                <w:sz w:val="24"/>
                <w:shd w:val="clear" w:color="auto" w:fill="FFFFFF"/>
              </w:rPr>
              <w:t>国家级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D66AC">
            <w:pPr>
              <w:pStyle w:val="5"/>
              <w:rPr>
                <w:sz w:val="24"/>
              </w:rPr>
            </w:pPr>
            <w:r>
              <w:rPr>
                <w:sz w:val="24"/>
              </w:rPr>
              <w:t>1.积极推动园区产业结构向低碳新业态发展，依据国家产业政策严格管控“两高”类项目入区。2. 坚决遏制“两高”项目盲目发展，依法依规淘汰落后产能、化解过剩产能。3满足重点污染物排放总量控制、碳排放达峰目标、相关规划环评和相应行业建设项目环境准入条件、环评文件审批原则要求。</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8A8A1">
            <w:pPr>
              <w:pStyle w:val="5"/>
              <w:rPr>
                <w:sz w:val="24"/>
              </w:rPr>
            </w:pPr>
            <w:r>
              <w:rPr>
                <w:sz w:val="24"/>
              </w:rPr>
              <w:t>1.持续推进园区工业企业大气污染物全面达标排放要求，核发排污许可证的企业将严格依据排污许可证管理要求进行管理。2.深化医药、制药企业VOCs排放治理，采取源头削减、过程控制、末端治理的全过程防治措施，严控工业挥发性有机物排放。</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A01A7">
            <w:pPr>
              <w:pStyle w:val="5"/>
              <w:rPr>
                <w:sz w:val="24"/>
              </w:rPr>
            </w:pPr>
            <w:r>
              <w:rPr>
                <w:sz w:val="24"/>
              </w:rPr>
              <w:t>1.完善与更新重污染天气应急预案；2.细化应急减排措施，落实到企业各工艺环节，鼓励实施“一厂一策”清单化管理。</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E435A">
            <w:pPr>
              <w:pStyle w:val="5"/>
              <w:rPr>
                <w:sz w:val="24"/>
              </w:rPr>
            </w:pPr>
            <w:r>
              <w:rPr>
                <w:sz w:val="24"/>
              </w:rPr>
              <w:t>1.企业应当建立节约用水管理制度，使用先进节约用水技术、工艺和设备，采取循环用水、综合利用和废水处理回用等措施，降低用水消耗，提高重复利用率。2.企业主要产品综合能耗达到清洁生产一级/二级水平。</w:t>
            </w:r>
          </w:p>
        </w:tc>
      </w:tr>
      <w:tr w14:paraId="4F95EF00">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E156A">
            <w:pPr>
              <w:pStyle w:val="5"/>
              <w:jc w:val="center"/>
              <w:rPr>
                <w:sz w:val="24"/>
              </w:rPr>
            </w:pPr>
            <w:r>
              <w:rPr>
                <w:sz w:val="24"/>
              </w:rPr>
              <w:t>ZH21050320003</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86F07">
            <w:pPr>
              <w:pStyle w:val="5"/>
              <w:jc w:val="center"/>
              <w:rPr>
                <w:sz w:val="24"/>
              </w:rPr>
            </w:pPr>
            <w:r>
              <w:rPr>
                <w:sz w:val="24"/>
              </w:rPr>
              <w:t>本溪湖经济开发区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85290">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40AD2">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FF014">
            <w:pPr>
              <w:pStyle w:val="5"/>
              <w:jc w:val="center"/>
              <w:rPr>
                <w:sz w:val="24"/>
              </w:rPr>
            </w:pPr>
            <w:r>
              <w:rPr>
                <w:sz w:val="24"/>
              </w:rPr>
              <w:t>溪湖区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A2EA4">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C41B0">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95696">
            <w:pPr>
              <w:pStyle w:val="5"/>
              <w:rPr>
                <w:sz w:val="24"/>
              </w:rPr>
            </w:pPr>
            <w:r>
              <w:rPr>
                <w:sz w:val="24"/>
              </w:rPr>
              <w:t>1.依据国家产业政策严格管控“两高”类项目入区，鼓励和支持现有园区钢铁深加工、装备制造和固废循环利用产业的技术提升改造，促进企业深度节能减碳。</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B8080">
            <w:pPr>
              <w:pStyle w:val="5"/>
              <w:rPr>
                <w:sz w:val="24"/>
              </w:rPr>
            </w:pPr>
            <w:r>
              <w:rPr>
                <w:sz w:val="24"/>
              </w:rPr>
              <w:t>1. 严格落实园区扬尘污染管控要求，加强园区道路扬尘和货物、废物堆放综合整治，推进园区雨水污流设施建设。2. 配备高效治理设施，积极控制钢铁深加工企业的颗粒物排放和喷漆、烤漆的VOCs排放。3.鼓励现有企业积极开展清洁生产审核及超低排放改造，严格控制污染物排放总量。</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D7754">
            <w:pPr>
              <w:pStyle w:val="5"/>
              <w:rPr>
                <w:sz w:val="24"/>
              </w:rPr>
            </w:pPr>
            <w:r>
              <w:rPr>
                <w:sz w:val="24"/>
              </w:rPr>
              <w:t>1.完善与更新重污染天气应急预案；2.细化应急减排措施，落实到企业各工艺环节，鼓励实施“一厂一策”清单化管理。</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7C0A2">
            <w:pPr>
              <w:pStyle w:val="5"/>
              <w:rPr>
                <w:sz w:val="24"/>
              </w:rPr>
            </w:pPr>
            <w:r>
              <w:rPr>
                <w:sz w:val="24"/>
              </w:rPr>
              <w:t>1.建立节约用水管理制度，使用先进节约用水技术、工艺和设备，采取循环用水、综合利用和废水处理回用等措施，降低用水消耗，提高重复利用率；2.</w:t>
            </w:r>
            <w:r>
              <w:t xml:space="preserve"> </w:t>
            </w:r>
            <w:r>
              <w:rPr>
                <w:sz w:val="24"/>
              </w:rPr>
              <w:t>加强对重点耗能、耗水、高排放行业企业的重点监管，实现循环化改造和优化升级。</w:t>
            </w:r>
          </w:p>
        </w:tc>
      </w:tr>
      <w:tr w14:paraId="12E458B9">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EBF45">
            <w:pPr>
              <w:pStyle w:val="5"/>
              <w:jc w:val="center"/>
              <w:rPr>
                <w:sz w:val="24"/>
              </w:rPr>
            </w:pPr>
            <w:r>
              <w:rPr>
                <w:sz w:val="24"/>
              </w:rPr>
              <w:t>ZH21050320063</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CA5F6">
            <w:pPr>
              <w:pStyle w:val="5"/>
              <w:jc w:val="center"/>
              <w:rPr>
                <w:sz w:val="24"/>
              </w:rPr>
            </w:pPr>
            <w:r>
              <w:rPr>
                <w:sz w:val="24"/>
              </w:rPr>
              <w:t>辽宁（本溪）大宗固废综合利用产业园</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7BDC8">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8A5AE">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8E026">
            <w:pPr>
              <w:pStyle w:val="5"/>
              <w:jc w:val="center"/>
              <w:rPr>
                <w:sz w:val="24"/>
              </w:rPr>
            </w:pPr>
            <w:r>
              <w:rPr>
                <w:sz w:val="24"/>
              </w:rPr>
              <w:t>溪湖区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BE6C6">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11305">
            <w:pPr>
              <w:pStyle w:val="5"/>
              <w:rPr>
                <w:sz w:val="24"/>
              </w:rPr>
            </w:pPr>
            <w:r>
              <w:rPr>
                <w:sz w:val="24"/>
              </w:rPr>
              <w:t>市级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060A4">
            <w:pPr>
              <w:pStyle w:val="5"/>
              <w:rPr>
                <w:sz w:val="24"/>
              </w:rPr>
            </w:pPr>
            <w:r>
              <w:rPr>
                <w:sz w:val="24"/>
              </w:rPr>
              <w:t>1.园区须向自然资源主管部门了解产业园所在地区的矿产资源分布和开采情况，一般建设项目不得压覆重要矿产资源。2.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8646D">
            <w:pPr>
              <w:pStyle w:val="5"/>
              <w:rPr>
                <w:sz w:val="24"/>
              </w:rPr>
            </w:pPr>
            <w:r>
              <w:rPr>
                <w:sz w:val="24"/>
              </w:rPr>
              <w:t>1.严格实行污染物总量控制。园区应按规划完善集中供热、供气等基础设施，禁止新建20t/h以下的燃煤、重油、渣油锅炉及直接燃用生物质锅炉。2.采取雨污分流排水体制。工业废水必须经预处理达到集中处理要求后方可进入污水处理厂进行深度达标处理。3.以发展循环经济为主线，以废物资源化、减量化、无害化为方向， 最大限度的减少废物产生，提高废物综合利用率。4.规划区以固体废物综合利用产业为主，生产中尽量减少二次固体废物，对产生的固体废物分类实施严格控制，降低二次污染。建立固体废物收集系统，无害工业固废回收利用。5.危险废物送有资质单位集中处置。严格执行相关行业企业布局选址要求，企业重点防控区域应做好防渗漏措施，避免地下水及土壤污染。</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14BFD">
            <w:pPr>
              <w:pStyle w:val="5"/>
              <w:rPr>
                <w:sz w:val="24"/>
              </w:rPr>
            </w:pPr>
            <w:r>
              <w:rPr>
                <w:sz w:val="24"/>
              </w:rPr>
              <w:t>1.强化环境风险监控和管理，园区管委会及入区企业应依据相关法律法规，制定突发环境事件应急预案；2.配备应急物资，定期开展应急演练，及时应对突发环境事件。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D1110">
            <w:pPr>
              <w:pStyle w:val="5"/>
              <w:rPr>
                <w:sz w:val="24"/>
              </w:rPr>
            </w:pPr>
            <w:r>
              <w:rPr>
                <w:sz w:val="24"/>
              </w:rPr>
              <w:t>1.提高水资源利用效率，规划区域应加快中水管网建设，鼓励园区企业提高中水回用率。2.具备使用再生水条件但未充分利用的高耗水项目，不得批准其新增取水许可。3.禁止开采地下水。强化空间布局管控，提高土地节约集约利用水平。</w:t>
            </w:r>
          </w:p>
        </w:tc>
      </w:tr>
      <w:tr w14:paraId="48242ABE">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C76BD">
            <w:pPr>
              <w:pStyle w:val="5"/>
              <w:jc w:val="center"/>
              <w:rPr>
                <w:sz w:val="24"/>
              </w:rPr>
            </w:pPr>
            <w:r>
              <w:rPr>
                <w:sz w:val="24"/>
              </w:rPr>
              <w:t>ZH21050420026</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42015">
            <w:pPr>
              <w:pStyle w:val="5"/>
              <w:jc w:val="center"/>
              <w:rPr>
                <w:sz w:val="24"/>
              </w:rPr>
            </w:pPr>
            <w:r>
              <w:rPr>
                <w:sz w:val="24"/>
              </w:rPr>
              <w:t>本溪太子河经济开发区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F7CEE">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86BE3">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FAA80">
            <w:pPr>
              <w:pStyle w:val="5"/>
              <w:jc w:val="center"/>
              <w:rPr>
                <w:sz w:val="24"/>
              </w:rPr>
            </w:pPr>
            <w:r>
              <w:rPr>
                <w:sz w:val="24"/>
              </w:rPr>
              <w:t>明山区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CAB78">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AF28E">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513D6">
            <w:pPr>
              <w:pStyle w:val="5"/>
              <w:rPr>
                <w:sz w:val="24"/>
              </w:rPr>
            </w:pPr>
            <w:r>
              <w:rPr>
                <w:sz w:val="24"/>
              </w:rPr>
              <w:t>1.依据国家产业政策严格管控“两高”类项目入区产业园区。2.招商引资、入园建设项目环评审批等应将规划环评结论及审查意见作为重要依据。不得引入不符合规划的入园建设项目。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C493">
            <w:pPr>
              <w:pStyle w:val="5"/>
              <w:rPr>
                <w:sz w:val="24"/>
              </w:rPr>
            </w:pPr>
            <w:r>
              <w:rPr>
                <w:sz w:val="24"/>
              </w:rPr>
              <w:t>1.加强园区环境基础设施建设，持续推进园区企业大气污染物全面达标排放要求，强化园区工业废水集中处理。2.严格落实园区扬尘污染管控要求。3.鼓励现有企业积极开展清洁生产审核，严格控制污染物排放总量。推动企业实施清洁生产和技术改造升级，减少废水中重金属及高浓度污染物的排放总量。</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FE7FB">
            <w:pPr>
              <w:pStyle w:val="5"/>
              <w:rPr>
                <w:sz w:val="24"/>
              </w:rPr>
            </w:pPr>
            <w:r>
              <w:rPr>
                <w:sz w:val="24"/>
              </w:rPr>
              <w:t>1.强化环境风险监控和管理，园区管委会及入区企业应依据相关法律法规，制定突发环境事件应急预案，建立完善的环境风险应急体系；2.配备应急物资，定期开展应急演练，及时应对突发环境事件。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38B4F">
            <w:pPr>
              <w:pStyle w:val="5"/>
              <w:rPr>
                <w:sz w:val="24"/>
              </w:rPr>
            </w:pPr>
            <w:r>
              <w:rPr>
                <w:sz w:val="24"/>
              </w:rPr>
              <w:t>1.建立节约用水管理制度，使用先进节约用水技术、工艺和设备，采取循环用水、综合利用和废水处理回用等措施，降低用水消耗，提高重复利用率；2.加强对重点耗能、耗水、高排放行业企业的重点监管，实现循环化改造和优化升级。</w:t>
            </w:r>
          </w:p>
        </w:tc>
      </w:tr>
      <w:tr w14:paraId="3666E6D8">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89B15">
            <w:pPr>
              <w:pStyle w:val="5"/>
              <w:jc w:val="center"/>
              <w:rPr>
                <w:sz w:val="24"/>
              </w:rPr>
            </w:pPr>
            <w:r>
              <w:rPr>
                <w:sz w:val="24"/>
              </w:rPr>
              <w:t>ZH21050520019</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24939">
            <w:pPr>
              <w:pStyle w:val="5"/>
              <w:jc w:val="center"/>
              <w:rPr>
                <w:sz w:val="24"/>
              </w:rPr>
            </w:pPr>
            <w:r>
              <w:rPr>
                <w:sz w:val="24"/>
              </w:rPr>
              <w:t>本溪南芬经济开发区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FEC51">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9CCC0">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095BF">
            <w:pPr>
              <w:pStyle w:val="5"/>
              <w:jc w:val="center"/>
              <w:rPr>
                <w:sz w:val="24"/>
              </w:rPr>
            </w:pPr>
            <w:r>
              <w:rPr>
                <w:sz w:val="24"/>
              </w:rPr>
              <w:t>南芬区</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DC2D7">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86EBA">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4C686">
            <w:pPr>
              <w:pStyle w:val="5"/>
              <w:rPr>
                <w:sz w:val="24"/>
              </w:rPr>
            </w:pPr>
            <w:r>
              <w:rPr>
                <w:sz w:val="24"/>
              </w:rPr>
              <w:t>1.依据国家产业政策严格管控“两高”类项目入区，鼓励和支持现有园区金属制造、装备制造企业生产技术提升改造，促进企业深度节能减碳。2.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0D852">
            <w:pPr>
              <w:pStyle w:val="5"/>
              <w:rPr>
                <w:sz w:val="24"/>
              </w:rPr>
            </w:pPr>
            <w:r>
              <w:rPr>
                <w:sz w:val="24"/>
              </w:rPr>
              <w:t>1.强化园区工业废水集中处理，提高企业废水排放的预处理能力，严格落实园区扬尘污染管控要求。2.鼓励现有企业积极开展清洁生产审核及超低排放改造，严格控制污染物排放总量。3.推进重点行业绿色升级改造，推进钢铁行业及燃煤锅炉超低排放改造。4.按照相关要求统筹碳达峰碳中和，强化减污降碳协同增效。</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7B33B">
            <w:pPr>
              <w:pStyle w:val="5"/>
              <w:rPr>
                <w:sz w:val="24"/>
              </w:rPr>
            </w:pPr>
            <w:r>
              <w:rPr>
                <w:sz w:val="24"/>
              </w:rPr>
              <w:t>1.完善与更新重污染天气应急预案；2.细化应急减排措施，落实到企业各工艺环节，鼓励实施“一厂一策”清单化管理；3.对可能发生水污染事故的企业单位，应采取有效措施做好突发水污染事故的风险防范、监控预警、应急处置和事后恢复等工作，完善突发水污染事故应急机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3B86C">
            <w:pPr>
              <w:pStyle w:val="5"/>
              <w:rPr>
                <w:sz w:val="24"/>
              </w:rPr>
            </w:pPr>
            <w:r>
              <w:rPr>
                <w:sz w:val="24"/>
              </w:rPr>
              <w:t>1.建立节约用水管理制度，使用先进节约用水技术、工艺和设备，采取循环用水、综合利用和废水处理回用等措施，降低用水消耗，提高重复利用率；2.加强对重点耗能、耗水、高排放行业企业的重点监管，实现循环化改造和优化升级。</w:t>
            </w:r>
          </w:p>
        </w:tc>
      </w:tr>
      <w:tr w14:paraId="229E00A4">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2BD9E">
            <w:pPr>
              <w:pStyle w:val="5"/>
              <w:jc w:val="center"/>
              <w:rPr>
                <w:sz w:val="24"/>
              </w:rPr>
            </w:pPr>
            <w:r>
              <w:rPr>
                <w:sz w:val="24"/>
              </w:rPr>
              <w:t>ZH21052120046</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1255F">
            <w:pPr>
              <w:pStyle w:val="5"/>
              <w:jc w:val="center"/>
              <w:rPr>
                <w:sz w:val="24"/>
              </w:rPr>
            </w:pPr>
            <w:r>
              <w:rPr>
                <w:sz w:val="24"/>
              </w:rPr>
              <w:t>本溪观音阁经济开发区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9896">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17BB2">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34742">
            <w:pPr>
              <w:pStyle w:val="5"/>
              <w:jc w:val="center"/>
              <w:rPr>
                <w:sz w:val="24"/>
              </w:rPr>
            </w:pPr>
            <w:r>
              <w:rPr>
                <w:sz w:val="24"/>
              </w:rPr>
              <w:t>本溪满族自治县</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1A8E3">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8D43F">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4678">
            <w:pPr>
              <w:pStyle w:val="5"/>
              <w:rPr>
                <w:sz w:val="24"/>
              </w:rPr>
            </w:pPr>
            <w:r>
              <w:rPr>
                <w:sz w:val="24"/>
              </w:rPr>
              <w:t>1.鼓励和支持现有园区钢铁深加工与汽车零部件加工企业的技术提升改造，促进企业深度节能减碳。2.积极引入发展绿色、资源节约型产业。3.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92A42">
            <w:pPr>
              <w:pStyle w:val="5"/>
              <w:rPr>
                <w:sz w:val="24"/>
              </w:rPr>
            </w:pPr>
            <w:r>
              <w:rPr>
                <w:sz w:val="24"/>
              </w:rPr>
              <w:t>1.配备高效治理设施，积极控制钢铁深加工与汽车零部件加工企业的颗粒物排放和喷漆、烤漆的VOCs排放；2.园区企业应严格控制污染物排放总量，钢铁行业按相关政策要求积极有序推进现有钢铁企业超低排放改造。</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6F673">
            <w:pPr>
              <w:pStyle w:val="5"/>
              <w:rPr>
                <w:sz w:val="24"/>
              </w:rPr>
            </w:pPr>
            <w:r>
              <w:rPr>
                <w:sz w:val="24"/>
              </w:rPr>
              <w:t>1.推动企业实施清洁生产和技术改造升级，减少废水中重金属及高浓度污染物的排放总量；2.对可能发生水污染事故的企业单位，应采取有效措施做好突发水污染事故的风险防范、监控预警、应急处置和事后恢复等工作，完善突发水污染事故应急机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976C3">
            <w:pPr>
              <w:pStyle w:val="5"/>
              <w:rPr>
                <w:sz w:val="24"/>
              </w:rPr>
            </w:pPr>
            <w:r>
              <w:rPr>
                <w:sz w:val="24"/>
              </w:rPr>
              <w:t>1.建立节约用水管理制度，使用先进节约用水技术、工艺和设备，采取循环用水、综合利用和废水处理回用等措施，降低用水消耗，提高重复利用率；2.提升水资源利用效率。</w:t>
            </w:r>
          </w:p>
        </w:tc>
      </w:tr>
      <w:tr w14:paraId="09D92ABF">
        <w:tblPrEx>
          <w:tblCellMar>
            <w:top w:w="0" w:type="dxa"/>
            <w:left w:w="108" w:type="dxa"/>
            <w:bottom w:w="0" w:type="dxa"/>
            <w:right w:w="108" w:type="dxa"/>
          </w:tblCellMar>
        </w:tblPrEx>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B5957">
            <w:pPr>
              <w:pStyle w:val="5"/>
              <w:jc w:val="center"/>
              <w:rPr>
                <w:sz w:val="24"/>
              </w:rPr>
            </w:pPr>
            <w:r>
              <w:rPr>
                <w:sz w:val="24"/>
              </w:rPr>
              <w:t>ZH21052220041</w:t>
            </w:r>
          </w:p>
        </w:tc>
        <w:tc>
          <w:tcPr>
            <w:tcW w:w="3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F1634">
            <w:pPr>
              <w:pStyle w:val="5"/>
              <w:jc w:val="center"/>
              <w:rPr>
                <w:sz w:val="24"/>
              </w:rPr>
            </w:pPr>
            <w:r>
              <w:rPr>
                <w:sz w:val="24"/>
              </w:rPr>
              <w:t>辽宁五女山经济开发区</w:t>
            </w:r>
          </w:p>
        </w:tc>
        <w:tc>
          <w:tcPr>
            <w:tcW w:w="1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39A30">
            <w:pPr>
              <w:pStyle w:val="5"/>
              <w:jc w:val="center"/>
              <w:rPr>
                <w:sz w:val="24"/>
              </w:rPr>
            </w:pPr>
            <w:r>
              <w:rPr>
                <w:sz w:val="24"/>
              </w:rPr>
              <w:t>辽宁省</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F005A">
            <w:pPr>
              <w:pStyle w:val="5"/>
              <w:jc w:val="center"/>
              <w:rPr>
                <w:sz w:val="24"/>
              </w:rPr>
            </w:pPr>
            <w:r>
              <w:rPr>
                <w:sz w:val="24"/>
              </w:rPr>
              <w:t>本溪市</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D3929">
            <w:pPr>
              <w:pStyle w:val="5"/>
              <w:jc w:val="center"/>
              <w:rPr>
                <w:sz w:val="24"/>
              </w:rPr>
            </w:pPr>
            <w:r>
              <w:rPr>
                <w:sz w:val="24"/>
              </w:rPr>
              <w:t>桓仁满族自治县</w:t>
            </w:r>
          </w:p>
        </w:tc>
        <w:tc>
          <w:tcPr>
            <w:tcW w:w="1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6CA22">
            <w:pPr>
              <w:pStyle w:val="5"/>
              <w:jc w:val="center"/>
              <w:rPr>
                <w:sz w:val="24"/>
              </w:rPr>
            </w:pPr>
            <w:r>
              <w:rPr>
                <w:sz w:val="24"/>
              </w:rPr>
              <w:t>重点管控单元</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57E4E">
            <w:pPr>
              <w:pStyle w:val="5"/>
              <w:rPr>
                <w:sz w:val="24"/>
              </w:rPr>
            </w:pPr>
            <w:r>
              <w:rPr>
                <w:sz w:val="24"/>
              </w:rPr>
              <w:t>省级</w:t>
            </w:r>
          </w:p>
        </w:tc>
        <w:tc>
          <w:tcPr>
            <w:tcW w:w="9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22AC5">
            <w:pPr>
              <w:pStyle w:val="5"/>
              <w:rPr>
                <w:sz w:val="24"/>
              </w:rPr>
            </w:pPr>
            <w:r>
              <w:rPr>
                <w:sz w:val="24"/>
              </w:rPr>
              <w:t>1.强化葡萄酒产品生产企业的集中入园管理，加快推进现有企业的环保技术改造提升。2.产业园区招商引资、入园建设项目环评审批等应将规划环评结论及审查意见作为重要依据。不得引入不符合规划的入园建设项目。</w:t>
            </w:r>
          </w:p>
        </w:tc>
        <w:tc>
          <w:tcPr>
            <w:tcW w:w="8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FA467">
            <w:pPr>
              <w:pStyle w:val="5"/>
              <w:rPr>
                <w:sz w:val="24"/>
              </w:rPr>
            </w:pPr>
            <w:r>
              <w:rPr>
                <w:sz w:val="24"/>
              </w:rPr>
              <w:t>1.加强园区环境基础设施建设，强化园区工业废水集中处理，提高企业废水排放的预处理能力，严格落实园区扬尘污染管控要求。2.鼓励现有企业积极开展清洁生产审核，严格控制污染物排放总量。</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2DF48">
            <w:pPr>
              <w:pStyle w:val="5"/>
              <w:rPr>
                <w:sz w:val="24"/>
              </w:rPr>
            </w:pPr>
            <w:r>
              <w:rPr>
                <w:sz w:val="24"/>
              </w:rPr>
              <w:t>1.强化环境风险监控和管理，园区管委会及入区企业应依据相关法律法规，制定突发环境事件应急预案，配备应急物资，定期开展应急演练，及时应对突发环境事件，2.对可能发生水污染事故的企业单位，应采取有效措施做好突发水污染事故的风险防范、监控预警、应急处置和事后恢复等工作，完善突发水污染事故应急机制。</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C9B29">
            <w:pPr>
              <w:pStyle w:val="5"/>
              <w:rPr>
                <w:sz w:val="24"/>
              </w:rPr>
            </w:pPr>
            <w:r>
              <w:rPr>
                <w:sz w:val="24"/>
              </w:rPr>
              <w:t>1.建立节约用水管理制度，使用先进节约用水技术、工艺和设备，采取循环用水、综合利用和废水处理回用等措施，降低用水消耗，提高重复利用率；2.加强对重点耗能、耗水、高排放行业企业的重点监管，实现循环化改造和优化升级。</w:t>
            </w:r>
          </w:p>
        </w:tc>
      </w:tr>
    </w:tbl>
    <w:p w14:paraId="04C12DDE"/>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81F61"/>
    <w:rsid w:val="20A81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200" w:firstLineChars="200"/>
      <w:jc w:val="both"/>
    </w:pPr>
    <w:rPr>
      <w:rFonts w:ascii="Times New Roman" w:hAnsi="Times New Roman" w:eastAsia="仿宋" w:cstheme="minorBidi"/>
      <w:kern w:val="2"/>
      <w:sz w:val="28"/>
      <w:szCs w:val="22"/>
      <w:lang w:val="en-US" w:eastAsia="zh-CN" w:bidi="ar-SA"/>
      <w14:ligatures w14:val="standardContextual"/>
    </w:rPr>
  </w:style>
  <w:style w:type="paragraph" w:styleId="2">
    <w:name w:val="heading 1"/>
    <w:basedOn w:val="1"/>
    <w:next w:val="1"/>
    <w:qFormat/>
    <w:uiPriority w:val="9"/>
    <w:pPr>
      <w:keepNext/>
      <w:keepLines/>
      <w:outlineLvl w:val="0"/>
    </w:pPr>
    <w:rPr>
      <w:b/>
      <w:bCs/>
      <w:kern w:val="44"/>
      <w:sz w:val="30"/>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表中文字"/>
    <w:basedOn w:val="1"/>
    <w:qFormat/>
    <w:uiPriority w:val="0"/>
    <w:pPr>
      <w:adjustRightInd w:val="0"/>
      <w:snapToGrid w:val="0"/>
      <w:spacing w:line="240" w:lineRule="auto"/>
      <w:ind w:firstLine="0" w:firstLineChars="0"/>
      <w:jc w:val="left"/>
    </w:pPr>
    <w:rPr>
      <w:rFonts w:eastAsia="仿宋_GB2312" w:cs="Times New Roman"/>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2024-12-12T02:48:00Z</dcterms:created>
  <dc:creator>小小懒</dc:creator>
  <cp:lastModifiedBy>小小懒</cp:lastModifiedBy>
  <dcterms:modified xsi:type="dcterms:W3CDTF">2024-12-12T02:49:27Z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6BAA7DAC04774601965A64DF7A14B74A_11</vt:lpwstr>
  </property>
</Properties>
</file>